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558E8" w14:textId="27EE24AA" w:rsidR="000419FA" w:rsidRPr="00853611" w:rsidRDefault="000419FA" w:rsidP="00B82848">
      <w:pPr>
        <w:rPr>
          <w:b/>
          <w:i/>
          <w:sz w:val="28"/>
          <w:highlight w:val="yellow"/>
        </w:rPr>
      </w:pPr>
    </w:p>
    <w:p w14:paraId="64C06869" w14:textId="77777777" w:rsidR="00595D9A" w:rsidRPr="00751578" w:rsidRDefault="00595D9A" w:rsidP="00B82848">
      <w:r w:rsidRPr="00751578">
        <w:t>Ministerstvo školství,</w:t>
      </w:r>
    </w:p>
    <w:p w14:paraId="447283D3" w14:textId="77777777" w:rsidR="00595D9A" w:rsidRPr="00751578" w:rsidRDefault="00595D9A" w:rsidP="00595D9A">
      <w:r w:rsidRPr="00751578">
        <w:t>mládeže a tělovýchovy</w:t>
      </w:r>
    </w:p>
    <w:p w14:paraId="7837FCE8" w14:textId="77777777" w:rsidR="00595D9A" w:rsidRPr="00751578" w:rsidRDefault="00857273" w:rsidP="00B82848">
      <w:bookmarkStart w:id="0" w:name="_Toc413756556"/>
      <w:r w:rsidRPr="00751578">
        <w:t>Č. j.</w:t>
      </w:r>
      <w:r w:rsidR="00595D9A" w:rsidRPr="00751578">
        <w:t xml:space="preserve"> MSMT-</w:t>
      </w:r>
      <w:bookmarkEnd w:id="0"/>
      <w:r w:rsidR="00751578" w:rsidRPr="00751578">
        <w:t>9068/2019</w:t>
      </w:r>
    </w:p>
    <w:p w14:paraId="16EE4685" w14:textId="77777777" w:rsidR="00595D9A" w:rsidRPr="00853611" w:rsidRDefault="00595D9A" w:rsidP="00595D9A">
      <w:pPr>
        <w:rPr>
          <w:highlight w:val="yellow"/>
        </w:rPr>
      </w:pPr>
    </w:p>
    <w:p w14:paraId="4E142812" w14:textId="77777777" w:rsidR="00595D9A" w:rsidRPr="00853611" w:rsidRDefault="00595D9A" w:rsidP="00595D9A">
      <w:pPr>
        <w:jc w:val="center"/>
        <w:rPr>
          <w:b/>
          <w:sz w:val="32"/>
          <w:highlight w:val="yellow"/>
        </w:rPr>
      </w:pPr>
    </w:p>
    <w:p w14:paraId="76520683" w14:textId="77777777" w:rsidR="00595D9A" w:rsidRPr="00853611" w:rsidRDefault="00595D9A" w:rsidP="00595D9A">
      <w:pPr>
        <w:jc w:val="center"/>
        <w:rPr>
          <w:b/>
          <w:sz w:val="32"/>
          <w:highlight w:val="yellow"/>
        </w:rPr>
      </w:pPr>
    </w:p>
    <w:p w14:paraId="43D0D6D6" w14:textId="77777777" w:rsidR="00595D9A" w:rsidRPr="00853611" w:rsidRDefault="00595D9A" w:rsidP="00595D9A">
      <w:pPr>
        <w:jc w:val="center"/>
        <w:rPr>
          <w:b/>
          <w:sz w:val="32"/>
          <w:highlight w:val="yellow"/>
        </w:rPr>
      </w:pPr>
    </w:p>
    <w:p w14:paraId="3DCEA456" w14:textId="77777777" w:rsidR="00595D9A" w:rsidRPr="00853611" w:rsidRDefault="00595D9A" w:rsidP="00595D9A">
      <w:pPr>
        <w:jc w:val="center"/>
        <w:rPr>
          <w:b/>
          <w:sz w:val="32"/>
          <w:highlight w:val="yellow"/>
        </w:rPr>
      </w:pPr>
    </w:p>
    <w:p w14:paraId="3B8353DB" w14:textId="77777777" w:rsidR="00595D9A" w:rsidRPr="00853611" w:rsidRDefault="00595D9A" w:rsidP="00595D9A">
      <w:pPr>
        <w:jc w:val="center"/>
        <w:rPr>
          <w:b/>
          <w:sz w:val="32"/>
        </w:rPr>
      </w:pPr>
    </w:p>
    <w:p w14:paraId="3834BF84" w14:textId="77777777" w:rsidR="00595D9A" w:rsidRPr="00853611" w:rsidRDefault="00CC6FD7" w:rsidP="00CC6FD7">
      <w:pPr>
        <w:tabs>
          <w:tab w:val="left" w:pos="3617"/>
        </w:tabs>
        <w:rPr>
          <w:b/>
          <w:sz w:val="32"/>
        </w:rPr>
      </w:pPr>
      <w:r w:rsidRPr="00853611">
        <w:rPr>
          <w:b/>
          <w:sz w:val="32"/>
        </w:rPr>
        <w:tab/>
      </w:r>
    </w:p>
    <w:p w14:paraId="5AA40551" w14:textId="77777777" w:rsidR="00595D9A" w:rsidRPr="00853611" w:rsidRDefault="00595D9A" w:rsidP="00595D9A">
      <w:pPr>
        <w:jc w:val="center"/>
        <w:rPr>
          <w:b/>
          <w:sz w:val="32"/>
        </w:rPr>
      </w:pPr>
    </w:p>
    <w:p w14:paraId="616CD083" w14:textId="77777777" w:rsidR="00595D9A" w:rsidRPr="00853611" w:rsidRDefault="00595D9A" w:rsidP="00595D9A">
      <w:pPr>
        <w:jc w:val="center"/>
        <w:rPr>
          <w:b/>
          <w:sz w:val="32"/>
        </w:rPr>
      </w:pPr>
    </w:p>
    <w:p w14:paraId="2688147F" w14:textId="77777777" w:rsidR="00595D9A" w:rsidRPr="00853611" w:rsidRDefault="00595D9A" w:rsidP="00595D9A">
      <w:pPr>
        <w:jc w:val="center"/>
        <w:rPr>
          <w:b/>
          <w:sz w:val="32"/>
        </w:rPr>
      </w:pPr>
    </w:p>
    <w:p w14:paraId="4D871CFC" w14:textId="77777777" w:rsidR="00595D9A" w:rsidRPr="00853611" w:rsidRDefault="00595D9A" w:rsidP="00595D9A">
      <w:pPr>
        <w:jc w:val="center"/>
        <w:rPr>
          <w:b/>
          <w:sz w:val="32"/>
        </w:rPr>
      </w:pPr>
    </w:p>
    <w:p w14:paraId="536FC903" w14:textId="77777777" w:rsidR="00595D9A" w:rsidRPr="00853611" w:rsidRDefault="000419FA" w:rsidP="000419FA">
      <w:pPr>
        <w:tabs>
          <w:tab w:val="left" w:pos="368"/>
        </w:tabs>
        <w:rPr>
          <w:b/>
          <w:sz w:val="32"/>
        </w:rPr>
      </w:pPr>
      <w:r w:rsidRPr="00853611">
        <w:rPr>
          <w:b/>
          <w:sz w:val="32"/>
        </w:rPr>
        <w:tab/>
      </w:r>
    </w:p>
    <w:p w14:paraId="027F4D4A" w14:textId="77777777" w:rsidR="00595D9A" w:rsidRPr="00853611" w:rsidRDefault="00595D9A" w:rsidP="00595D9A">
      <w:pPr>
        <w:jc w:val="center"/>
        <w:rPr>
          <w:b/>
          <w:sz w:val="32"/>
        </w:rPr>
      </w:pPr>
    </w:p>
    <w:p w14:paraId="68C4B126" w14:textId="77777777" w:rsidR="00595D9A" w:rsidRPr="00853611" w:rsidRDefault="00595D9A" w:rsidP="00595D9A">
      <w:pPr>
        <w:jc w:val="center"/>
        <w:rPr>
          <w:b/>
          <w:sz w:val="32"/>
        </w:rPr>
      </w:pPr>
    </w:p>
    <w:p w14:paraId="5CCCF185" w14:textId="77777777" w:rsidR="00595D9A" w:rsidRPr="00853611" w:rsidRDefault="00595D9A" w:rsidP="00595D9A">
      <w:pPr>
        <w:jc w:val="center"/>
        <w:rPr>
          <w:b/>
          <w:sz w:val="32"/>
        </w:rPr>
      </w:pPr>
    </w:p>
    <w:p w14:paraId="3D5A6FAE" w14:textId="77777777" w:rsidR="00D958EA" w:rsidRPr="00853611" w:rsidRDefault="00D958EA" w:rsidP="00595D9A">
      <w:pPr>
        <w:pStyle w:val="KS1"/>
      </w:pPr>
      <w:bookmarkStart w:id="1" w:name="_Toc160935100"/>
    </w:p>
    <w:p w14:paraId="517B436C" w14:textId="77777777" w:rsidR="00595D9A" w:rsidRDefault="00595D9A" w:rsidP="00595D9A">
      <w:pPr>
        <w:pStyle w:val="KS1"/>
      </w:pPr>
      <w:r w:rsidRPr="00853611">
        <w:t>Rozpočet kapitoly 333 MŠMT na rok 201</w:t>
      </w:r>
      <w:r w:rsidR="00853611" w:rsidRPr="00853611">
        <w:t>9</w:t>
      </w:r>
      <w:r w:rsidRPr="00853611">
        <w:t xml:space="preserve"> a rozdělení závazných ukazatelů mezi jednotlivé školské úseky</w:t>
      </w:r>
      <w:bookmarkEnd w:id="1"/>
    </w:p>
    <w:p w14:paraId="00D65E94" w14:textId="77777777" w:rsidR="0043025F" w:rsidRDefault="0043025F" w:rsidP="00595D9A">
      <w:pPr>
        <w:pStyle w:val="KS1"/>
      </w:pPr>
    </w:p>
    <w:p w14:paraId="3AF70D29" w14:textId="77777777" w:rsidR="0043025F" w:rsidRPr="00853611" w:rsidRDefault="0043025F" w:rsidP="0043025F">
      <w:pPr>
        <w:pStyle w:val="Text"/>
      </w:pPr>
    </w:p>
    <w:p w14:paraId="32C0BCFB" w14:textId="77777777" w:rsidR="00D958EA" w:rsidRPr="00853611" w:rsidRDefault="00D958EA" w:rsidP="0043025F">
      <w:pPr>
        <w:pStyle w:val="Text"/>
      </w:pPr>
    </w:p>
    <w:p w14:paraId="271EBB62" w14:textId="77777777" w:rsidR="00595D9A" w:rsidRPr="00853611" w:rsidRDefault="00595D9A" w:rsidP="00595D9A">
      <w:pPr>
        <w:jc w:val="center"/>
        <w:rPr>
          <w:b/>
          <w:sz w:val="36"/>
        </w:rPr>
      </w:pPr>
    </w:p>
    <w:p w14:paraId="61075C0B" w14:textId="77777777" w:rsidR="00595D9A" w:rsidRPr="00853611" w:rsidRDefault="00595D9A" w:rsidP="00595D9A">
      <w:pPr>
        <w:jc w:val="center"/>
        <w:rPr>
          <w:b/>
          <w:sz w:val="36"/>
        </w:rPr>
      </w:pPr>
    </w:p>
    <w:p w14:paraId="7262E9BC" w14:textId="77777777" w:rsidR="00595D9A" w:rsidRPr="00853611" w:rsidRDefault="00595D9A" w:rsidP="00595D9A">
      <w:pPr>
        <w:jc w:val="center"/>
        <w:rPr>
          <w:b/>
          <w:sz w:val="36"/>
        </w:rPr>
      </w:pPr>
    </w:p>
    <w:p w14:paraId="57ADC609" w14:textId="77777777" w:rsidR="00595D9A" w:rsidRPr="00853611" w:rsidRDefault="00595D9A" w:rsidP="00595D9A">
      <w:pPr>
        <w:jc w:val="center"/>
        <w:rPr>
          <w:b/>
          <w:sz w:val="36"/>
          <w:highlight w:val="yellow"/>
        </w:rPr>
      </w:pPr>
    </w:p>
    <w:p w14:paraId="4093211C" w14:textId="77777777" w:rsidR="00595D9A" w:rsidRPr="00853611" w:rsidRDefault="00595D9A" w:rsidP="00595D9A">
      <w:pPr>
        <w:jc w:val="center"/>
        <w:rPr>
          <w:b/>
          <w:sz w:val="36"/>
          <w:highlight w:val="yellow"/>
        </w:rPr>
      </w:pPr>
    </w:p>
    <w:p w14:paraId="676A00D7" w14:textId="77777777" w:rsidR="00595D9A" w:rsidRPr="00853611" w:rsidRDefault="00595D9A" w:rsidP="00595D9A">
      <w:pPr>
        <w:jc w:val="center"/>
        <w:rPr>
          <w:b/>
          <w:sz w:val="36"/>
          <w:highlight w:val="yellow"/>
        </w:rPr>
      </w:pPr>
    </w:p>
    <w:p w14:paraId="68AF37DB" w14:textId="77777777" w:rsidR="00595D9A" w:rsidRPr="00853611" w:rsidRDefault="00595D9A" w:rsidP="00595D9A">
      <w:pPr>
        <w:jc w:val="center"/>
        <w:rPr>
          <w:b/>
          <w:sz w:val="36"/>
          <w:highlight w:val="yellow"/>
        </w:rPr>
      </w:pPr>
    </w:p>
    <w:p w14:paraId="24FEC126" w14:textId="77777777" w:rsidR="00595D9A" w:rsidRPr="00853611" w:rsidRDefault="00595D9A" w:rsidP="00595D9A">
      <w:pPr>
        <w:jc w:val="center"/>
        <w:rPr>
          <w:b/>
          <w:sz w:val="36"/>
          <w:highlight w:val="yellow"/>
        </w:rPr>
      </w:pPr>
    </w:p>
    <w:p w14:paraId="5C449A8E" w14:textId="77777777" w:rsidR="00595D9A" w:rsidRPr="00853611" w:rsidRDefault="00595D9A" w:rsidP="00595D9A">
      <w:pPr>
        <w:jc w:val="center"/>
        <w:rPr>
          <w:b/>
          <w:sz w:val="36"/>
          <w:highlight w:val="yellow"/>
        </w:rPr>
      </w:pPr>
    </w:p>
    <w:p w14:paraId="4EEA2BED" w14:textId="77777777" w:rsidR="00595D9A" w:rsidRPr="00853611" w:rsidRDefault="00595D9A" w:rsidP="00595D9A">
      <w:pPr>
        <w:jc w:val="center"/>
        <w:rPr>
          <w:b/>
          <w:sz w:val="36"/>
          <w:highlight w:val="yellow"/>
        </w:rPr>
      </w:pPr>
    </w:p>
    <w:p w14:paraId="08A403FC" w14:textId="77777777" w:rsidR="00595D9A" w:rsidRPr="00853611" w:rsidRDefault="00595D9A" w:rsidP="00595D9A">
      <w:pPr>
        <w:jc w:val="center"/>
        <w:rPr>
          <w:b/>
          <w:sz w:val="36"/>
          <w:highlight w:val="yellow"/>
        </w:rPr>
      </w:pPr>
    </w:p>
    <w:p w14:paraId="173988B5" w14:textId="27CD5916" w:rsidR="006531DE" w:rsidRDefault="006531DE" w:rsidP="00DA5A48">
      <w:pPr>
        <w:pStyle w:val="Text"/>
        <w:rPr>
          <w:highlight w:val="yellow"/>
        </w:rPr>
      </w:pPr>
      <w:bookmarkStart w:id="2" w:name="_Toc413756559"/>
      <w:bookmarkEnd w:id="2"/>
    </w:p>
    <w:p w14:paraId="0BDF66AE" w14:textId="77777777" w:rsidR="006531DE" w:rsidRDefault="006531DE">
      <w:pPr>
        <w:jc w:val="left"/>
        <w:rPr>
          <w:rFonts w:cs="Calibri"/>
          <w:szCs w:val="24"/>
          <w:highlight w:val="yellow"/>
        </w:rPr>
      </w:pPr>
      <w:r>
        <w:rPr>
          <w:highlight w:val="yellow"/>
        </w:rPr>
        <w:lastRenderedPageBreak/>
        <w:br w:type="page"/>
      </w:r>
    </w:p>
    <w:p w14:paraId="2B3B94EF" w14:textId="77777777" w:rsidR="00595D9A" w:rsidRPr="00853611" w:rsidRDefault="00595D9A" w:rsidP="00DA5A48">
      <w:pPr>
        <w:pStyle w:val="Text"/>
        <w:rPr>
          <w:highlight w:val="yellow"/>
        </w:rPr>
      </w:pPr>
    </w:p>
    <w:p w14:paraId="153E3709" w14:textId="77777777" w:rsidR="000419FA" w:rsidRPr="00751578" w:rsidRDefault="000419FA" w:rsidP="000419FA">
      <w:pPr>
        <w:rPr>
          <w:b/>
          <w:sz w:val="26"/>
          <w:szCs w:val="26"/>
        </w:rPr>
      </w:pPr>
      <w:r w:rsidRPr="00751578">
        <w:rPr>
          <w:b/>
          <w:sz w:val="26"/>
          <w:szCs w:val="26"/>
        </w:rPr>
        <w:t>Seznam použitých zkratek</w:t>
      </w:r>
    </w:p>
    <w:p w14:paraId="0ED21F5A" w14:textId="77777777" w:rsidR="000419FA" w:rsidRPr="00853611" w:rsidRDefault="000419FA" w:rsidP="00515127">
      <w:pPr>
        <w:ind w:left="1560" w:hanging="1560"/>
        <w:rPr>
          <w:sz w:val="20"/>
        </w:rPr>
      </w:pPr>
      <w:r w:rsidRPr="00751578">
        <w:rPr>
          <w:sz w:val="20"/>
        </w:rPr>
        <w:t>ADV</w:t>
      </w:r>
      <w:r w:rsidRPr="00853611">
        <w:rPr>
          <w:sz w:val="20"/>
        </w:rPr>
        <w:t xml:space="preserve"> </w:t>
      </w:r>
      <w:r w:rsidR="00187140" w:rsidRPr="00853611">
        <w:rPr>
          <w:sz w:val="20"/>
        </w:rPr>
        <w:tab/>
      </w:r>
      <w:r w:rsidRPr="00853611">
        <w:rPr>
          <w:sz w:val="20"/>
        </w:rPr>
        <w:t>– Antidopingový výbor</w:t>
      </w:r>
    </w:p>
    <w:p w14:paraId="2E097353" w14:textId="77777777" w:rsidR="000419FA" w:rsidRPr="00853611" w:rsidRDefault="000419FA" w:rsidP="00515127">
      <w:pPr>
        <w:ind w:left="1560" w:hanging="1560"/>
        <w:rPr>
          <w:sz w:val="20"/>
        </w:rPr>
      </w:pPr>
      <w:r w:rsidRPr="00853611">
        <w:rPr>
          <w:sz w:val="20"/>
        </w:rPr>
        <w:t xml:space="preserve">AMVIA </w:t>
      </w:r>
      <w:r w:rsidR="00187140" w:rsidRPr="00853611">
        <w:rPr>
          <w:sz w:val="20"/>
        </w:rPr>
        <w:tab/>
      </w:r>
      <w:r w:rsidRPr="00853611">
        <w:rPr>
          <w:sz w:val="20"/>
        </w:rPr>
        <w:t>– administrace programů v Americkém vědeckém informačním středisku</w:t>
      </w:r>
    </w:p>
    <w:p w14:paraId="3B99F066" w14:textId="77777777" w:rsidR="000419FA" w:rsidRPr="00853611" w:rsidRDefault="000419FA" w:rsidP="00515127">
      <w:pPr>
        <w:ind w:left="1560" w:hanging="1560"/>
        <w:rPr>
          <w:sz w:val="20"/>
        </w:rPr>
      </w:pPr>
      <w:r w:rsidRPr="00853611">
        <w:rPr>
          <w:sz w:val="20"/>
        </w:rPr>
        <w:t xml:space="preserve">AV </w:t>
      </w:r>
      <w:r w:rsidR="00187140" w:rsidRPr="00853611">
        <w:rPr>
          <w:sz w:val="20"/>
        </w:rPr>
        <w:tab/>
      </w:r>
      <w:r w:rsidRPr="00853611">
        <w:rPr>
          <w:sz w:val="20"/>
        </w:rPr>
        <w:t>– Akademie věd</w:t>
      </w:r>
    </w:p>
    <w:p w14:paraId="1BA84A34" w14:textId="77777777" w:rsidR="000419FA" w:rsidRPr="00853611" w:rsidRDefault="000419FA" w:rsidP="00515127">
      <w:pPr>
        <w:ind w:left="1560" w:hanging="1560"/>
        <w:rPr>
          <w:sz w:val="20"/>
        </w:rPr>
      </w:pPr>
      <w:r w:rsidRPr="00853611">
        <w:rPr>
          <w:sz w:val="20"/>
        </w:rPr>
        <w:t xml:space="preserve">CEEPUS </w:t>
      </w:r>
      <w:r w:rsidR="00187140" w:rsidRPr="00853611">
        <w:rPr>
          <w:sz w:val="20"/>
        </w:rPr>
        <w:tab/>
      </w:r>
      <w:r w:rsidRPr="00853611">
        <w:rPr>
          <w:sz w:val="20"/>
        </w:rPr>
        <w:t>– Central European Exchange programme for university Studies</w:t>
      </w:r>
    </w:p>
    <w:p w14:paraId="22337BDE" w14:textId="77777777" w:rsidR="000419FA" w:rsidRPr="00853611" w:rsidRDefault="000419FA" w:rsidP="00515127">
      <w:pPr>
        <w:ind w:left="1560" w:hanging="1560"/>
        <w:rPr>
          <w:sz w:val="20"/>
        </w:rPr>
      </w:pPr>
      <w:r w:rsidRPr="00853611">
        <w:rPr>
          <w:sz w:val="20"/>
        </w:rPr>
        <w:t xml:space="preserve">CSVŠ </w:t>
      </w:r>
      <w:r w:rsidR="00187140" w:rsidRPr="00853611">
        <w:rPr>
          <w:sz w:val="20"/>
        </w:rPr>
        <w:tab/>
      </w:r>
      <w:r w:rsidRPr="00853611">
        <w:rPr>
          <w:sz w:val="20"/>
        </w:rPr>
        <w:t>– Centrum pro studium vysokého školství</w:t>
      </w:r>
    </w:p>
    <w:p w14:paraId="2C23B85C" w14:textId="77777777" w:rsidR="000419FA" w:rsidRPr="00853611" w:rsidRDefault="000419FA" w:rsidP="00515127">
      <w:pPr>
        <w:ind w:left="1560" w:hanging="1560"/>
        <w:rPr>
          <w:sz w:val="20"/>
        </w:rPr>
      </w:pPr>
      <w:r w:rsidRPr="00853611">
        <w:rPr>
          <w:sz w:val="20"/>
        </w:rPr>
        <w:t>CŠ</w:t>
      </w:r>
      <w:r w:rsidR="00187140" w:rsidRPr="00853611">
        <w:rPr>
          <w:sz w:val="20"/>
        </w:rPr>
        <w:tab/>
      </w:r>
      <w:r w:rsidRPr="00853611">
        <w:rPr>
          <w:sz w:val="20"/>
        </w:rPr>
        <w:t>– církevní školy</w:t>
      </w:r>
    </w:p>
    <w:p w14:paraId="71646A8D" w14:textId="77777777" w:rsidR="000419FA" w:rsidRPr="00853611" w:rsidRDefault="000419FA" w:rsidP="00515127">
      <w:pPr>
        <w:ind w:left="1560" w:hanging="1560"/>
        <w:rPr>
          <w:sz w:val="20"/>
        </w:rPr>
      </w:pPr>
      <w:r w:rsidRPr="00853611">
        <w:rPr>
          <w:sz w:val="20"/>
        </w:rPr>
        <w:t>CZVV</w:t>
      </w:r>
      <w:r w:rsidR="00187140" w:rsidRPr="00853611">
        <w:rPr>
          <w:sz w:val="20"/>
        </w:rPr>
        <w:tab/>
      </w:r>
      <w:r w:rsidRPr="00853611">
        <w:rPr>
          <w:sz w:val="20"/>
        </w:rPr>
        <w:t>– Centrum pro zjišťování výsledků vzdělávání</w:t>
      </w:r>
    </w:p>
    <w:p w14:paraId="345887DA" w14:textId="77777777" w:rsidR="000419FA" w:rsidRPr="00853611" w:rsidRDefault="000419FA" w:rsidP="00515127">
      <w:pPr>
        <w:ind w:left="1560" w:hanging="1560"/>
        <w:rPr>
          <w:sz w:val="20"/>
        </w:rPr>
      </w:pPr>
      <w:r w:rsidRPr="00853611">
        <w:rPr>
          <w:sz w:val="20"/>
        </w:rPr>
        <w:t>ČNB</w:t>
      </w:r>
      <w:r w:rsidR="00187140" w:rsidRPr="00853611">
        <w:rPr>
          <w:sz w:val="20"/>
        </w:rPr>
        <w:tab/>
      </w:r>
      <w:r w:rsidRPr="00853611">
        <w:rPr>
          <w:sz w:val="20"/>
        </w:rPr>
        <w:t>– Česká národní banka</w:t>
      </w:r>
    </w:p>
    <w:p w14:paraId="43608DF0" w14:textId="77777777" w:rsidR="000419FA" w:rsidRPr="00853611" w:rsidRDefault="000419FA" w:rsidP="00515127">
      <w:pPr>
        <w:ind w:left="1560" w:hanging="1560"/>
        <w:rPr>
          <w:sz w:val="20"/>
        </w:rPr>
      </w:pPr>
      <w:r w:rsidRPr="00853611">
        <w:rPr>
          <w:sz w:val="20"/>
        </w:rPr>
        <w:t xml:space="preserve">ČŠI </w:t>
      </w:r>
      <w:r w:rsidR="00187140" w:rsidRPr="00853611">
        <w:rPr>
          <w:sz w:val="20"/>
        </w:rPr>
        <w:tab/>
      </w:r>
      <w:r w:rsidRPr="00853611">
        <w:rPr>
          <w:sz w:val="20"/>
        </w:rPr>
        <w:t>– Česká školní inspekce</w:t>
      </w:r>
    </w:p>
    <w:p w14:paraId="6A31FE8F" w14:textId="77777777" w:rsidR="000419FA" w:rsidRPr="00853611" w:rsidRDefault="000419FA" w:rsidP="00515127">
      <w:pPr>
        <w:ind w:left="1560" w:hanging="1560"/>
        <w:rPr>
          <w:sz w:val="20"/>
        </w:rPr>
      </w:pPr>
      <w:r w:rsidRPr="00853611">
        <w:rPr>
          <w:sz w:val="20"/>
        </w:rPr>
        <w:t>ČZU</w:t>
      </w:r>
      <w:r w:rsidR="00187140" w:rsidRPr="00853611">
        <w:rPr>
          <w:sz w:val="20"/>
        </w:rPr>
        <w:tab/>
      </w:r>
      <w:r w:rsidRPr="00853611">
        <w:rPr>
          <w:sz w:val="20"/>
        </w:rPr>
        <w:t>– Česká zemědělská univerzita</w:t>
      </w:r>
    </w:p>
    <w:p w14:paraId="1AFFB401" w14:textId="77777777" w:rsidR="000419FA" w:rsidRPr="00853611" w:rsidRDefault="000419FA" w:rsidP="00515127">
      <w:pPr>
        <w:ind w:left="1560" w:hanging="1560"/>
        <w:rPr>
          <w:sz w:val="20"/>
        </w:rPr>
      </w:pPr>
      <w:r w:rsidRPr="00853611">
        <w:rPr>
          <w:sz w:val="20"/>
        </w:rPr>
        <w:t xml:space="preserve">DDÚ </w:t>
      </w:r>
      <w:r w:rsidR="00187140" w:rsidRPr="00853611">
        <w:rPr>
          <w:sz w:val="20"/>
        </w:rPr>
        <w:tab/>
      </w:r>
      <w:r w:rsidRPr="00853611">
        <w:rPr>
          <w:sz w:val="20"/>
        </w:rPr>
        <w:t>– dětský diagnostický ústav</w:t>
      </w:r>
    </w:p>
    <w:p w14:paraId="5EA94E19" w14:textId="77777777" w:rsidR="000419FA" w:rsidRPr="00853611" w:rsidRDefault="000419FA" w:rsidP="00515127">
      <w:pPr>
        <w:ind w:left="1560" w:hanging="1560"/>
        <w:rPr>
          <w:sz w:val="20"/>
        </w:rPr>
      </w:pPr>
      <w:r w:rsidRPr="00853611">
        <w:rPr>
          <w:sz w:val="20"/>
        </w:rPr>
        <w:t xml:space="preserve">DPČ </w:t>
      </w:r>
      <w:r w:rsidR="00187140" w:rsidRPr="00853611">
        <w:rPr>
          <w:sz w:val="20"/>
        </w:rPr>
        <w:tab/>
      </w:r>
      <w:r w:rsidRPr="00853611">
        <w:rPr>
          <w:sz w:val="20"/>
        </w:rPr>
        <w:t>– dohoda o pracovní činnosti</w:t>
      </w:r>
    </w:p>
    <w:p w14:paraId="2025F6B7" w14:textId="77777777" w:rsidR="000419FA" w:rsidRPr="00853611" w:rsidRDefault="000419FA" w:rsidP="00515127">
      <w:pPr>
        <w:ind w:left="1560" w:hanging="1560"/>
        <w:rPr>
          <w:sz w:val="20"/>
        </w:rPr>
      </w:pPr>
      <w:r w:rsidRPr="00853611">
        <w:rPr>
          <w:sz w:val="20"/>
        </w:rPr>
        <w:t xml:space="preserve">DPP </w:t>
      </w:r>
      <w:r w:rsidR="00187140" w:rsidRPr="00853611">
        <w:rPr>
          <w:sz w:val="20"/>
        </w:rPr>
        <w:tab/>
      </w:r>
      <w:r w:rsidRPr="00853611">
        <w:rPr>
          <w:sz w:val="20"/>
        </w:rPr>
        <w:t>– dohoda o provedení práce</w:t>
      </w:r>
    </w:p>
    <w:p w14:paraId="6B7697F4" w14:textId="77777777" w:rsidR="000419FA" w:rsidRPr="00853611" w:rsidRDefault="000419FA" w:rsidP="00515127">
      <w:pPr>
        <w:ind w:left="1560" w:hanging="1560"/>
        <w:rPr>
          <w:sz w:val="20"/>
        </w:rPr>
      </w:pPr>
      <w:r w:rsidRPr="00853611">
        <w:rPr>
          <w:sz w:val="20"/>
        </w:rPr>
        <w:t xml:space="preserve">DZS </w:t>
      </w:r>
      <w:r w:rsidR="00187140" w:rsidRPr="00853611">
        <w:rPr>
          <w:sz w:val="20"/>
        </w:rPr>
        <w:tab/>
      </w:r>
      <w:r w:rsidRPr="00853611">
        <w:rPr>
          <w:sz w:val="20"/>
        </w:rPr>
        <w:t>– Dům zahraničních spolupráce</w:t>
      </w:r>
    </w:p>
    <w:p w14:paraId="3FB064CD" w14:textId="77777777" w:rsidR="000419FA" w:rsidRPr="00853611" w:rsidRDefault="000419FA" w:rsidP="00515127">
      <w:pPr>
        <w:ind w:left="1560" w:hanging="1560"/>
        <w:rPr>
          <w:sz w:val="20"/>
        </w:rPr>
      </w:pPr>
      <w:r w:rsidRPr="00853611">
        <w:rPr>
          <w:sz w:val="20"/>
        </w:rPr>
        <w:t xml:space="preserve">EDS/SMVS </w:t>
      </w:r>
      <w:r w:rsidR="00187140" w:rsidRPr="00853611">
        <w:rPr>
          <w:sz w:val="20"/>
        </w:rPr>
        <w:tab/>
      </w:r>
      <w:r w:rsidRPr="00853611">
        <w:rPr>
          <w:sz w:val="20"/>
        </w:rPr>
        <w:t>– Evidenční dotační systém a Správa majetku ve vlastnictví státu</w:t>
      </w:r>
    </w:p>
    <w:p w14:paraId="6D17DB5F" w14:textId="77777777" w:rsidR="000419FA" w:rsidRPr="00853611" w:rsidRDefault="000419FA" w:rsidP="00515127">
      <w:pPr>
        <w:ind w:left="1560" w:hanging="1560"/>
        <w:rPr>
          <w:sz w:val="20"/>
        </w:rPr>
      </w:pPr>
      <w:r w:rsidRPr="00853611">
        <w:rPr>
          <w:sz w:val="20"/>
        </w:rPr>
        <w:t xml:space="preserve">EHP/Norsko </w:t>
      </w:r>
      <w:r w:rsidR="00187140" w:rsidRPr="00853611">
        <w:rPr>
          <w:sz w:val="20"/>
        </w:rPr>
        <w:tab/>
      </w:r>
      <w:r w:rsidRPr="00853611">
        <w:rPr>
          <w:sz w:val="20"/>
        </w:rPr>
        <w:t>– Evropský hospodářský prostor</w:t>
      </w:r>
    </w:p>
    <w:p w14:paraId="4747AF9E" w14:textId="77777777" w:rsidR="000419FA" w:rsidRPr="00853611" w:rsidRDefault="000419FA" w:rsidP="00515127">
      <w:pPr>
        <w:ind w:left="1560" w:hanging="1560"/>
        <w:rPr>
          <w:sz w:val="20"/>
        </w:rPr>
      </w:pPr>
      <w:r w:rsidRPr="00853611">
        <w:rPr>
          <w:sz w:val="20"/>
        </w:rPr>
        <w:t xml:space="preserve">EIB </w:t>
      </w:r>
      <w:r w:rsidR="00187140" w:rsidRPr="00853611">
        <w:rPr>
          <w:sz w:val="20"/>
        </w:rPr>
        <w:tab/>
      </w:r>
      <w:r w:rsidRPr="00853611">
        <w:rPr>
          <w:sz w:val="20"/>
        </w:rPr>
        <w:t>– Evropská investiční banka</w:t>
      </w:r>
    </w:p>
    <w:p w14:paraId="24290DA7" w14:textId="77777777" w:rsidR="000419FA" w:rsidRPr="00853611" w:rsidRDefault="000419FA" w:rsidP="00515127">
      <w:pPr>
        <w:ind w:left="1560" w:hanging="1560"/>
        <w:rPr>
          <w:sz w:val="20"/>
        </w:rPr>
      </w:pPr>
      <w:r w:rsidRPr="00853611">
        <w:rPr>
          <w:sz w:val="20"/>
        </w:rPr>
        <w:t xml:space="preserve">EK </w:t>
      </w:r>
      <w:r w:rsidR="00187140" w:rsidRPr="00853611">
        <w:rPr>
          <w:sz w:val="20"/>
        </w:rPr>
        <w:tab/>
      </w:r>
      <w:r w:rsidRPr="00853611">
        <w:rPr>
          <w:sz w:val="20"/>
        </w:rPr>
        <w:t>– Evropská komise</w:t>
      </w:r>
    </w:p>
    <w:p w14:paraId="55FD7D8F" w14:textId="77777777" w:rsidR="000419FA" w:rsidRPr="00853611" w:rsidRDefault="000419FA" w:rsidP="00515127">
      <w:pPr>
        <w:ind w:left="1560" w:hanging="1560"/>
        <w:rPr>
          <w:sz w:val="20"/>
        </w:rPr>
      </w:pPr>
      <w:r w:rsidRPr="00853611">
        <w:rPr>
          <w:sz w:val="20"/>
        </w:rPr>
        <w:t xml:space="preserve">EKIS </w:t>
      </w:r>
      <w:r w:rsidR="00187140" w:rsidRPr="00853611">
        <w:rPr>
          <w:sz w:val="20"/>
        </w:rPr>
        <w:tab/>
      </w:r>
      <w:r w:rsidRPr="00853611">
        <w:rPr>
          <w:sz w:val="20"/>
        </w:rPr>
        <w:t>– ekonomický a informační systém</w:t>
      </w:r>
    </w:p>
    <w:p w14:paraId="78C6B222" w14:textId="77777777" w:rsidR="000419FA" w:rsidRPr="00853611" w:rsidRDefault="000419FA" w:rsidP="00515127">
      <w:pPr>
        <w:ind w:left="1560" w:hanging="1560"/>
        <w:rPr>
          <w:sz w:val="20"/>
        </w:rPr>
      </w:pPr>
      <w:r w:rsidRPr="00853611">
        <w:rPr>
          <w:sz w:val="20"/>
        </w:rPr>
        <w:t xml:space="preserve">ELI </w:t>
      </w:r>
      <w:r w:rsidR="00187140" w:rsidRPr="00853611">
        <w:rPr>
          <w:sz w:val="20"/>
        </w:rPr>
        <w:tab/>
      </w:r>
      <w:r w:rsidRPr="00853611">
        <w:rPr>
          <w:sz w:val="20"/>
        </w:rPr>
        <w:t>– Extreme Light Infrastrukture</w:t>
      </w:r>
    </w:p>
    <w:p w14:paraId="79ACC4B9" w14:textId="77777777" w:rsidR="000419FA" w:rsidRPr="00853611" w:rsidRDefault="000419FA" w:rsidP="00515127">
      <w:pPr>
        <w:ind w:left="1560" w:hanging="1560"/>
        <w:rPr>
          <w:sz w:val="20"/>
        </w:rPr>
      </w:pPr>
      <w:r w:rsidRPr="00853611">
        <w:rPr>
          <w:sz w:val="20"/>
        </w:rPr>
        <w:t xml:space="preserve">ES </w:t>
      </w:r>
      <w:r w:rsidR="00187140" w:rsidRPr="00853611">
        <w:rPr>
          <w:sz w:val="20"/>
        </w:rPr>
        <w:tab/>
      </w:r>
      <w:r w:rsidRPr="00853611">
        <w:rPr>
          <w:sz w:val="20"/>
        </w:rPr>
        <w:t>– Evropská směrnice</w:t>
      </w:r>
    </w:p>
    <w:p w14:paraId="7403EF81" w14:textId="77777777" w:rsidR="000419FA" w:rsidRPr="00853611" w:rsidRDefault="000419FA" w:rsidP="00515127">
      <w:pPr>
        <w:ind w:left="1560" w:hanging="1560"/>
        <w:rPr>
          <w:sz w:val="20"/>
        </w:rPr>
      </w:pPr>
      <w:r w:rsidRPr="00853611">
        <w:rPr>
          <w:sz w:val="20"/>
        </w:rPr>
        <w:t xml:space="preserve">ESF </w:t>
      </w:r>
      <w:r w:rsidR="00187140" w:rsidRPr="00853611">
        <w:rPr>
          <w:sz w:val="20"/>
        </w:rPr>
        <w:tab/>
      </w:r>
      <w:r w:rsidRPr="00853611">
        <w:rPr>
          <w:sz w:val="20"/>
        </w:rPr>
        <w:t>– Evropský sociální fond</w:t>
      </w:r>
    </w:p>
    <w:p w14:paraId="56082345" w14:textId="77777777" w:rsidR="000419FA" w:rsidRPr="00853611" w:rsidRDefault="000419FA" w:rsidP="00515127">
      <w:pPr>
        <w:ind w:left="1560" w:hanging="1560"/>
        <w:rPr>
          <w:sz w:val="20"/>
        </w:rPr>
      </w:pPr>
      <w:r w:rsidRPr="00853611">
        <w:rPr>
          <w:sz w:val="20"/>
        </w:rPr>
        <w:t xml:space="preserve">EU </w:t>
      </w:r>
      <w:r w:rsidR="00187140" w:rsidRPr="00853611">
        <w:rPr>
          <w:sz w:val="20"/>
        </w:rPr>
        <w:tab/>
      </w:r>
      <w:r w:rsidRPr="00853611">
        <w:rPr>
          <w:sz w:val="20"/>
        </w:rPr>
        <w:t>– Evropská unie</w:t>
      </w:r>
    </w:p>
    <w:p w14:paraId="113DEE34" w14:textId="77777777" w:rsidR="000419FA" w:rsidRPr="00853611" w:rsidRDefault="000419FA" w:rsidP="00515127">
      <w:pPr>
        <w:ind w:left="1560" w:hanging="1560"/>
        <w:rPr>
          <w:sz w:val="20"/>
        </w:rPr>
      </w:pPr>
      <w:r w:rsidRPr="00853611">
        <w:rPr>
          <w:sz w:val="20"/>
        </w:rPr>
        <w:t>EUROPASS</w:t>
      </w:r>
      <w:r w:rsidR="00187140" w:rsidRPr="00853611">
        <w:rPr>
          <w:sz w:val="20"/>
        </w:rPr>
        <w:tab/>
      </w:r>
      <w:r w:rsidRPr="00853611">
        <w:rPr>
          <w:sz w:val="20"/>
        </w:rPr>
        <w:t>– Jednotný rámec pro transparentnost kvalifikací a kompetencí</w:t>
      </w:r>
    </w:p>
    <w:p w14:paraId="0FE7F618" w14:textId="77777777" w:rsidR="000419FA" w:rsidRPr="00853611" w:rsidRDefault="000419FA" w:rsidP="00515127">
      <w:pPr>
        <w:ind w:left="1560" w:hanging="1560"/>
        <w:rPr>
          <w:sz w:val="20"/>
        </w:rPr>
      </w:pPr>
      <w:r w:rsidRPr="00853611">
        <w:rPr>
          <w:sz w:val="20"/>
        </w:rPr>
        <w:t>FKSP</w:t>
      </w:r>
      <w:r w:rsidR="00187140" w:rsidRPr="00853611">
        <w:rPr>
          <w:sz w:val="20"/>
        </w:rPr>
        <w:tab/>
      </w:r>
      <w:r w:rsidRPr="00853611">
        <w:rPr>
          <w:sz w:val="20"/>
        </w:rPr>
        <w:t>– fond kulturních a sociálních potřeb</w:t>
      </w:r>
    </w:p>
    <w:p w14:paraId="50D8A8D8" w14:textId="77777777" w:rsidR="000419FA" w:rsidRPr="00853611" w:rsidRDefault="000419FA" w:rsidP="00515127">
      <w:pPr>
        <w:ind w:left="1560" w:hanging="1560"/>
        <w:rPr>
          <w:sz w:val="20"/>
        </w:rPr>
      </w:pPr>
      <w:r w:rsidRPr="00853611">
        <w:rPr>
          <w:sz w:val="20"/>
        </w:rPr>
        <w:t xml:space="preserve">FM </w:t>
      </w:r>
      <w:r w:rsidR="00187140" w:rsidRPr="00853611">
        <w:rPr>
          <w:sz w:val="20"/>
        </w:rPr>
        <w:tab/>
      </w:r>
      <w:r w:rsidRPr="00853611">
        <w:rPr>
          <w:sz w:val="20"/>
        </w:rPr>
        <w:t>– finanční mechanismy</w:t>
      </w:r>
    </w:p>
    <w:p w14:paraId="22D2542A" w14:textId="77777777" w:rsidR="000419FA" w:rsidRPr="00853611" w:rsidRDefault="000419FA" w:rsidP="00515127">
      <w:pPr>
        <w:ind w:left="1560" w:hanging="1560"/>
        <w:rPr>
          <w:sz w:val="20"/>
        </w:rPr>
      </w:pPr>
      <w:r w:rsidRPr="00853611">
        <w:rPr>
          <w:sz w:val="20"/>
        </w:rPr>
        <w:t xml:space="preserve">FO </w:t>
      </w:r>
      <w:r w:rsidR="00187140" w:rsidRPr="00853611">
        <w:rPr>
          <w:sz w:val="20"/>
        </w:rPr>
        <w:tab/>
      </w:r>
      <w:r w:rsidRPr="00853611">
        <w:rPr>
          <w:sz w:val="20"/>
        </w:rPr>
        <w:t>– fond odměn</w:t>
      </w:r>
    </w:p>
    <w:p w14:paraId="79F3A619" w14:textId="77777777" w:rsidR="000419FA" w:rsidRPr="00853611" w:rsidRDefault="000419FA" w:rsidP="00515127">
      <w:pPr>
        <w:ind w:left="1560" w:hanging="1560"/>
        <w:rPr>
          <w:sz w:val="20"/>
        </w:rPr>
      </w:pPr>
      <w:r w:rsidRPr="00853611">
        <w:rPr>
          <w:sz w:val="20"/>
        </w:rPr>
        <w:t xml:space="preserve">GFŘ </w:t>
      </w:r>
      <w:r w:rsidR="00187140" w:rsidRPr="00853611">
        <w:rPr>
          <w:sz w:val="20"/>
        </w:rPr>
        <w:tab/>
      </w:r>
      <w:r w:rsidRPr="00853611">
        <w:rPr>
          <w:sz w:val="20"/>
        </w:rPr>
        <w:t>– Generální finanční ředitelství</w:t>
      </w:r>
    </w:p>
    <w:p w14:paraId="1337FAEE" w14:textId="77777777" w:rsidR="000419FA" w:rsidRPr="00853611" w:rsidRDefault="000419FA" w:rsidP="00515127">
      <w:pPr>
        <w:ind w:left="1560" w:hanging="1560"/>
        <w:rPr>
          <w:sz w:val="20"/>
        </w:rPr>
      </w:pPr>
      <w:r w:rsidRPr="00853611">
        <w:rPr>
          <w:sz w:val="20"/>
        </w:rPr>
        <w:t xml:space="preserve">HDP </w:t>
      </w:r>
      <w:r w:rsidR="00187140" w:rsidRPr="00853611">
        <w:rPr>
          <w:sz w:val="20"/>
        </w:rPr>
        <w:tab/>
      </w:r>
      <w:r w:rsidRPr="00853611">
        <w:rPr>
          <w:sz w:val="20"/>
        </w:rPr>
        <w:t>– hrubý domácí produkt</w:t>
      </w:r>
    </w:p>
    <w:p w14:paraId="65A23B06" w14:textId="77777777" w:rsidR="000419FA" w:rsidRPr="00853611" w:rsidRDefault="000419FA" w:rsidP="00515127">
      <w:pPr>
        <w:ind w:left="1560" w:hanging="1560"/>
        <w:rPr>
          <w:sz w:val="20"/>
        </w:rPr>
      </w:pPr>
      <w:r w:rsidRPr="00853611">
        <w:rPr>
          <w:sz w:val="20"/>
        </w:rPr>
        <w:t xml:space="preserve">IISSP </w:t>
      </w:r>
      <w:r w:rsidR="00187140" w:rsidRPr="00853611">
        <w:rPr>
          <w:sz w:val="20"/>
        </w:rPr>
        <w:tab/>
      </w:r>
      <w:r w:rsidRPr="00853611">
        <w:rPr>
          <w:sz w:val="20"/>
        </w:rPr>
        <w:t>– Integrovaný informační systém Státní pokladny</w:t>
      </w:r>
    </w:p>
    <w:p w14:paraId="1BBF48B9" w14:textId="77777777" w:rsidR="000419FA" w:rsidRPr="00853611" w:rsidRDefault="000419FA" w:rsidP="00515127">
      <w:pPr>
        <w:ind w:left="1560" w:hanging="1560"/>
        <w:rPr>
          <w:sz w:val="20"/>
        </w:rPr>
      </w:pPr>
      <w:r w:rsidRPr="00853611">
        <w:rPr>
          <w:sz w:val="20"/>
        </w:rPr>
        <w:t xml:space="preserve">ISROS </w:t>
      </w:r>
      <w:r w:rsidR="00187140" w:rsidRPr="00853611">
        <w:rPr>
          <w:sz w:val="20"/>
        </w:rPr>
        <w:tab/>
      </w:r>
      <w:r w:rsidRPr="00853611">
        <w:rPr>
          <w:sz w:val="20"/>
        </w:rPr>
        <w:t>– Integrovaný systém rozpočtu a skutečnosti</w:t>
      </w:r>
    </w:p>
    <w:p w14:paraId="14559822" w14:textId="77777777" w:rsidR="000419FA" w:rsidRPr="00853611" w:rsidRDefault="000419FA" w:rsidP="00515127">
      <w:pPr>
        <w:ind w:left="1560" w:hanging="1560"/>
        <w:rPr>
          <w:sz w:val="20"/>
        </w:rPr>
      </w:pPr>
      <w:r w:rsidRPr="00853611">
        <w:rPr>
          <w:sz w:val="20"/>
        </w:rPr>
        <w:t xml:space="preserve">IS </w:t>
      </w:r>
      <w:r w:rsidR="00187140" w:rsidRPr="00853611">
        <w:rPr>
          <w:sz w:val="20"/>
        </w:rPr>
        <w:tab/>
      </w:r>
      <w:r w:rsidRPr="00853611">
        <w:rPr>
          <w:sz w:val="20"/>
        </w:rPr>
        <w:t>– informační systém</w:t>
      </w:r>
    </w:p>
    <w:p w14:paraId="32BA094C" w14:textId="77777777" w:rsidR="000419FA" w:rsidRPr="00853611" w:rsidRDefault="000419FA" w:rsidP="00515127">
      <w:pPr>
        <w:ind w:left="1560" w:hanging="1560"/>
        <w:rPr>
          <w:sz w:val="20"/>
        </w:rPr>
      </w:pPr>
      <w:r w:rsidRPr="00853611">
        <w:rPr>
          <w:sz w:val="20"/>
        </w:rPr>
        <w:t xml:space="preserve">ISPROFIN </w:t>
      </w:r>
      <w:r w:rsidR="00187140" w:rsidRPr="00853611">
        <w:rPr>
          <w:sz w:val="20"/>
        </w:rPr>
        <w:tab/>
      </w:r>
      <w:r w:rsidRPr="00853611">
        <w:rPr>
          <w:sz w:val="20"/>
        </w:rPr>
        <w:t>– Informační systém programového financování</w:t>
      </w:r>
    </w:p>
    <w:p w14:paraId="26038440" w14:textId="77777777" w:rsidR="000419FA" w:rsidRPr="00853611" w:rsidRDefault="000419FA" w:rsidP="00515127">
      <w:pPr>
        <w:ind w:left="1560" w:hanging="1560"/>
        <w:rPr>
          <w:sz w:val="20"/>
        </w:rPr>
      </w:pPr>
      <w:r w:rsidRPr="00853611">
        <w:rPr>
          <w:sz w:val="20"/>
        </w:rPr>
        <w:t xml:space="preserve">KJWF </w:t>
      </w:r>
      <w:r w:rsidR="00187140" w:rsidRPr="00853611">
        <w:rPr>
          <w:sz w:val="20"/>
        </w:rPr>
        <w:tab/>
      </w:r>
      <w:r w:rsidRPr="00853611">
        <w:rPr>
          <w:sz w:val="20"/>
        </w:rPr>
        <w:t>– Komise J.W. Fulbrighta</w:t>
      </w:r>
    </w:p>
    <w:p w14:paraId="6FF54458" w14:textId="77777777" w:rsidR="000419FA" w:rsidRPr="00853611" w:rsidRDefault="000419FA" w:rsidP="00515127">
      <w:pPr>
        <w:ind w:left="1560" w:hanging="1560"/>
        <w:rPr>
          <w:sz w:val="20"/>
        </w:rPr>
      </w:pPr>
      <w:r w:rsidRPr="00853611">
        <w:rPr>
          <w:sz w:val="20"/>
        </w:rPr>
        <w:t xml:space="preserve">KÚ </w:t>
      </w:r>
      <w:r w:rsidR="00187140" w:rsidRPr="00853611">
        <w:rPr>
          <w:sz w:val="20"/>
        </w:rPr>
        <w:tab/>
      </w:r>
      <w:r w:rsidRPr="00853611">
        <w:rPr>
          <w:sz w:val="20"/>
        </w:rPr>
        <w:t>– krajské úřady</w:t>
      </w:r>
    </w:p>
    <w:p w14:paraId="2F4BCD8B" w14:textId="77777777" w:rsidR="000419FA" w:rsidRPr="00853611" w:rsidRDefault="000419FA" w:rsidP="00515127">
      <w:pPr>
        <w:ind w:left="1560" w:hanging="1560"/>
        <w:rPr>
          <w:sz w:val="20"/>
        </w:rPr>
      </w:pPr>
      <w:r w:rsidRPr="00853611">
        <w:rPr>
          <w:sz w:val="20"/>
        </w:rPr>
        <w:t xml:space="preserve">KZÚV </w:t>
      </w:r>
      <w:r w:rsidR="00187140" w:rsidRPr="00853611">
        <w:rPr>
          <w:sz w:val="20"/>
        </w:rPr>
        <w:tab/>
      </w:r>
      <w:r w:rsidRPr="00853611">
        <w:rPr>
          <w:sz w:val="20"/>
        </w:rPr>
        <w:t>– krajská zařízení ústavní výchovy</w:t>
      </w:r>
    </w:p>
    <w:p w14:paraId="0A1924CB" w14:textId="77777777" w:rsidR="000419FA" w:rsidRPr="00853611" w:rsidRDefault="000419FA" w:rsidP="00515127">
      <w:pPr>
        <w:ind w:left="1560" w:hanging="1560"/>
        <w:rPr>
          <w:sz w:val="20"/>
        </w:rPr>
      </w:pPr>
      <w:r w:rsidRPr="00853611">
        <w:rPr>
          <w:sz w:val="20"/>
        </w:rPr>
        <w:t xml:space="preserve">LMP/R </w:t>
      </w:r>
      <w:r w:rsidR="00187140" w:rsidRPr="00853611">
        <w:rPr>
          <w:sz w:val="20"/>
        </w:rPr>
        <w:tab/>
      </w:r>
      <w:r w:rsidRPr="00853611">
        <w:rPr>
          <w:sz w:val="20"/>
        </w:rPr>
        <w:t>– lehké mentální postižení/retardace</w:t>
      </w:r>
    </w:p>
    <w:p w14:paraId="01A52451" w14:textId="77777777" w:rsidR="00E57074" w:rsidRPr="00853611" w:rsidRDefault="00E57074" w:rsidP="00515127">
      <w:pPr>
        <w:ind w:left="1560" w:hanging="1560"/>
        <w:rPr>
          <w:sz w:val="20"/>
        </w:rPr>
      </w:pPr>
      <w:r w:rsidRPr="00853611">
        <w:rPr>
          <w:sz w:val="20"/>
        </w:rPr>
        <w:t>LPZ</w:t>
      </w:r>
      <w:r w:rsidRPr="00853611">
        <w:rPr>
          <w:sz w:val="20"/>
        </w:rPr>
        <w:tab/>
        <w:t>– limit počtu zaměstnanců</w:t>
      </w:r>
    </w:p>
    <w:p w14:paraId="376EDD1E" w14:textId="77777777" w:rsidR="000419FA" w:rsidRPr="00853611" w:rsidRDefault="000419FA" w:rsidP="00515127">
      <w:pPr>
        <w:ind w:left="1560" w:hanging="1560"/>
        <w:rPr>
          <w:sz w:val="20"/>
        </w:rPr>
      </w:pPr>
      <w:r w:rsidRPr="00853611">
        <w:rPr>
          <w:sz w:val="20"/>
        </w:rPr>
        <w:t xml:space="preserve">MENDELU </w:t>
      </w:r>
      <w:r w:rsidR="00187140" w:rsidRPr="00853611">
        <w:rPr>
          <w:sz w:val="20"/>
        </w:rPr>
        <w:tab/>
      </w:r>
      <w:r w:rsidRPr="00853611">
        <w:rPr>
          <w:sz w:val="20"/>
        </w:rPr>
        <w:t>– Mendelova univerzita</w:t>
      </w:r>
    </w:p>
    <w:p w14:paraId="33258963" w14:textId="77777777" w:rsidR="000419FA" w:rsidRPr="00853611" w:rsidRDefault="000419FA" w:rsidP="00515127">
      <w:pPr>
        <w:ind w:left="1560" w:hanging="1560"/>
        <w:rPr>
          <w:sz w:val="20"/>
        </w:rPr>
      </w:pPr>
      <w:r w:rsidRPr="00853611">
        <w:rPr>
          <w:sz w:val="20"/>
        </w:rPr>
        <w:t xml:space="preserve">MF </w:t>
      </w:r>
      <w:r w:rsidR="00187140" w:rsidRPr="00853611">
        <w:rPr>
          <w:sz w:val="20"/>
        </w:rPr>
        <w:tab/>
      </w:r>
      <w:r w:rsidRPr="00853611">
        <w:rPr>
          <w:sz w:val="20"/>
        </w:rPr>
        <w:t>– Ministerstvo financí</w:t>
      </w:r>
    </w:p>
    <w:p w14:paraId="421476D4" w14:textId="77777777" w:rsidR="000419FA" w:rsidRPr="00853611" w:rsidRDefault="000419FA" w:rsidP="00515127">
      <w:pPr>
        <w:ind w:left="1560" w:hanging="1560"/>
        <w:rPr>
          <w:sz w:val="20"/>
        </w:rPr>
      </w:pPr>
      <w:r w:rsidRPr="00853611">
        <w:rPr>
          <w:sz w:val="20"/>
        </w:rPr>
        <w:t xml:space="preserve">MK </w:t>
      </w:r>
      <w:r w:rsidR="00187140" w:rsidRPr="00853611">
        <w:rPr>
          <w:sz w:val="20"/>
        </w:rPr>
        <w:tab/>
      </w:r>
      <w:r w:rsidRPr="00853611">
        <w:rPr>
          <w:sz w:val="20"/>
        </w:rPr>
        <w:t>– Ministerstvo kultury</w:t>
      </w:r>
    </w:p>
    <w:p w14:paraId="261F7105" w14:textId="77777777" w:rsidR="000419FA" w:rsidRPr="00853611" w:rsidRDefault="000419FA" w:rsidP="00515127">
      <w:pPr>
        <w:ind w:left="1560" w:hanging="1560"/>
        <w:rPr>
          <w:sz w:val="20"/>
        </w:rPr>
      </w:pPr>
      <w:r w:rsidRPr="00853611">
        <w:rPr>
          <w:sz w:val="20"/>
        </w:rPr>
        <w:t xml:space="preserve">MO </w:t>
      </w:r>
      <w:r w:rsidR="00187140" w:rsidRPr="00853611">
        <w:rPr>
          <w:sz w:val="20"/>
        </w:rPr>
        <w:tab/>
      </w:r>
      <w:r w:rsidRPr="00853611">
        <w:rPr>
          <w:sz w:val="20"/>
        </w:rPr>
        <w:t>– Ministerstvo obrany</w:t>
      </w:r>
    </w:p>
    <w:p w14:paraId="1F3F83AB" w14:textId="77777777" w:rsidR="000419FA" w:rsidRDefault="000419FA" w:rsidP="00515127">
      <w:pPr>
        <w:ind w:left="1560" w:hanging="1560"/>
        <w:rPr>
          <w:sz w:val="20"/>
        </w:rPr>
      </w:pPr>
      <w:r w:rsidRPr="00853611">
        <w:rPr>
          <w:sz w:val="20"/>
        </w:rPr>
        <w:t xml:space="preserve">MP </w:t>
      </w:r>
      <w:r w:rsidR="00187140" w:rsidRPr="00853611">
        <w:rPr>
          <w:sz w:val="20"/>
        </w:rPr>
        <w:tab/>
      </w:r>
      <w:r w:rsidRPr="00853611">
        <w:rPr>
          <w:sz w:val="20"/>
        </w:rPr>
        <w:t xml:space="preserve">– mzdové prostředky </w:t>
      </w:r>
    </w:p>
    <w:p w14:paraId="62AAE919" w14:textId="77777777" w:rsidR="00D45F63" w:rsidRDefault="00D45F63" w:rsidP="00515127">
      <w:pPr>
        <w:ind w:left="1560" w:hanging="1560"/>
        <w:rPr>
          <w:sz w:val="20"/>
        </w:rPr>
      </w:pPr>
      <w:r>
        <w:rPr>
          <w:sz w:val="20"/>
        </w:rPr>
        <w:t>MPP</w:t>
      </w:r>
      <w:r>
        <w:rPr>
          <w:sz w:val="20"/>
        </w:rPr>
        <w:tab/>
      </w:r>
      <w:r w:rsidRPr="00853611">
        <w:rPr>
          <w:sz w:val="20"/>
        </w:rPr>
        <w:t>–</w:t>
      </w:r>
      <w:r>
        <w:rPr>
          <w:sz w:val="20"/>
        </w:rPr>
        <w:t xml:space="preserve"> mzdové prostředky pedagogové</w:t>
      </w:r>
    </w:p>
    <w:p w14:paraId="51BD43D7" w14:textId="77777777" w:rsidR="00D45F63" w:rsidRPr="00853611" w:rsidRDefault="00D45F63" w:rsidP="00515127">
      <w:pPr>
        <w:ind w:left="1560" w:hanging="1560"/>
        <w:rPr>
          <w:sz w:val="20"/>
        </w:rPr>
      </w:pPr>
      <w:r>
        <w:rPr>
          <w:sz w:val="20"/>
        </w:rPr>
        <w:t>MPN</w:t>
      </w:r>
      <w:r>
        <w:rPr>
          <w:sz w:val="20"/>
        </w:rPr>
        <w:tab/>
      </w:r>
      <w:r w:rsidRPr="00853611">
        <w:rPr>
          <w:sz w:val="20"/>
        </w:rPr>
        <w:t>–</w:t>
      </w:r>
      <w:r>
        <w:rPr>
          <w:sz w:val="20"/>
        </w:rPr>
        <w:t xml:space="preserve"> mzdové prostředky nepedagogové</w:t>
      </w:r>
    </w:p>
    <w:p w14:paraId="64E06E30" w14:textId="77777777" w:rsidR="000419FA" w:rsidRPr="00853611" w:rsidRDefault="000419FA" w:rsidP="00515127">
      <w:pPr>
        <w:ind w:left="1560" w:hanging="1560"/>
        <w:rPr>
          <w:sz w:val="20"/>
        </w:rPr>
      </w:pPr>
      <w:r w:rsidRPr="00853611">
        <w:rPr>
          <w:sz w:val="20"/>
        </w:rPr>
        <w:t xml:space="preserve">MŠ </w:t>
      </w:r>
      <w:r w:rsidR="00187140" w:rsidRPr="00853611">
        <w:rPr>
          <w:sz w:val="20"/>
        </w:rPr>
        <w:tab/>
      </w:r>
      <w:r w:rsidRPr="00853611">
        <w:rPr>
          <w:sz w:val="20"/>
        </w:rPr>
        <w:t>– mateřské školy</w:t>
      </w:r>
    </w:p>
    <w:p w14:paraId="10F01489" w14:textId="77777777" w:rsidR="000419FA" w:rsidRPr="00853611" w:rsidRDefault="000419FA" w:rsidP="00515127">
      <w:pPr>
        <w:ind w:left="1560" w:hanging="1560"/>
        <w:rPr>
          <w:sz w:val="20"/>
        </w:rPr>
      </w:pPr>
      <w:r w:rsidRPr="00853611">
        <w:rPr>
          <w:sz w:val="20"/>
        </w:rPr>
        <w:t xml:space="preserve">MŠMT </w:t>
      </w:r>
      <w:r w:rsidR="00187140" w:rsidRPr="00853611">
        <w:rPr>
          <w:sz w:val="20"/>
        </w:rPr>
        <w:tab/>
      </w:r>
      <w:r w:rsidRPr="00853611">
        <w:rPr>
          <w:sz w:val="20"/>
        </w:rPr>
        <w:t>– Ministerstvo školství, mládeže a tělovýchovy</w:t>
      </w:r>
    </w:p>
    <w:p w14:paraId="6550913A" w14:textId="77777777" w:rsidR="000419FA" w:rsidRPr="00853611" w:rsidRDefault="000419FA" w:rsidP="00515127">
      <w:pPr>
        <w:ind w:left="1560" w:hanging="1560"/>
        <w:rPr>
          <w:sz w:val="20"/>
        </w:rPr>
      </w:pPr>
      <w:r w:rsidRPr="00853611">
        <w:rPr>
          <w:sz w:val="20"/>
        </w:rPr>
        <w:t xml:space="preserve">MTZ </w:t>
      </w:r>
      <w:r w:rsidR="00187140" w:rsidRPr="00853611">
        <w:rPr>
          <w:sz w:val="20"/>
        </w:rPr>
        <w:tab/>
      </w:r>
      <w:r w:rsidRPr="00853611">
        <w:rPr>
          <w:sz w:val="20"/>
        </w:rPr>
        <w:t>– materiálně technická základna</w:t>
      </w:r>
    </w:p>
    <w:p w14:paraId="5EE04685" w14:textId="77777777" w:rsidR="000419FA" w:rsidRPr="00853611" w:rsidRDefault="000419FA" w:rsidP="00515127">
      <w:pPr>
        <w:ind w:left="1560" w:hanging="1560"/>
        <w:rPr>
          <w:sz w:val="20"/>
        </w:rPr>
      </w:pPr>
      <w:r w:rsidRPr="00853611">
        <w:rPr>
          <w:sz w:val="20"/>
        </w:rPr>
        <w:t xml:space="preserve">MU </w:t>
      </w:r>
      <w:r w:rsidR="00187140" w:rsidRPr="00853611">
        <w:rPr>
          <w:sz w:val="20"/>
        </w:rPr>
        <w:tab/>
      </w:r>
      <w:r w:rsidRPr="00853611">
        <w:rPr>
          <w:sz w:val="20"/>
        </w:rPr>
        <w:t>– Masarykova univerzita</w:t>
      </w:r>
    </w:p>
    <w:p w14:paraId="5CFE3E19" w14:textId="77777777" w:rsidR="000419FA" w:rsidRPr="00853611" w:rsidRDefault="000419FA" w:rsidP="00515127">
      <w:pPr>
        <w:ind w:left="1560" w:hanging="1560"/>
        <w:rPr>
          <w:sz w:val="20"/>
        </w:rPr>
      </w:pPr>
      <w:r w:rsidRPr="00853611">
        <w:rPr>
          <w:sz w:val="20"/>
        </w:rPr>
        <w:t xml:space="preserve">MV </w:t>
      </w:r>
      <w:r w:rsidR="00187140" w:rsidRPr="00853611">
        <w:rPr>
          <w:sz w:val="20"/>
        </w:rPr>
        <w:tab/>
      </w:r>
      <w:r w:rsidRPr="00853611">
        <w:rPr>
          <w:sz w:val="20"/>
        </w:rPr>
        <w:t>– Ministerstvo vnitra</w:t>
      </w:r>
    </w:p>
    <w:p w14:paraId="20A1207F" w14:textId="77777777" w:rsidR="000419FA" w:rsidRPr="00853611" w:rsidRDefault="000419FA" w:rsidP="00515127">
      <w:pPr>
        <w:ind w:left="1560" w:hanging="1560"/>
        <w:rPr>
          <w:sz w:val="20"/>
        </w:rPr>
      </w:pPr>
      <w:r w:rsidRPr="00853611">
        <w:rPr>
          <w:sz w:val="20"/>
        </w:rPr>
        <w:t xml:space="preserve">NAEP </w:t>
      </w:r>
      <w:r w:rsidR="00187140" w:rsidRPr="00853611">
        <w:rPr>
          <w:sz w:val="20"/>
        </w:rPr>
        <w:tab/>
      </w:r>
      <w:r w:rsidRPr="00853611">
        <w:rPr>
          <w:sz w:val="20"/>
        </w:rPr>
        <w:t>– Národní agentura pro evropské vzdělávací programy</w:t>
      </w:r>
    </w:p>
    <w:p w14:paraId="606872B0" w14:textId="77777777" w:rsidR="000419FA" w:rsidRPr="00853611" w:rsidRDefault="000419FA" w:rsidP="00515127">
      <w:pPr>
        <w:ind w:left="1560" w:hanging="1560"/>
        <w:rPr>
          <w:sz w:val="20"/>
        </w:rPr>
      </w:pPr>
      <w:r w:rsidRPr="00853611">
        <w:rPr>
          <w:sz w:val="20"/>
        </w:rPr>
        <w:t xml:space="preserve">NIDV </w:t>
      </w:r>
      <w:r w:rsidR="00187140" w:rsidRPr="00853611">
        <w:rPr>
          <w:sz w:val="20"/>
        </w:rPr>
        <w:tab/>
      </w:r>
      <w:r w:rsidRPr="00853611">
        <w:rPr>
          <w:sz w:val="20"/>
        </w:rPr>
        <w:t>– Národní institut dalšího vzdělávání</w:t>
      </w:r>
    </w:p>
    <w:p w14:paraId="2204BFE0" w14:textId="77777777" w:rsidR="000419FA" w:rsidRPr="00853611" w:rsidRDefault="000419FA" w:rsidP="00515127">
      <w:pPr>
        <w:ind w:left="1560" w:hanging="1560"/>
        <w:rPr>
          <w:sz w:val="20"/>
        </w:rPr>
      </w:pPr>
      <w:r w:rsidRPr="00853611">
        <w:rPr>
          <w:sz w:val="20"/>
        </w:rPr>
        <w:t xml:space="preserve">NIQES </w:t>
      </w:r>
      <w:r w:rsidR="00187140" w:rsidRPr="00853611">
        <w:rPr>
          <w:sz w:val="20"/>
        </w:rPr>
        <w:tab/>
      </w:r>
      <w:r w:rsidRPr="00853611">
        <w:rPr>
          <w:sz w:val="20"/>
        </w:rPr>
        <w:t>– Národní systém inspekčního hodnocení vzdělávací soustavy v České republice</w:t>
      </w:r>
    </w:p>
    <w:p w14:paraId="2B41CA78" w14:textId="77777777" w:rsidR="000419FA" w:rsidRPr="00853611" w:rsidRDefault="000419FA" w:rsidP="00515127">
      <w:pPr>
        <w:ind w:left="1560" w:hanging="1560"/>
        <w:rPr>
          <w:sz w:val="20"/>
        </w:rPr>
      </w:pPr>
      <w:r w:rsidRPr="00853611">
        <w:rPr>
          <w:sz w:val="20"/>
        </w:rPr>
        <w:t xml:space="preserve">NIV </w:t>
      </w:r>
      <w:r w:rsidR="00187140" w:rsidRPr="00853611">
        <w:rPr>
          <w:sz w:val="20"/>
        </w:rPr>
        <w:tab/>
      </w:r>
      <w:r w:rsidRPr="00853611">
        <w:rPr>
          <w:sz w:val="20"/>
        </w:rPr>
        <w:t xml:space="preserve">– neinvestiční výdaje </w:t>
      </w:r>
    </w:p>
    <w:p w14:paraId="16012C1F" w14:textId="77777777" w:rsidR="000419FA" w:rsidRPr="00853611" w:rsidRDefault="000419FA" w:rsidP="00515127">
      <w:pPr>
        <w:ind w:left="1560" w:hanging="1560"/>
        <w:rPr>
          <w:sz w:val="20"/>
        </w:rPr>
      </w:pPr>
      <w:r w:rsidRPr="00853611">
        <w:rPr>
          <w:sz w:val="20"/>
        </w:rPr>
        <w:t>NNO</w:t>
      </w:r>
      <w:r w:rsidR="00187140" w:rsidRPr="00853611">
        <w:rPr>
          <w:sz w:val="20"/>
        </w:rPr>
        <w:tab/>
      </w:r>
      <w:r w:rsidRPr="00853611">
        <w:rPr>
          <w:sz w:val="20"/>
        </w:rPr>
        <w:t>– nestátní neziskové organizace</w:t>
      </w:r>
    </w:p>
    <w:p w14:paraId="46066286" w14:textId="77777777" w:rsidR="000419FA" w:rsidRPr="00853611" w:rsidRDefault="00D0440D" w:rsidP="00515127">
      <w:pPr>
        <w:ind w:left="1560" w:hanging="1560"/>
        <w:rPr>
          <w:sz w:val="20"/>
        </w:rPr>
      </w:pPr>
      <w:r w:rsidRPr="00853611">
        <w:rPr>
          <w:sz w:val="20"/>
        </w:rPr>
        <w:t>NPMK</w:t>
      </w:r>
      <w:r w:rsidR="000419FA" w:rsidRPr="00853611">
        <w:rPr>
          <w:sz w:val="20"/>
        </w:rPr>
        <w:t xml:space="preserve"> </w:t>
      </w:r>
      <w:r w:rsidR="00187140" w:rsidRPr="00853611">
        <w:rPr>
          <w:sz w:val="20"/>
        </w:rPr>
        <w:tab/>
      </w:r>
      <w:r w:rsidR="000419FA" w:rsidRPr="00853611">
        <w:rPr>
          <w:sz w:val="20"/>
        </w:rPr>
        <w:t xml:space="preserve">– Národní pedagogické muzeum a knihovna J.A.Komenského </w:t>
      </w:r>
    </w:p>
    <w:p w14:paraId="7DFE9088" w14:textId="77777777" w:rsidR="000419FA" w:rsidRPr="00853611" w:rsidRDefault="000419FA" w:rsidP="00515127">
      <w:pPr>
        <w:ind w:left="1560" w:hanging="1560"/>
        <w:rPr>
          <w:sz w:val="20"/>
        </w:rPr>
      </w:pPr>
      <w:r w:rsidRPr="00853611">
        <w:rPr>
          <w:sz w:val="20"/>
        </w:rPr>
        <w:t xml:space="preserve">NRPM </w:t>
      </w:r>
      <w:r w:rsidR="00187140" w:rsidRPr="00853611">
        <w:rPr>
          <w:sz w:val="20"/>
        </w:rPr>
        <w:tab/>
      </w:r>
      <w:r w:rsidRPr="00853611">
        <w:rPr>
          <w:sz w:val="20"/>
        </w:rPr>
        <w:t>– Národní rozvojový program mobility pro všechny</w:t>
      </w:r>
    </w:p>
    <w:p w14:paraId="29FBBA27" w14:textId="77777777" w:rsidR="008775D6" w:rsidRPr="00853611" w:rsidRDefault="008775D6" w:rsidP="00515127">
      <w:pPr>
        <w:ind w:left="1560" w:hanging="1560"/>
        <w:rPr>
          <w:sz w:val="20"/>
        </w:rPr>
      </w:pPr>
      <w:r w:rsidRPr="00853611">
        <w:rPr>
          <w:sz w:val="20"/>
        </w:rPr>
        <w:t>NSK</w:t>
      </w:r>
      <w:r w:rsidRPr="00853611">
        <w:rPr>
          <w:sz w:val="20"/>
        </w:rPr>
        <w:tab/>
        <w:t>– Národní soustava kvalifikací</w:t>
      </w:r>
    </w:p>
    <w:p w14:paraId="392130AD" w14:textId="77777777" w:rsidR="00187140" w:rsidRPr="00853611" w:rsidRDefault="000419FA" w:rsidP="00515127">
      <w:pPr>
        <w:ind w:left="1560" w:hanging="1560"/>
        <w:rPr>
          <w:sz w:val="20"/>
        </w:rPr>
      </w:pPr>
      <w:r w:rsidRPr="00853611">
        <w:rPr>
          <w:sz w:val="20"/>
        </w:rPr>
        <w:lastRenderedPageBreak/>
        <w:t xml:space="preserve">NTK </w:t>
      </w:r>
      <w:r w:rsidR="00187140" w:rsidRPr="00853611">
        <w:rPr>
          <w:sz w:val="20"/>
        </w:rPr>
        <w:tab/>
      </w:r>
      <w:r w:rsidRPr="00853611">
        <w:rPr>
          <w:sz w:val="20"/>
        </w:rPr>
        <w:t>– Národní technická knihovna</w:t>
      </w:r>
    </w:p>
    <w:p w14:paraId="495533C4" w14:textId="77777777" w:rsidR="000419FA" w:rsidRPr="00853611" w:rsidRDefault="000419FA" w:rsidP="00515127">
      <w:pPr>
        <w:ind w:left="1560" w:hanging="1560"/>
        <w:rPr>
          <w:sz w:val="20"/>
        </w:rPr>
      </w:pPr>
      <w:r w:rsidRPr="00853611">
        <w:rPr>
          <w:sz w:val="20"/>
        </w:rPr>
        <w:t xml:space="preserve">NÚV </w:t>
      </w:r>
      <w:r w:rsidR="00187140" w:rsidRPr="00853611">
        <w:rPr>
          <w:sz w:val="20"/>
        </w:rPr>
        <w:tab/>
      </w:r>
      <w:r w:rsidRPr="00853611">
        <w:rPr>
          <w:sz w:val="20"/>
        </w:rPr>
        <w:t>– Národní ústav pro vzdělávání</w:t>
      </w:r>
    </w:p>
    <w:p w14:paraId="64AFB4A7" w14:textId="77777777" w:rsidR="000419FA" w:rsidRPr="00853611" w:rsidRDefault="000419FA" w:rsidP="00515127">
      <w:pPr>
        <w:ind w:left="1560" w:hanging="1560"/>
        <w:rPr>
          <w:sz w:val="20"/>
        </w:rPr>
      </w:pPr>
      <w:r w:rsidRPr="00853611">
        <w:rPr>
          <w:sz w:val="20"/>
        </w:rPr>
        <w:t xml:space="preserve">OBV </w:t>
      </w:r>
      <w:r w:rsidR="00187140" w:rsidRPr="00853611">
        <w:rPr>
          <w:sz w:val="20"/>
        </w:rPr>
        <w:tab/>
      </w:r>
      <w:r w:rsidRPr="00853611">
        <w:rPr>
          <w:sz w:val="20"/>
        </w:rPr>
        <w:t>– ostatní běžné výdaje</w:t>
      </w:r>
    </w:p>
    <w:p w14:paraId="43B24B53" w14:textId="77777777" w:rsidR="000419FA" w:rsidRPr="00853611" w:rsidRDefault="000419FA" w:rsidP="00515127">
      <w:pPr>
        <w:ind w:left="1560" w:hanging="1560"/>
        <w:rPr>
          <w:sz w:val="20"/>
        </w:rPr>
      </w:pPr>
      <w:r w:rsidRPr="00853611">
        <w:rPr>
          <w:sz w:val="20"/>
        </w:rPr>
        <w:t xml:space="preserve">OECD </w:t>
      </w:r>
      <w:r w:rsidR="00187140" w:rsidRPr="00853611">
        <w:rPr>
          <w:sz w:val="20"/>
        </w:rPr>
        <w:tab/>
      </w:r>
      <w:r w:rsidRPr="00853611">
        <w:rPr>
          <w:sz w:val="20"/>
        </w:rPr>
        <w:t>– Organizace pro hospodářskou spolupráci a rozvoj</w:t>
      </w:r>
    </w:p>
    <w:p w14:paraId="2A009522" w14:textId="77777777" w:rsidR="000419FA" w:rsidRPr="00853611" w:rsidRDefault="000419FA" w:rsidP="00515127">
      <w:pPr>
        <w:ind w:left="1560" w:hanging="1560"/>
        <w:rPr>
          <w:sz w:val="20"/>
        </w:rPr>
      </w:pPr>
      <w:r w:rsidRPr="00853611">
        <w:rPr>
          <w:sz w:val="20"/>
        </w:rPr>
        <w:t xml:space="preserve">ONIV </w:t>
      </w:r>
      <w:r w:rsidR="00187140" w:rsidRPr="00853611">
        <w:rPr>
          <w:sz w:val="20"/>
        </w:rPr>
        <w:tab/>
      </w:r>
      <w:r w:rsidRPr="00853611">
        <w:rPr>
          <w:sz w:val="20"/>
        </w:rPr>
        <w:t>– tzv. „přímé ONIV“ - náklady na učebnice, učební pomůcky a školní potřeby v RgŠ</w:t>
      </w:r>
    </w:p>
    <w:p w14:paraId="7365F4FE" w14:textId="77777777" w:rsidR="000419FA" w:rsidRPr="00853611" w:rsidRDefault="000419FA" w:rsidP="00515127">
      <w:pPr>
        <w:ind w:left="1560" w:hanging="1560"/>
        <w:rPr>
          <w:sz w:val="20"/>
        </w:rPr>
      </w:pPr>
      <w:r w:rsidRPr="00853611">
        <w:rPr>
          <w:sz w:val="20"/>
        </w:rPr>
        <w:t xml:space="preserve">OON </w:t>
      </w:r>
      <w:r w:rsidR="00187140" w:rsidRPr="00853611">
        <w:rPr>
          <w:sz w:val="20"/>
        </w:rPr>
        <w:tab/>
      </w:r>
      <w:r w:rsidRPr="00853611">
        <w:rPr>
          <w:sz w:val="20"/>
        </w:rPr>
        <w:t>– ostatní osobní náklady</w:t>
      </w:r>
    </w:p>
    <w:p w14:paraId="2974A498" w14:textId="77777777" w:rsidR="000419FA" w:rsidRPr="00853611" w:rsidRDefault="000419FA" w:rsidP="00515127">
      <w:pPr>
        <w:ind w:left="1560" w:hanging="1560"/>
        <w:rPr>
          <w:sz w:val="20"/>
        </w:rPr>
      </w:pPr>
      <w:r w:rsidRPr="00853611">
        <w:rPr>
          <w:sz w:val="20"/>
        </w:rPr>
        <w:t xml:space="preserve">OPPP </w:t>
      </w:r>
      <w:r w:rsidR="00187140" w:rsidRPr="00853611">
        <w:rPr>
          <w:sz w:val="20"/>
        </w:rPr>
        <w:tab/>
      </w:r>
      <w:r w:rsidRPr="00853611">
        <w:rPr>
          <w:sz w:val="20"/>
        </w:rPr>
        <w:t>– ostatní platby za provedenou práci</w:t>
      </w:r>
    </w:p>
    <w:p w14:paraId="7ADB197B" w14:textId="77777777" w:rsidR="000419FA" w:rsidRPr="00853611" w:rsidRDefault="000419FA" w:rsidP="00515127">
      <w:pPr>
        <w:ind w:left="1560" w:hanging="1560"/>
        <w:rPr>
          <w:sz w:val="20"/>
        </w:rPr>
      </w:pPr>
      <w:r w:rsidRPr="00853611">
        <w:rPr>
          <w:sz w:val="20"/>
        </w:rPr>
        <w:t xml:space="preserve">OPŘO </w:t>
      </w:r>
      <w:r w:rsidR="00187140" w:rsidRPr="00853611">
        <w:rPr>
          <w:sz w:val="20"/>
        </w:rPr>
        <w:tab/>
      </w:r>
      <w:r w:rsidRPr="00853611">
        <w:rPr>
          <w:sz w:val="20"/>
        </w:rPr>
        <w:t>– ostatní přímo řízené organizace</w:t>
      </w:r>
    </w:p>
    <w:p w14:paraId="426D81B7" w14:textId="77777777" w:rsidR="000419FA" w:rsidRPr="00853611" w:rsidRDefault="000419FA" w:rsidP="00515127">
      <w:pPr>
        <w:ind w:left="1560" w:hanging="1560"/>
        <w:rPr>
          <w:sz w:val="20"/>
        </w:rPr>
      </w:pPr>
      <w:r w:rsidRPr="00853611">
        <w:rPr>
          <w:sz w:val="20"/>
        </w:rPr>
        <w:t xml:space="preserve">OP VK </w:t>
      </w:r>
      <w:r w:rsidR="00187140" w:rsidRPr="00853611">
        <w:rPr>
          <w:sz w:val="20"/>
        </w:rPr>
        <w:tab/>
      </w:r>
      <w:r w:rsidRPr="00853611">
        <w:rPr>
          <w:sz w:val="20"/>
        </w:rPr>
        <w:t>– Operační program Vzdělávání pro konkurenceschopnost</w:t>
      </w:r>
    </w:p>
    <w:p w14:paraId="7E161109" w14:textId="77777777" w:rsidR="000419FA" w:rsidRPr="00853611" w:rsidRDefault="000419FA" w:rsidP="00515127">
      <w:pPr>
        <w:ind w:left="1560" w:hanging="1560"/>
        <w:rPr>
          <w:sz w:val="20"/>
        </w:rPr>
      </w:pPr>
      <w:r w:rsidRPr="00853611">
        <w:rPr>
          <w:sz w:val="20"/>
        </w:rPr>
        <w:t xml:space="preserve">OP VaVpI </w:t>
      </w:r>
      <w:r w:rsidR="00187140" w:rsidRPr="00853611">
        <w:rPr>
          <w:sz w:val="20"/>
        </w:rPr>
        <w:tab/>
      </w:r>
      <w:r w:rsidRPr="00853611">
        <w:rPr>
          <w:sz w:val="20"/>
        </w:rPr>
        <w:t>– Operační program Výzkum a vývoj pro inovace</w:t>
      </w:r>
    </w:p>
    <w:p w14:paraId="2F987205" w14:textId="77777777" w:rsidR="00953898" w:rsidRPr="00853611" w:rsidRDefault="00953898" w:rsidP="00515127">
      <w:pPr>
        <w:ind w:left="1560" w:hanging="1560"/>
        <w:rPr>
          <w:sz w:val="20"/>
        </w:rPr>
      </w:pPr>
      <w:r w:rsidRPr="00853611">
        <w:rPr>
          <w:sz w:val="20"/>
        </w:rPr>
        <w:t xml:space="preserve">OP VVV </w:t>
      </w:r>
      <w:r w:rsidRPr="00853611">
        <w:rPr>
          <w:sz w:val="20"/>
        </w:rPr>
        <w:tab/>
      </w:r>
      <w:r w:rsidR="00ED6F95" w:rsidRPr="00853611">
        <w:rPr>
          <w:sz w:val="20"/>
        </w:rPr>
        <w:t>–</w:t>
      </w:r>
      <w:r w:rsidRPr="00853611">
        <w:rPr>
          <w:sz w:val="20"/>
        </w:rPr>
        <w:t xml:space="preserve"> Operační program Výzkum</w:t>
      </w:r>
      <w:r w:rsidR="000D5EA3" w:rsidRPr="00853611">
        <w:rPr>
          <w:sz w:val="20"/>
        </w:rPr>
        <w:t>,</w:t>
      </w:r>
      <w:r w:rsidRPr="00853611">
        <w:rPr>
          <w:sz w:val="20"/>
        </w:rPr>
        <w:t xml:space="preserve"> vývoj a vzdělávání</w:t>
      </w:r>
    </w:p>
    <w:p w14:paraId="065AE517" w14:textId="77777777" w:rsidR="000419FA" w:rsidRPr="00853611" w:rsidRDefault="000419FA" w:rsidP="00515127">
      <w:pPr>
        <w:ind w:left="1560" w:hanging="1560"/>
        <w:rPr>
          <w:sz w:val="20"/>
        </w:rPr>
      </w:pPr>
      <w:r w:rsidRPr="00853611">
        <w:rPr>
          <w:sz w:val="20"/>
        </w:rPr>
        <w:t xml:space="preserve">o.p.s. </w:t>
      </w:r>
      <w:r w:rsidR="00187140" w:rsidRPr="00853611">
        <w:rPr>
          <w:sz w:val="20"/>
        </w:rPr>
        <w:tab/>
      </w:r>
      <w:r w:rsidR="00ED6F95" w:rsidRPr="00853611">
        <w:rPr>
          <w:sz w:val="20"/>
        </w:rPr>
        <w:t>–</w:t>
      </w:r>
      <w:r w:rsidRPr="00853611">
        <w:rPr>
          <w:sz w:val="20"/>
        </w:rPr>
        <w:t xml:space="preserve"> obecně prospěšná společnost</w:t>
      </w:r>
    </w:p>
    <w:p w14:paraId="68134A77" w14:textId="77777777" w:rsidR="000419FA" w:rsidRPr="00853611" w:rsidRDefault="000419FA" w:rsidP="00515127">
      <w:pPr>
        <w:ind w:left="1560" w:hanging="1560"/>
        <w:rPr>
          <w:sz w:val="20"/>
        </w:rPr>
      </w:pPr>
      <w:r w:rsidRPr="00853611">
        <w:rPr>
          <w:sz w:val="20"/>
        </w:rPr>
        <w:t xml:space="preserve">OSS </w:t>
      </w:r>
      <w:r w:rsidR="00187140" w:rsidRPr="00853611">
        <w:rPr>
          <w:sz w:val="20"/>
        </w:rPr>
        <w:tab/>
      </w:r>
      <w:r w:rsidRPr="00853611">
        <w:rPr>
          <w:sz w:val="20"/>
        </w:rPr>
        <w:t>– organizační složka státu</w:t>
      </w:r>
    </w:p>
    <w:p w14:paraId="471CB064" w14:textId="77777777" w:rsidR="000419FA" w:rsidRPr="00853611" w:rsidRDefault="006B3AE5" w:rsidP="00515127">
      <w:pPr>
        <w:ind w:left="1560" w:hanging="1560"/>
        <w:rPr>
          <w:sz w:val="20"/>
        </w:rPr>
      </w:pPr>
      <w:r w:rsidRPr="00853611">
        <w:rPr>
          <w:sz w:val="20"/>
        </w:rPr>
        <w:t>PC Český Těšín</w:t>
      </w:r>
      <w:r w:rsidR="00187140" w:rsidRPr="00853611">
        <w:rPr>
          <w:sz w:val="20"/>
        </w:rPr>
        <w:tab/>
      </w:r>
      <w:r w:rsidR="000419FA" w:rsidRPr="00853611">
        <w:rPr>
          <w:sz w:val="20"/>
        </w:rPr>
        <w:t>– Pedagogické centrum pro polské národnostní školství Český Těšín</w:t>
      </w:r>
    </w:p>
    <w:p w14:paraId="32A7BB27" w14:textId="77777777" w:rsidR="000419FA" w:rsidRPr="00853611" w:rsidRDefault="000419FA" w:rsidP="00515127">
      <w:pPr>
        <w:ind w:left="1560" w:hanging="1560"/>
        <w:rPr>
          <w:sz w:val="20"/>
        </w:rPr>
      </w:pPr>
      <w:r w:rsidRPr="00853611">
        <w:rPr>
          <w:sz w:val="20"/>
        </w:rPr>
        <w:t xml:space="preserve">PERUN </w:t>
      </w:r>
      <w:r w:rsidR="00187140" w:rsidRPr="00853611">
        <w:rPr>
          <w:sz w:val="20"/>
        </w:rPr>
        <w:tab/>
      </w:r>
      <w:r w:rsidRPr="00853611">
        <w:rPr>
          <w:sz w:val="20"/>
        </w:rPr>
        <w:t>– Péče, Rozvoj, Uplatnění, Nadání</w:t>
      </w:r>
    </w:p>
    <w:p w14:paraId="67C3A44D" w14:textId="77777777" w:rsidR="000419FA" w:rsidRPr="00853611" w:rsidRDefault="000419FA" w:rsidP="00515127">
      <w:pPr>
        <w:ind w:left="1560" w:hanging="1560"/>
        <w:rPr>
          <w:sz w:val="20"/>
        </w:rPr>
      </w:pPr>
      <w:r w:rsidRPr="00853611">
        <w:rPr>
          <w:sz w:val="20"/>
        </w:rPr>
        <w:t xml:space="preserve">PHÚ </w:t>
      </w:r>
      <w:r w:rsidR="00187140" w:rsidRPr="00853611">
        <w:rPr>
          <w:sz w:val="20"/>
        </w:rPr>
        <w:tab/>
      </w:r>
      <w:r w:rsidRPr="00853611">
        <w:rPr>
          <w:sz w:val="20"/>
        </w:rPr>
        <w:t>– plán hlavních úkolů</w:t>
      </w:r>
    </w:p>
    <w:p w14:paraId="578315B5" w14:textId="77777777" w:rsidR="000419FA" w:rsidRPr="00853611" w:rsidRDefault="000419FA" w:rsidP="00515127">
      <w:pPr>
        <w:ind w:left="1560" w:hanging="1560"/>
        <w:rPr>
          <w:sz w:val="20"/>
        </w:rPr>
      </w:pPr>
      <w:r w:rsidRPr="00853611">
        <w:rPr>
          <w:sz w:val="20"/>
        </w:rPr>
        <w:t xml:space="preserve">PISA </w:t>
      </w:r>
      <w:r w:rsidR="00187140" w:rsidRPr="00853611">
        <w:rPr>
          <w:sz w:val="20"/>
        </w:rPr>
        <w:tab/>
      </w:r>
      <w:r w:rsidRPr="00853611">
        <w:rPr>
          <w:sz w:val="20"/>
        </w:rPr>
        <w:t>– Programme for International Student Assessment</w:t>
      </w:r>
    </w:p>
    <w:p w14:paraId="5AE4A4A2" w14:textId="77777777" w:rsidR="000419FA" w:rsidRPr="00853611" w:rsidRDefault="000419FA" w:rsidP="00515127">
      <w:pPr>
        <w:ind w:left="1560" w:hanging="1560"/>
        <w:rPr>
          <w:sz w:val="20"/>
        </w:rPr>
      </w:pPr>
      <w:r w:rsidRPr="00853611">
        <w:rPr>
          <w:sz w:val="20"/>
        </w:rPr>
        <w:t xml:space="preserve">PO </w:t>
      </w:r>
      <w:r w:rsidR="00187140" w:rsidRPr="00853611">
        <w:rPr>
          <w:sz w:val="20"/>
        </w:rPr>
        <w:tab/>
      </w:r>
      <w:r w:rsidRPr="00853611">
        <w:rPr>
          <w:sz w:val="20"/>
        </w:rPr>
        <w:t>– příspěvková organizace</w:t>
      </w:r>
    </w:p>
    <w:p w14:paraId="108CB990" w14:textId="77777777" w:rsidR="000419FA" w:rsidRPr="00853611" w:rsidRDefault="000419FA" w:rsidP="00515127">
      <w:pPr>
        <w:ind w:left="1560" w:hanging="1560"/>
        <w:rPr>
          <w:sz w:val="20"/>
        </w:rPr>
      </w:pPr>
      <w:r w:rsidRPr="00853611">
        <w:rPr>
          <w:sz w:val="20"/>
        </w:rPr>
        <w:t xml:space="preserve">PŘO </w:t>
      </w:r>
      <w:r w:rsidR="00187140" w:rsidRPr="00853611">
        <w:rPr>
          <w:sz w:val="20"/>
        </w:rPr>
        <w:tab/>
      </w:r>
      <w:r w:rsidRPr="00853611">
        <w:rPr>
          <w:sz w:val="20"/>
        </w:rPr>
        <w:t>– přímo řízené organizace uvedené v příloze č. 2 zákona č. 157/2000 Sb.</w:t>
      </w:r>
    </w:p>
    <w:p w14:paraId="01B79392" w14:textId="77777777" w:rsidR="000419FA" w:rsidRPr="00853611" w:rsidRDefault="000419FA" w:rsidP="00515127">
      <w:pPr>
        <w:ind w:left="1560" w:hanging="1560"/>
        <w:rPr>
          <w:sz w:val="20"/>
        </w:rPr>
      </w:pPr>
      <w:r w:rsidRPr="00853611">
        <w:rPr>
          <w:sz w:val="20"/>
        </w:rPr>
        <w:t>PSP</w:t>
      </w:r>
      <w:r w:rsidR="00D23801" w:rsidRPr="00853611">
        <w:rPr>
          <w:sz w:val="20"/>
        </w:rPr>
        <w:t xml:space="preserve"> </w:t>
      </w:r>
      <w:r w:rsidRPr="00853611">
        <w:rPr>
          <w:sz w:val="20"/>
        </w:rPr>
        <w:t xml:space="preserve">ČR </w:t>
      </w:r>
      <w:r w:rsidR="00187140" w:rsidRPr="00853611">
        <w:rPr>
          <w:sz w:val="20"/>
        </w:rPr>
        <w:tab/>
      </w:r>
      <w:r w:rsidRPr="00853611">
        <w:rPr>
          <w:sz w:val="20"/>
        </w:rPr>
        <w:t xml:space="preserve">– Poslanecká sněmovna Parlamentu České republiky </w:t>
      </w:r>
    </w:p>
    <w:p w14:paraId="7AA4FBBD" w14:textId="77777777" w:rsidR="000419FA" w:rsidRPr="00853611" w:rsidRDefault="000419FA" w:rsidP="00515127">
      <w:pPr>
        <w:ind w:left="1560" w:hanging="1560"/>
        <w:rPr>
          <w:sz w:val="20"/>
        </w:rPr>
      </w:pPr>
      <w:r w:rsidRPr="00853611">
        <w:rPr>
          <w:sz w:val="20"/>
        </w:rPr>
        <w:t xml:space="preserve">PV </w:t>
      </w:r>
      <w:r w:rsidR="00187140" w:rsidRPr="00853611">
        <w:rPr>
          <w:sz w:val="20"/>
        </w:rPr>
        <w:tab/>
      </w:r>
      <w:r w:rsidRPr="00853611">
        <w:rPr>
          <w:sz w:val="20"/>
        </w:rPr>
        <w:t>– porada vedení</w:t>
      </w:r>
    </w:p>
    <w:p w14:paraId="265A683E" w14:textId="77777777" w:rsidR="000419FA" w:rsidRPr="00853611" w:rsidRDefault="000419FA" w:rsidP="00515127">
      <w:pPr>
        <w:ind w:left="1560" w:hanging="1560"/>
        <w:rPr>
          <w:sz w:val="20"/>
        </w:rPr>
      </w:pPr>
      <w:r w:rsidRPr="00853611">
        <w:rPr>
          <w:sz w:val="20"/>
        </w:rPr>
        <w:t xml:space="preserve">PVS </w:t>
      </w:r>
      <w:r w:rsidR="00187140" w:rsidRPr="00853611">
        <w:rPr>
          <w:sz w:val="20"/>
        </w:rPr>
        <w:tab/>
      </w:r>
      <w:r w:rsidRPr="00853611">
        <w:rPr>
          <w:sz w:val="20"/>
        </w:rPr>
        <w:t>– příjmová a výdajová struktura</w:t>
      </w:r>
    </w:p>
    <w:p w14:paraId="755DD030" w14:textId="77777777" w:rsidR="000419FA" w:rsidRPr="00853611" w:rsidRDefault="000419FA" w:rsidP="00515127">
      <w:pPr>
        <w:ind w:left="1560" w:hanging="1560"/>
        <w:rPr>
          <w:sz w:val="20"/>
        </w:rPr>
      </w:pPr>
      <w:r w:rsidRPr="00853611">
        <w:rPr>
          <w:sz w:val="20"/>
        </w:rPr>
        <w:t xml:space="preserve">PZ </w:t>
      </w:r>
      <w:r w:rsidR="00187140" w:rsidRPr="00853611">
        <w:rPr>
          <w:sz w:val="20"/>
        </w:rPr>
        <w:tab/>
      </w:r>
      <w:r w:rsidRPr="00853611">
        <w:rPr>
          <w:sz w:val="20"/>
        </w:rPr>
        <w:t>– počet zaměstnanců</w:t>
      </w:r>
    </w:p>
    <w:p w14:paraId="2B08AE16" w14:textId="77777777" w:rsidR="000419FA" w:rsidRPr="00853611" w:rsidRDefault="000419FA" w:rsidP="00515127">
      <w:pPr>
        <w:ind w:left="1560" w:hanging="1560"/>
        <w:rPr>
          <w:sz w:val="20"/>
        </w:rPr>
      </w:pPr>
      <w:r w:rsidRPr="00853611">
        <w:rPr>
          <w:sz w:val="20"/>
        </w:rPr>
        <w:t xml:space="preserve">RF </w:t>
      </w:r>
      <w:r w:rsidR="00187140" w:rsidRPr="00853611">
        <w:rPr>
          <w:sz w:val="20"/>
        </w:rPr>
        <w:tab/>
      </w:r>
      <w:r w:rsidRPr="00853611">
        <w:rPr>
          <w:sz w:val="20"/>
        </w:rPr>
        <w:t>– rezervní fond</w:t>
      </w:r>
    </w:p>
    <w:p w14:paraId="070B4428" w14:textId="77777777" w:rsidR="000419FA" w:rsidRPr="00853611" w:rsidRDefault="000419FA" w:rsidP="00515127">
      <w:pPr>
        <w:ind w:left="1560" w:hanging="1560"/>
        <w:rPr>
          <w:sz w:val="20"/>
        </w:rPr>
      </w:pPr>
      <w:r w:rsidRPr="00853611">
        <w:rPr>
          <w:sz w:val="20"/>
        </w:rPr>
        <w:t xml:space="preserve">RgŠ  </w:t>
      </w:r>
      <w:r w:rsidR="00187140" w:rsidRPr="00853611">
        <w:rPr>
          <w:sz w:val="20"/>
        </w:rPr>
        <w:tab/>
      </w:r>
      <w:r w:rsidRPr="00853611">
        <w:rPr>
          <w:sz w:val="20"/>
        </w:rPr>
        <w:t>– regionální školství</w:t>
      </w:r>
    </w:p>
    <w:p w14:paraId="564274EB" w14:textId="77777777" w:rsidR="000419FA" w:rsidRPr="00853611" w:rsidRDefault="000419FA" w:rsidP="00515127">
      <w:pPr>
        <w:ind w:left="1560" w:hanging="1560"/>
        <w:rPr>
          <w:sz w:val="20"/>
        </w:rPr>
      </w:pPr>
      <w:r w:rsidRPr="00853611">
        <w:rPr>
          <w:sz w:val="20"/>
        </w:rPr>
        <w:t xml:space="preserve">RIS </w:t>
      </w:r>
      <w:r w:rsidR="00187140" w:rsidRPr="00853611">
        <w:rPr>
          <w:sz w:val="20"/>
        </w:rPr>
        <w:tab/>
      </w:r>
      <w:r w:rsidRPr="00853611">
        <w:rPr>
          <w:sz w:val="20"/>
        </w:rPr>
        <w:t>– Rozpočtový informační systém</w:t>
      </w:r>
    </w:p>
    <w:p w14:paraId="4E8C32A9" w14:textId="77777777" w:rsidR="000419FA" w:rsidRPr="00853611" w:rsidRDefault="000419FA" w:rsidP="00515127">
      <w:pPr>
        <w:ind w:left="1560" w:hanging="1560"/>
        <w:rPr>
          <w:sz w:val="20"/>
        </w:rPr>
      </w:pPr>
      <w:r w:rsidRPr="00853611">
        <w:rPr>
          <w:sz w:val="20"/>
        </w:rPr>
        <w:t xml:space="preserve">RIS PR </w:t>
      </w:r>
      <w:r w:rsidR="00187140" w:rsidRPr="00853611">
        <w:rPr>
          <w:sz w:val="20"/>
        </w:rPr>
        <w:tab/>
      </w:r>
      <w:r w:rsidRPr="00853611">
        <w:rPr>
          <w:sz w:val="20"/>
        </w:rPr>
        <w:t>– Rozpočtový informační systém pro přípravu rozpočtu</w:t>
      </w:r>
    </w:p>
    <w:p w14:paraId="73806EAF" w14:textId="77777777" w:rsidR="000419FA" w:rsidRPr="00853611" w:rsidRDefault="000419FA" w:rsidP="00515127">
      <w:pPr>
        <w:ind w:left="1560" w:hanging="1560"/>
        <w:rPr>
          <w:sz w:val="20"/>
        </w:rPr>
      </w:pPr>
      <w:r w:rsidRPr="00853611">
        <w:rPr>
          <w:sz w:val="20"/>
        </w:rPr>
        <w:t>RIS</w:t>
      </w:r>
      <w:r w:rsidR="00187140" w:rsidRPr="00853611">
        <w:rPr>
          <w:sz w:val="20"/>
        </w:rPr>
        <w:t xml:space="preserve"> </w:t>
      </w:r>
      <w:r w:rsidRPr="00853611">
        <w:rPr>
          <w:sz w:val="20"/>
        </w:rPr>
        <w:t xml:space="preserve">RE </w:t>
      </w:r>
      <w:r w:rsidR="00187140" w:rsidRPr="00853611">
        <w:rPr>
          <w:sz w:val="20"/>
        </w:rPr>
        <w:tab/>
      </w:r>
      <w:r w:rsidRPr="00853611">
        <w:rPr>
          <w:sz w:val="20"/>
        </w:rPr>
        <w:t>– Rozpočtový informační systém pro realizaci rozpočtu</w:t>
      </w:r>
    </w:p>
    <w:p w14:paraId="212321FE" w14:textId="77777777" w:rsidR="000419FA" w:rsidRPr="00853611" w:rsidRDefault="000419FA" w:rsidP="00515127">
      <w:pPr>
        <w:ind w:left="1560" w:hanging="1560"/>
        <w:rPr>
          <w:sz w:val="20"/>
        </w:rPr>
      </w:pPr>
      <w:r w:rsidRPr="00853611">
        <w:rPr>
          <w:sz w:val="20"/>
        </w:rPr>
        <w:t>RISRE-ROP</w:t>
      </w:r>
      <w:r w:rsidR="00187140" w:rsidRPr="00853611">
        <w:rPr>
          <w:sz w:val="20"/>
        </w:rPr>
        <w:tab/>
      </w:r>
      <w:r w:rsidRPr="00853611">
        <w:rPr>
          <w:sz w:val="20"/>
        </w:rPr>
        <w:t xml:space="preserve">– Rozpočtový informační systém pro realizaci rozpočtu – rozpočtová opatření </w:t>
      </w:r>
    </w:p>
    <w:p w14:paraId="5BDBCED6" w14:textId="77777777" w:rsidR="000419FA" w:rsidRPr="00853611" w:rsidRDefault="000419FA" w:rsidP="00515127">
      <w:pPr>
        <w:ind w:left="1560" w:hanging="1560"/>
        <w:rPr>
          <w:sz w:val="20"/>
        </w:rPr>
      </w:pPr>
      <w:r w:rsidRPr="00853611">
        <w:rPr>
          <w:sz w:val="20"/>
        </w:rPr>
        <w:t xml:space="preserve">RISRE-PS </w:t>
      </w:r>
      <w:r w:rsidR="00187140" w:rsidRPr="00853611">
        <w:rPr>
          <w:sz w:val="20"/>
        </w:rPr>
        <w:tab/>
      </w:r>
      <w:r w:rsidRPr="00853611">
        <w:rPr>
          <w:sz w:val="20"/>
        </w:rPr>
        <w:t xml:space="preserve">– Rozpočtový informační systém pro realizaci rozpočtu – platební styk </w:t>
      </w:r>
    </w:p>
    <w:p w14:paraId="1A9ABF1C" w14:textId="77777777" w:rsidR="000419FA" w:rsidRDefault="000419FA" w:rsidP="00515127">
      <w:pPr>
        <w:ind w:left="1560" w:hanging="1560"/>
        <w:rPr>
          <w:sz w:val="20"/>
        </w:rPr>
      </w:pPr>
      <w:r w:rsidRPr="00853611">
        <w:rPr>
          <w:sz w:val="20"/>
        </w:rPr>
        <w:t xml:space="preserve">RN </w:t>
      </w:r>
      <w:r w:rsidR="00187140" w:rsidRPr="00853611">
        <w:rPr>
          <w:sz w:val="20"/>
        </w:rPr>
        <w:tab/>
      </w:r>
      <w:r w:rsidRPr="00853611">
        <w:rPr>
          <w:sz w:val="20"/>
        </w:rPr>
        <w:t>– republikový normativ</w:t>
      </w:r>
    </w:p>
    <w:p w14:paraId="305D8928" w14:textId="75BEE3C8" w:rsidR="002E4D42" w:rsidRPr="00853611" w:rsidRDefault="002E4D42" w:rsidP="00515127">
      <w:pPr>
        <w:ind w:left="1560" w:hanging="1560"/>
        <w:rPr>
          <w:sz w:val="20"/>
        </w:rPr>
      </w:pPr>
      <w:r>
        <w:rPr>
          <w:sz w:val="20"/>
        </w:rPr>
        <w:t>RO I</w:t>
      </w:r>
      <w:r>
        <w:rPr>
          <w:sz w:val="20"/>
        </w:rPr>
        <w:tab/>
      </w:r>
      <w:r w:rsidRPr="00853611">
        <w:rPr>
          <w:sz w:val="20"/>
        </w:rPr>
        <w:t>–</w:t>
      </w:r>
      <w:r>
        <w:rPr>
          <w:sz w:val="20"/>
        </w:rPr>
        <w:t xml:space="preserve"> rozpočtový okruh I</w:t>
      </w:r>
    </w:p>
    <w:p w14:paraId="3DA26712" w14:textId="77777777" w:rsidR="000419FA" w:rsidRPr="00853611" w:rsidRDefault="000419FA" w:rsidP="00515127">
      <w:pPr>
        <w:ind w:left="1560" w:hanging="1560"/>
        <w:rPr>
          <w:sz w:val="20"/>
        </w:rPr>
      </w:pPr>
      <w:r w:rsidRPr="00853611">
        <w:rPr>
          <w:sz w:val="20"/>
        </w:rPr>
        <w:t xml:space="preserve">RP </w:t>
      </w:r>
      <w:r w:rsidR="00187140" w:rsidRPr="00853611">
        <w:rPr>
          <w:sz w:val="20"/>
        </w:rPr>
        <w:tab/>
      </w:r>
      <w:r w:rsidRPr="00853611">
        <w:rPr>
          <w:sz w:val="20"/>
        </w:rPr>
        <w:t>– rozvojový program</w:t>
      </w:r>
    </w:p>
    <w:p w14:paraId="1A58E579" w14:textId="77777777" w:rsidR="000419FA" w:rsidRPr="00853611" w:rsidRDefault="000419FA" w:rsidP="00515127">
      <w:pPr>
        <w:ind w:left="1560" w:hanging="1560"/>
        <w:rPr>
          <w:sz w:val="20"/>
        </w:rPr>
      </w:pPr>
      <w:r w:rsidRPr="00853611">
        <w:rPr>
          <w:sz w:val="20"/>
        </w:rPr>
        <w:t xml:space="preserve">ROP </w:t>
      </w:r>
      <w:r w:rsidR="00187140" w:rsidRPr="00853611">
        <w:rPr>
          <w:sz w:val="20"/>
        </w:rPr>
        <w:tab/>
      </w:r>
      <w:r w:rsidRPr="00853611">
        <w:rPr>
          <w:sz w:val="20"/>
        </w:rPr>
        <w:t>– rozpočtové opatření</w:t>
      </w:r>
    </w:p>
    <w:p w14:paraId="5F6814D1" w14:textId="77777777" w:rsidR="000419FA" w:rsidRPr="00853611" w:rsidRDefault="000419FA" w:rsidP="00515127">
      <w:pPr>
        <w:ind w:left="1560" w:hanging="1560"/>
        <w:rPr>
          <w:sz w:val="20"/>
        </w:rPr>
      </w:pPr>
      <w:r w:rsidRPr="00853611">
        <w:rPr>
          <w:sz w:val="20"/>
        </w:rPr>
        <w:t xml:space="preserve">RSC </w:t>
      </w:r>
      <w:r w:rsidR="00187140" w:rsidRPr="00853611">
        <w:rPr>
          <w:sz w:val="20"/>
        </w:rPr>
        <w:tab/>
      </w:r>
      <w:r w:rsidRPr="00853611">
        <w:rPr>
          <w:sz w:val="20"/>
        </w:rPr>
        <w:t>– resortní sportovní centra</w:t>
      </w:r>
    </w:p>
    <w:p w14:paraId="36F3892B" w14:textId="77777777" w:rsidR="000419FA" w:rsidRPr="00853611" w:rsidRDefault="000419FA" w:rsidP="00515127">
      <w:pPr>
        <w:ind w:left="1560" w:hanging="1560"/>
        <w:rPr>
          <w:sz w:val="20"/>
        </w:rPr>
      </w:pPr>
      <w:r w:rsidRPr="00853611">
        <w:rPr>
          <w:sz w:val="20"/>
        </w:rPr>
        <w:t xml:space="preserve">RVO </w:t>
      </w:r>
      <w:r w:rsidR="00187140" w:rsidRPr="00853611">
        <w:rPr>
          <w:sz w:val="20"/>
        </w:rPr>
        <w:tab/>
      </w:r>
      <w:r w:rsidRPr="00853611">
        <w:rPr>
          <w:sz w:val="20"/>
        </w:rPr>
        <w:t>– rozvoj výzkumné organizace</w:t>
      </w:r>
    </w:p>
    <w:p w14:paraId="37E1F809" w14:textId="77777777" w:rsidR="000419FA" w:rsidRPr="00853611" w:rsidRDefault="000419FA" w:rsidP="00515127">
      <w:pPr>
        <w:ind w:left="1560" w:hanging="1560"/>
        <w:rPr>
          <w:sz w:val="20"/>
        </w:rPr>
      </w:pPr>
      <w:r w:rsidRPr="00853611">
        <w:rPr>
          <w:sz w:val="20"/>
        </w:rPr>
        <w:t xml:space="preserve">RVP </w:t>
      </w:r>
      <w:r w:rsidR="00187140" w:rsidRPr="00853611">
        <w:rPr>
          <w:sz w:val="20"/>
        </w:rPr>
        <w:tab/>
      </w:r>
      <w:r w:rsidRPr="00853611">
        <w:rPr>
          <w:sz w:val="20"/>
        </w:rPr>
        <w:t>– rámcový vzdělávací program</w:t>
      </w:r>
    </w:p>
    <w:p w14:paraId="72F53AB2" w14:textId="77777777" w:rsidR="00D77782" w:rsidRPr="00853611" w:rsidRDefault="00D77782" w:rsidP="00515127">
      <w:pPr>
        <w:ind w:left="1560" w:hanging="1560"/>
        <w:rPr>
          <w:sz w:val="20"/>
        </w:rPr>
      </w:pPr>
      <w:r w:rsidRPr="00853611">
        <w:rPr>
          <w:sz w:val="20"/>
        </w:rPr>
        <w:t>RVVI</w:t>
      </w:r>
      <w:r w:rsidRPr="00853611">
        <w:rPr>
          <w:sz w:val="20"/>
        </w:rPr>
        <w:tab/>
        <w:t>– Rada pro výzkum, vývoj a inovace</w:t>
      </w:r>
    </w:p>
    <w:p w14:paraId="44D9BF2B" w14:textId="77777777" w:rsidR="000419FA" w:rsidRPr="00853611" w:rsidRDefault="000419FA" w:rsidP="00515127">
      <w:pPr>
        <w:ind w:left="1560" w:hanging="1560"/>
        <w:rPr>
          <w:sz w:val="20"/>
        </w:rPr>
      </w:pPr>
      <w:r w:rsidRPr="00853611">
        <w:rPr>
          <w:sz w:val="20"/>
        </w:rPr>
        <w:t xml:space="preserve">SMVS </w:t>
      </w:r>
      <w:r w:rsidR="00D556EA" w:rsidRPr="00853611">
        <w:rPr>
          <w:sz w:val="20"/>
        </w:rPr>
        <w:tab/>
      </w:r>
      <w:r w:rsidRPr="00853611">
        <w:rPr>
          <w:sz w:val="20"/>
        </w:rPr>
        <w:t>– Správa majetku ve vlastnictví státu</w:t>
      </w:r>
    </w:p>
    <w:p w14:paraId="70879BE0" w14:textId="77777777" w:rsidR="000419FA" w:rsidRPr="00853611" w:rsidRDefault="000419FA" w:rsidP="00515127">
      <w:pPr>
        <w:ind w:left="1560" w:hanging="1560"/>
        <w:rPr>
          <w:sz w:val="20"/>
        </w:rPr>
      </w:pPr>
      <w:r w:rsidRPr="00853611">
        <w:rPr>
          <w:sz w:val="20"/>
        </w:rPr>
        <w:t xml:space="preserve">SOŠ </w:t>
      </w:r>
      <w:r w:rsidR="00D556EA" w:rsidRPr="00853611">
        <w:rPr>
          <w:sz w:val="20"/>
        </w:rPr>
        <w:tab/>
      </w:r>
      <w:r w:rsidRPr="00853611">
        <w:rPr>
          <w:sz w:val="20"/>
        </w:rPr>
        <w:t>– střední odborné školy</w:t>
      </w:r>
    </w:p>
    <w:p w14:paraId="1D73D69D" w14:textId="77777777" w:rsidR="000419FA" w:rsidRPr="00853611" w:rsidRDefault="000419FA" w:rsidP="00515127">
      <w:pPr>
        <w:ind w:left="1560" w:hanging="1560"/>
        <w:rPr>
          <w:sz w:val="20"/>
        </w:rPr>
      </w:pPr>
      <w:r w:rsidRPr="00853611">
        <w:rPr>
          <w:sz w:val="20"/>
        </w:rPr>
        <w:t xml:space="preserve">SR </w:t>
      </w:r>
      <w:r w:rsidR="00D556EA" w:rsidRPr="00853611">
        <w:rPr>
          <w:sz w:val="20"/>
        </w:rPr>
        <w:tab/>
      </w:r>
      <w:r w:rsidRPr="00853611">
        <w:rPr>
          <w:sz w:val="20"/>
        </w:rPr>
        <w:t>– státní rozpočet</w:t>
      </w:r>
    </w:p>
    <w:p w14:paraId="7FFD10C9" w14:textId="77777777" w:rsidR="000419FA" w:rsidRPr="00853611" w:rsidRDefault="000419FA" w:rsidP="00515127">
      <w:pPr>
        <w:ind w:left="1560" w:hanging="1560"/>
        <w:rPr>
          <w:sz w:val="20"/>
        </w:rPr>
      </w:pPr>
      <w:r w:rsidRPr="00853611">
        <w:rPr>
          <w:sz w:val="20"/>
        </w:rPr>
        <w:t xml:space="preserve">SŠ </w:t>
      </w:r>
      <w:r w:rsidR="00D556EA" w:rsidRPr="00853611">
        <w:rPr>
          <w:sz w:val="20"/>
        </w:rPr>
        <w:tab/>
      </w:r>
      <w:r w:rsidRPr="00853611">
        <w:rPr>
          <w:sz w:val="20"/>
        </w:rPr>
        <w:t>– střední školy</w:t>
      </w:r>
    </w:p>
    <w:p w14:paraId="2A79E15D" w14:textId="77777777" w:rsidR="000419FA" w:rsidRPr="00853611" w:rsidRDefault="000419FA" w:rsidP="00515127">
      <w:pPr>
        <w:ind w:left="1560" w:hanging="1560"/>
        <w:rPr>
          <w:sz w:val="20"/>
        </w:rPr>
      </w:pPr>
      <w:r w:rsidRPr="00853611">
        <w:rPr>
          <w:sz w:val="20"/>
        </w:rPr>
        <w:t xml:space="preserve">SSP </w:t>
      </w:r>
      <w:r w:rsidR="00D556EA" w:rsidRPr="00853611">
        <w:rPr>
          <w:sz w:val="20"/>
        </w:rPr>
        <w:tab/>
      </w:r>
      <w:r w:rsidR="00020546" w:rsidRPr="00853611">
        <w:rPr>
          <w:sz w:val="20"/>
        </w:rPr>
        <w:t>–</w:t>
      </w:r>
      <w:r w:rsidRPr="00853611">
        <w:rPr>
          <w:sz w:val="20"/>
        </w:rPr>
        <w:t xml:space="preserve"> studenti se speciálními potřebami</w:t>
      </w:r>
    </w:p>
    <w:p w14:paraId="20C76775" w14:textId="77777777" w:rsidR="000419FA" w:rsidRPr="00853611" w:rsidRDefault="000419FA" w:rsidP="00515127">
      <w:pPr>
        <w:ind w:left="1560" w:hanging="1560"/>
        <w:rPr>
          <w:sz w:val="20"/>
        </w:rPr>
      </w:pPr>
      <w:r w:rsidRPr="00853611">
        <w:rPr>
          <w:sz w:val="20"/>
        </w:rPr>
        <w:t xml:space="preserve">SVČ </w:t>
      </w:r>
      <w:r w:rsidR="00D556EA" w:rsidRPr="00853611">
        <w:rPr>
          <w:sz w:val="20"/>
        </w:rPr>
        <w:tab/>
      </w:r>
      <w:r w:rsidRPr="00853611">
        <w:rPr>
          <w:sz w:val="20"/>
        </w:rPr>
        <w:t>– středisko volného času</w:t>
      </w:r>
    </w:p>
    <w:p w14:paraId="1CD8AF99" w14:textId="77777777" w:rsidR="000419FA" w:rsidRPr="00853611" w:rsidRDefault="000419FA" w:rsidP="00515127">
      <w:pPr>
        <w:ind w:left="1560" w:hanging="1560"/>
        <w:rPr>
          <w:sz w:val="20"/>
        </w:rPr>
      </w:pPr>
      <w:r w:rsidRPr="00853611">
        <w:rPr>
          <w:sz w:val="20"/>
        </w:rPr>
        <w:t xml:space="preserve">SVŠ </w:t>
      </w:r>
      <w:r w:rsidR="00D556EA" w:rsidRPr="00853611">
        <w:rPr>
          <w:sz w:val="20"/>
        </w:rPr>
        <w:tab/>
      </w:r>
      <w:r w:rsidRPr="00853611">
        <w:rPr>
          <w:sz w:val="20"/>
        </w:rPr>
        <w:t>– soukromé vysoké školy</w:t>
      </w:r>
    </w:p>
    <w:p w14:paraId="3FD54DFC" w14:textId="77777777" w:rsidR="000419FA" w:rsidRPr="00853611" w:rsidRDefault="000419FA" w:rsidP="00515127">
      <w:pPr>
        <w:ind w:left="1560" w:hanging="1560"/>
        <w:rPr>
          <w:sz w:val="20"/>
        </w:rPr>
      </w:pPr>
      <w:r w:rsidRPr="00853611">
        <w:rPr>
          <w:sz w:val="20"/>
        </w:rPr>
        <w:t xml:space="preserve">SZP </w:t>
      </w:r>
      <w:r w:rsidR="00D556EA" w:rsidRPr="00853611">
        <w:rPr>
          <w:sz w:val="20"/>
        </w:rPr>
        <w:tab/>
      </w:r>
      <w:r w:rsidRPr="00853611">
        <w:rPr>
          <w:sz w:val="20"/>
        </w:rPr>
        <w:t>– společná zemědělská politika</w:t>
      </w:r>
    </w:p>
    <w:p w14:paraId="751D885F" w14:textId="77777777" w:rsidR="000419FA" w:rsidRPr="00853611" w:rsidRDefault="000419FA" w:rsidP="00515127">
      <w:pPr>
        <w:ind w:left="1560" w:hanging="1560"/>
        <w:rPr>
          <w:sz w:val="20"/>
        </w:rPr>
      </w:pPr>
      <w:r w:rsidRPr="00853611">
        <w:rPr>
          <w:sz w:val="20"/>
        </w:rPr>
        <w:t xml:space="preserve">SU </w:t>
      </w:r>
      <w:r w:rsidR="00D556EA" w:rsidRPr="00853611">
        <w:rPr>
          <w:sz w:val="20"/>
        </w:rPr>
        <w:tab/>
      </w:r>
      <w:r w:rsidRPr="00853611">
        <w:rPr>
          <w:sz w:val="20"/>
        </w:rPr>
        <w:t>– Slezská univerzita</w:t>
      </w:r>
    </w:p>
    <w:p w14:paraId="09059DD3" w14:textId="77777777" w:rsidR="000419FA" w:rsidRPr="00853611" w:rsidRDefault="000419FA" w:rsidP="00515127">
      <w:pPr>
        <w:ind w:left="1560" w:hanging="1560"/>
        <w:rPr>
          <w:sz w:val="20"/>
        </w:rPr>
      </w:pPr>
      <w:r w:rsidRPr="00853611">
        <w:rPr>
          <w:sz w:val="20"/>
        </w:rPr>
        <w:t xml:space="preserve">ŠPO </w:t>
      </w:r>
      <w:r w:rsidR="00D556EA" w:rsidRPr="00853611">
        <w:rPr>
          <w:sz w:val="20"/>
        </w:rPr>
        <w:tab/>
      </w:r>
      <w:r w:rsidRPr="00853611">
        <w:rPr>
          <w:sz w:val="20"/>
        </w:rPr>
        <w:t>– škol</w:t>
      </w:r>
      <w:r w:rsidR="00D556EA" w:rsidRPr="00853611">
        <w:rPr>
          <w:sz w:val="20"/>
        </w:rPr>
        <w:t>ská</w:t>
      </w:r>
      <w:r w:rsidRPr="00853611">
        <w:rPr>
          <w:sz w:val="20"/>
        </w:rPr>
        <w:t xml:space="preserve"> právnická osoba</w:t>
      </w:r>
    </w:p>
    <w:p w14:paraId="37845E20" w14:textId="77777777" w:rsidR="000419FA" w:rsidRPr="00853611" w:rsidRDefault="000419FA" w:rsidP="00515127">
      <w:pPr>
        <w:ind w:left="1560" w:hanging="1560"/>
        <w:rPr>
          <w:sz w:val="20"/>
        </w:rPr>
      </w:pPr>
      <w:r w:rsidRPr="00853611">
        <w:rPr>
          <w:sz w:val="20"/>
        </w:rPr>
        <w:t>TIM</w:t>
      </w:r>
      <w:r w:rsidR="00187140" w:rsidRPr="00853611">
        <w:rPr>
          <w:sz w:val="20"/>
        </w:rPr>
        <w:t>S</w:t>
      </w:r>
      <w:r w:rsidRPr="00853611">
        <w:rPr>
          <w:sz w:val="20"/>
        </w:rPr>
        <w:t xml:space="preserve">S </w:t>
      </w:r>
      <w:r w:rsidR="00D556EA" w:rsidRPr="00853611">
        <w:rPr>
          <w:sz w:val="20"/>
        </w:rPr>
        <w:tab/>
      </w:r>
      <w:r w:rsidRPr="00853611">
        <w:rPr>
          <w:sz w:val="20"/>
        </w:rPr>
        <w:t>– Trends in International Mathematics and Science Study</w:t>
      </w:r>
    </w:p>
    <w:p w14:paraId="6C1BCD7C" w14:textId="77777777" w:rsidR="000419FA" w:rsidRPr="00853611" w:rsidRDefault="000419FA" w:rsidP="00515127">
      <w:pPr>
        <w:ind w:left="1560" w:hanging="1560"/>
        <w:rPr>
          <w:sz w:val="20"/>
        </w:rPr>
      </w:pPr>
      <w:r w:rsidRPr="00853611">
        <w:rPr>
          <w:sz w:val="20"/>
        </w:rPr>
        <w:t xml:space="preserve">U3V </w:t>
      </w:r>
      <w:r w:rsidR="00D556EA" w:rsidRPr="00853611">
        <w:rPr>
          <w:sz w:val="20"/>
        </w:rPr>
        <w:tab/>
      </w:r>
      <w:r w:rsidRPr="00853611">
        <w:rPr>
          <w:sz w:val="20"/>
        </w:rPr>
        <w:t>– Univerzita třetího věku</w:t>
      </w:r>
    </w:p>
    <w:p w14:paraId="01A7026A" w14:textId="77777777" w:rsidR="000419FA" w:rsidRPr="00853611" w:rsidRDefault="000419FA" w:rsidP="00515127">
      <w:pPr>
        <w:ind w:left="1560" w:hanging="1560"/>
        <w:rPr>
          <w:sz w:val="20"/>
        </w:rPr>
      </w:pPr>
      <w:r w:rsidRPr="00853611">
        <w:rPr>
          <w:sz w:val="20"/>
        </w:rPr>
        <w:t xml:space="preserve">ÚJOP/UK </w:t>
      </w:r>
      <w:r w:rsidR="00D556EA" w:rsidRPr="00853611">
        <w:rPr>
          <w:sz w:val="20"/>
        </w:rPr>
        <w:tab/>
      </w:r>
      <w:r w:rsidRPr="00853611">
        <w:rPr>
          <w:sz w:val="20"/>
        </w:rPr>
        <w:t>– Ústav jazykové odborné přípravy Univerzity Karlovy</w:t>
      </w:r>
    </w:p>
    <w:p w14:paraId="7F14536D" w14:textId="77777777" w:rsidR="000419FA" w:rsidRPr="00853611" w:rsidRDefault="000419FA" w:rsidP="00515127">
      <w:pPr>
        <w:ind w:left="1560" w:hanging="1560"/>
        <w:rPr>
          <w:sz w:val="20"/>
        </w:rPr>
      </w:pPr>
      <w:r w:rsidRPr="00853611">
        <w:rPr>
          <w:sz w:val="20"/>
        </w:rPr>
        <w:t xml:space="preserve">UK </w:t>
      </w:r>
      <w:r w:rsidR="00A63448" w:rsidRPr="00853611">
        <w:rPr>
          <w:sz w:val="20"/>
        </w:rPr>
        <w:tab/>
      </w:r>
      <w:r w:rsidRPr="00853611">
        <w:rPr>
          <w:sz w:val="20"/>
        </w:rPr>
        <w:t>– Univerzita Karlova</w:t>
      </w:r>
    </w:p>
    <w:p w14:paraId="49D18245" w14:textId="77777777" w:rsidR="000419FA" w:rsidRPr="00853611" w:rsidRDefault="000419FA" w:rsidP="00515127">
      <w:pPr>
        <w:ind w:left="1560" w:hanging="1560"/>
        <w:rPr>
          <w:sz w:val="20"/>
        </w:rPr>
      </w:pPr>
      <w:r w:rsidRPr="00853611">
        <w:rPr>
          <w:sz w:val="20"/>
        </w:rPr>
        <w:t xml:space="preserve">ÚO </w:t>
      </w:r>
      <w:r w:rsidR="00A63448" w:rsidRPr="00853611">
        <w:rPr>
          <w:sz w:val="20"/>
        </w:rPr>
        <w:tab/>
      </w:r>
      <w:r w:rsidRPr="00853611">
        <w:rPr>
          <w:sz w:val="20"/>
        </w:rPr>
        <w:t>– ústřední orgán</w:t>
      </w:r>
    </w:p>
    <w:p w14:paraId="057F783F" w14:textId="77777777" w:rsidR="000419FA" w:rsidRPr="00853611" w:rsidRDefault="000419FA" w:rsidP="00515127">
      <w:pPr>
        <w:ind w:left="1560" w:hanging="1560"/>
        <w:rPr>
          <w:sz w:val="20"/>
        </w:rPr>
      </w:pPr>
      <w:r w:rsidRPr="00853611">
        <w:rPr>
          <w:sz w:val="20"/>
        </w:rPr>
        <w:t xml:space="preserve">UPOL </w:t>
      </w:r>
      <w:r w:rsidR="00A63448" w:rsidRPr="00853611">
        <w:rPr>
          <w:sz w:val="20"/>
        </w:rPr>
        <w:tab/>
      </w:r>
      <w:r w:rsidRPr="00853611">
        <w:rPr>
          <w:sz w:val="20"/>
        </w:rPr>
        <w:t>– Univerzita Palackého v Olomouci</w:t>
      </w:r>
    </w:p>
    <w:p w14:paraId="0634C0F0" w14:textId="77777777" w:rsidR="000419FA" w:rsidRPr="00853611" w:rsidRDefault="000419FA" w:rsidP="00515127">
      <w:pPr>
        <w:ind w:left="1560" w:hanging="1560"/>
        <w:rPr>
          <w:sz w:val="20"/>
        </w:rPr>
      </w:pPr>
      <w:r w:rsidRPr="00853611">
        <w:rPr>
          <w:sz w:val="20"/>
        </w:rPr>
        <w:t xml:space="preserve">UR </w:t>
      </w:r>
      <w:r w:rsidR="00A63448" w:rsidRPr="00853611">
        <w:rPr>
          <w:sz w:val="20"/>
        </w:rPr>
        <w:tab/>
      </w:r>
      <w:r w:rsidRPr="00853611">
        <w:rPr>
          <w:sz w:val="20"/>
        </w:rPr>
        <w:t>– upravený rozpočet</w:t>
      </w:r>
    </w:p>
    <w:p w14:paraId="30DA6592" w14:textId="77777777" w:rsidR="000419FA" w:rsidRPr="00853611" w:rsidRDefault="000419FA" w:rsidP="00515127">
      <w:pPr>
        <w:ind w:left="1560" w:hanging="1560"/>
        <w:rPr>
          <w:sz w:val="20"/>
        </w:rPr>
      </w:pPr>
      <w:r w:rsidRPr="00853611">
        <w:rPr>
          <w:sz w:val="20"/>
        </w:rPr>
        <w:t xml:space="preserve">ÚSC </w:t>
      </w:r>
      <w:r w:rsidR="00A63448" w:rsidRPr="00853611">
        <w:rPr>
          <w:sz w:val="20"/>
        </w:rPr>
        <w:tab/>
      </w:r>
      <w:r w:rsidRPr="00853611">
        <w:rPr>
          <w:sz w:val="20"/>
        </w:rPr>
        <w:t>– územní samosprávné celky</w:t>
      </w:r>
    </w:p>
    <w:p w14:paraId="45775639" w14:textId="77777777" w:rsidR="005D4A51" w:rsidRPr="00853611" w:rsidRDefault="00871950" w:rsidP="00515127">
      <w:pPr>
        <w:ind w:left="1560" w:hanging="1560"/>
        <w:rPr>
          <w:sz w:val="20"/>
        </w:rPr>
      </w:pPr>
      <w:r w:rsidRPr="00853611">
        <w:rPr>
          <w:sz w:val="20"/>
        </w:rPr>
        <w:t>U</w:t>
      </w:r>
      <w:r w:rsidR="005D4A51" w:rsidRPr="00853611">
        <w:rPr>
          <w:sz w:val="20"/>
        </w:rPr>
        <w:t>V</w:t>
      </w:r>
      <w:r w:rsidR="005D4A51" w:rsidRPr="00853611">
        <w:rPr>
          <w:sz w:val="20"/>
        </w:rPr>
        <w:tab/>
        <w:t>– usnesení vlády</w:t>
      </w:r>
    </w:p>
    <w:p w14:paraId="0E33ADCA" w14:textId="77777777" w:rsidR="000419FA" w:rsidRPr="00853611" w:rsidRDefault="000419FA" w:rsidP="00515127">
      <w:pPr>
        <w:ind w:left="1560" w:hanging="1560"/>
        <w:rPr>
          <w:sz w:val="20"/>
        </w:rPr>
      </w:pPr>
      <w:r w:rsidRPr="00853611">
        <w:rPr>
          <w:sz w:val="20"/>
        </w:rPr>
        <w:t xml:space="preserve">ÚV </w:t>
      </w:r>
      <w:r w:rsidR="00A63448" w:rsidRPr="00853611">
        <w:rPr>
          <w:sz w:val="20"/>
        </w:rPr>
        <w:tab/>
      </w:r>
      <w:r w:rsidR="00515127" w:rsidRPr="00853611">
        <w:rPr>
          <w:sz w:val="20"/>
        </w:rPr>
        <w:t>– Ú</w:t>
      </w:r>
      <w:r w:rsidRPr="00853611">
        <w:rPr>
          <w:sz w:val="20"/>
        </w:rPr>
        <w:t>řad vlády</w:t>
      </w:r>
    </w:p>
    <w:p w14:paraId="6F9ED321" w14:textId="77777777" w:rsidR="000419FA" w:rsidRPr="00853611" w:rsidRDefault="000419FA" w:rsidP="00515127">
      <w:pPr>
        <w:ind w:left="1560" w:hanging="1560"/>
        <w:rPr>
          <w:sz w:val="20"/>
        </w:rPr>
      </w:pPr>
      <w:r w:rsidRPr="00853611">
        <w:rPr>
          <w:sz w:val="20"/>
        </w:rPr>
        <w:t xml:space="preserve">VOŠ </w:t>
      </w:r>
      <w:r w:rsidR="00A63448" w:rsidRPr="00853611">
        <w:rPr>
          <w:sz w:val="20"/>
        </w:rPr>
        <w:tab/>
      </w:r>
      <w:r w:rsidRPr="00853611">
        <w:rPr>
          <w:sz w:val="20"/>
        </w:rPr>
        <w:t>– vyšší odborné školy</w:t>
      </w:r>
    </w:p>
    <w:p w14:paraId="3B169465" w14:textId="77777777" w:rsidR="000419FA" w:rsidRPr="00853611" w:rsidRDefault="000419FA" w:rsidP="00515127">
      <w:pPr>
        <w:ind w:left="1560" w:hanging="1560"/>
        <w:rPr>
          <w:sz w:val="20"/>
        </w:rPr>
      </w:pPr>
      <w:r w:rsidRPr="00853611">
        <w:rPr>
          <w:sz w:val="20"/>
        </w:rPr>
        <w:t xml:space="preserve">VPS </w:t>
      </w:r>
      <w:r w:rsidR="00A63448" w:rsidRPr="00853611">
        <w:rPr>
          <w:sz w:val="20"/>
        </w:rPr>
        <w:tab/>
      </w:r>
      <w:r w:rsidRPr="00853611">
        <w:rPr>
          <w:sz w:val="20"/>
        </w:rPr>
        <w:t>– Všeobecná pokladní správa</w:t>
      </w:r>
    </w:p>
    <w:p w14:paraId="6C47C6D2" w14:textId="77777777" w:rsidR="000419FA" w:rsidRPr="00853611" w:rsidRDefault="000419FA" w:rsidP="00515127">
      <w:pPr>
        <w:ind w:left="1560" w:hanging="1560"/>
        <w:rPr>
          <w:sz w:val="20"/>
        </w:rPr>
      </w:pPr>
      <w:r w:rsidRPr="00853611">
        <w:rPr>
          <w:sz w:val="20"/>
        </w:rPr>
        <w:lastRenderedPageBreak/>
        <w:t xml:space="preserve">v.v.i </w:t>
      </w:r>
      <w:r w:rsidR="00A63448" w:rsidRPr="00853611">
        <w:rPr>
          <w:sz w:val="20"/>
        </w:rPr>
        <w:tab/>
      </w:r>
      <w:r w:rsidRPr="00853611">
        <w:rPr>
          <w:sz w:val="20"/>
        </w:rPr>
        <w:t>– veřejná výzkumná instituce</w:t>
      </w:r>
    </w:p>
    <w:p w14:paraId="18A36838" w14:textId="77777777" w:rsidR="000419FA" w:rsidRPr="00853611" w:rsidRDefault="000419FA" w:rsidP="00515127">
      <w:pPr>
        <w:ind w:left="1560" w:hanging="1560"/>
        <w:rPr>
          <w:sz w:val="20"/>
        </w:rPr>
      </w:pPr>
      <w:r w:rsidRPr="00853611">
        <w:rPr>
          <w:sz w:val="20"/>
        </w:rPr>
        <w:t xml:space="preserve">VSC </w:t>
      </w:r>
      <w:r w:rsidR="00A63448" w:rsidRPr="00853611">
        <w:rPr>
          <w:sz w:val="20"/>
        </w:rPr>
        <w:tab/>
      </w:r>
      <w:r w:rsidRPr="00853611">
        <w:rPr>
          <w:sz w:val="20"/>
        </w:rPr>
        <w:t>– Vysokoškolské sportovní centrum</w:t>
      </w:r>
    </w:p>
    <w:p w14:paraId="4FE1DE9F" w14:textId="77777777" w:rsidR="000419FA" w:rsidRPr="00853611" w:rsidRDefault="000419FA" w:rsidP="00515127">
      <w:pPr>
        <w:ind w:left="1560" w:hanging="1560"/>
        <w:rPr>
          <w:sz w:val="20"/>
        </w:rPr>
      </w:pPr>
      <w:r w:rsidRPr="00853611">
        <w:rPr>
          <w:sz w:val="20"/>
        </w:rPr>
        <w:t xml:space="preserve">VŠ </w:t>
      </w:r>
      <w:r w:rsidR="00A63448" w:rsidRPr="00853611">
        <w:rPr>
          <w:sz w:val="20"/>
        </w:rPr>
        <w:tab/>
      </w:r>
      <w:r w:rsidRPr="00853611">
        <w:rPr>
          <w:sz w:val="20"/>
        </w:rPr>
        <w:t>– vysoké školy</w:t>
      </w:r>
    </w:p>
    <w:p w14:paraId="27264F08" w14:textId="77777777" w:rsidR="000419FA" w:rsidRPr="00853611" w:rsidRDefault="000419FA" w:rsidP="00515127">
      <w:pPr>
        <w:ind w:left="1560" w:hanging="1560"/>
        <w:rPr>
          <w:sz w:val="20"/>
        </w:rPr>
      </w:pPr>
      <w:r w:rsidRPr="00853611">
        <w:rPr>
          <w:sz w:val="20"/>
        </w:rPr>
        <w:t xml:space="preserve">VŠUP </w:t>
      </w:r>
      <w:r w:rsidR="00A63448" w:rsidRPr="00853611">
        <w:rPr>
          <w:sz w:val="20"/>
        </w:rPr>
        <w:tab/>
      </w:r>
      <w:r w:rsidRPr="00853611">
        <w:rPr>
          <w:sz w:val="20"/>
        </w:rPr>
        <w:t>–</w:t>
      </w:r>
      <w:r w:rsidR="00A63448" w:rsidRPr="00853611">
        <w:rPr>
          <w:sz w:val="20"/>
        </w:rPr>
        <w:t xml:space="preserve"> </w:t>
      </w:r>
      <w:r w:rsidRPr="00853611">
        <w:rPr>
          <w:sz w:val="20"/>
        </w:rPr>
        <w:t>Vysoká škola umělecko-průmyslová</w:t>
      </w:r>
    </w:p>
    <w:p w14:paraId="03B2B483" w14:textId="77777777" w:rsidR="000419FA" w:rsidRPr="00853611" w:rsidRDefault="000419FA" w:rsidP="00515127">
      <w:pPr>
        <w:ind w:left="1560" w:hanging="1560"/>
        <w:rPr>
          <w:sz w:val="20"/>
        </w:rPr>
      </w:pPr>
      <w:r w:rsidRPr="00853611">
        <w:rPr>
          <w:sz w:val="20"/>
        </w:rPr>
        <w:t xml:space="preserve">VÚ </w:t>
      </w:r>
      <w:r w:rsidR="00A63448" w:rsidRPr="00853611">
        <w:rPr>
          <w:sz w:val="20"/>
        </w:rPr>
        <w:tab/>
      </w:r>
      <w:r w:rsidRPr="00853611">
        <w:rPr>
          <w:sz w:val="20"/>
        </w:rPr>
        <w:t>– výchovný ústav</w:t>
      </w:r>
    </w:p>
    <w:p w14:paraId="79C3A774" w14:textId="77777777" w:rsidR="000419FA" w:rsidRPr="00853611" w:rsidRDefault="000419FA" w:rsidP="00515127">
      <w:pPr>
        <w:ind w:left="1560" w:hanging="1560"/>
        <w:rPr>
          <w:sz w:val="20"/>
        </w:rPr>
      </w:pPr>
      <w:r w:rsidRPr="00853611">
        <w:rPr>
          <w:sz w:val="20"/>
        </w:rPr>
        <w:t xml:space="preserve">VUT </w:t>
      </w:r>
      <w:r w:rsidR="00A63448" w:rsidRPr="00853611">
        <w:rPr>
          <w:sz w:val="20"/>
        </w:rPr>
        <w:tab/>
      </w:r>
      <w:r w:rsidRPr="00853611">
        <w:rPr>
          <w:sz w:val="20"/>
        </w:rPr>
        <w:t>– Vysoké učení technické</w:t>
      </w:r>
    </w:p>
    <w:p w14:paraId="61FC113D" w14:textId="77777777" w:rsidR="000419FA" w:rsidRPr="00853611" w:rsidRDefault="000419FA" w:rsidP="00515127">
      <w:pPr>
        <w:ind w:left="1560" w:hanging="1560"/>
        <w:rPr>
          <w:sz w:val="20"/>
        </w:rPr>
      </w:pPr>
      <w:r w:rsidRPr="00853611">
        <w:rPr>
          <w:sz w:val="20"/>
        </w:rPr>
        <w:t xml:space="preserve">VVI </w:t>
      </w:r>
      <w:r w:rsidR="00A63448" w:rsidRPr="00853611">
        <w:rPr>
          <w:sz w:val="20"/>
        </w:rPr>
        <w:tab/>
      </w:r>
      <w:r w:rsidRPr="00853611">
        <w:rPr>
          <w:sz w:val="20"/>
        </w:rPr>
        <w:t>– výzkum, experimentální vývoj a inovace</w:t>
      </w:r>
    </w:p>
    <w:p w14:paraId="1E2E33FE" w14:textId="77777777" w:rsidR="000419FA" w:rsidRPr="00853611" w:rsidRDefault="000419FA" w:rsidP="00515127">
      <w:pPr>
        <w:ind w:left="1560" w:hanging="1560"/>
        <w:rPr>
          <w:sz w:val="20"/>
        </w:rPr>
      </w:pPr>
      <w:r w:rsidRPr="00853611">
        <w:rPr>
          <w:sz w:val="20"/>
        </w:rPr>
        <w:t xml:space="preserve">VVŠ </w:t>
      </w:r>
      <w:r w:rsidR="00A63448" w:rsidRPr="00853611">
        <w:rPr>
          <w:sz w:val="20"/>
        </w:rPr>
        <w:tab/>
      </w:r>
      <w:r w:rsidRPr="00853611">
        <w:rPr>
          <w:sz w:val="20"/>
        </w:rPr>
        <w:t>– veřejné vysoké školy</w:t>
      </w:r>
    </w:p>
    <w:p w14:paraId="6D8D6126" w14:textId="77777777" w:rsidR="00082330" w:rsidRPr="00853611" w:rsidRDefault="00082330" w:rsidP="00515127">
      <w:pPr>
        <w:ind w:left="1560" w:hanging="1560"/>
        <w:rPr>
          <w:sz w:val="20"/>
        </w:rPr>
      </w:pPr>
      <w:r w:rsidRPr="00853611">
        <w:rPr>
          <w:sz w:val="20"/>
        </w:rPr>
        <w:t>WADA</w:t>
      </w:r>
      <w:r w:rsidRPr="00853611">
        <w:rPr>
          <w:sz w:val="20"/>
        </w:rPr>
        <w:tab/>
        <w:t>– světová antidopingová agentura (World Anti-Doping Agency)</w:t>
      </w:r>
    </w:p>
    <w:p w14:paraId="63D4F2C0" w14:textId="77777777" w:rsidR="000419FA" w:rsidRPr="00853611" w:rsidRDefault="000419FA" w:rsidP="00515127">
      <w:pPr>
        <w:ind w:left="1560" w:hanging="1560"/>
        <w:rPr>
          <w:sz w:val="20"/>
        </w:rPr>
      </w:pPr>
      <w:r w:rsidRPr="00853611">
        <w:rPr>
          <w:sz w:val="20"/>
        </w:rPr>
        <w:t xml:space="preserve">ZP </w:t>
      </w:r>
      <w:r w:rsidR="00A63448" w:rsidRPr="00853611">
        <w:rPr>
          <w:sz w:val="20"/>
        </w:rPr>
        <w:tab/>
      </w:r>
      <w:r w:rsidRPr="00853611">
        <w:rPr>
          <w:sz w:val="20"/>
        </w:rPr>
        <w:t>– zákoník práce</w:t>
      </w:r>
    </w:p>
    <w:p w14:paraId="7B71AB01" w14:textId="77777777" w:rsidR="000419FA" w:rsidRPr="00853611" w:rsidRDefault="000419FA" w:rsidP="00515127">
      <w:pPr>
        <w:ind w:left="1560" w:hanging="1560"/>
        <w:rPr>
          <w:sz w:val="20"/>
        </w:rPr>
      </w:pPr>
      <w:r w:rsidRPr="00853611">
        <w:rPr>
          <w:sz w:val="20"/>
        </w:rPr>
        <w:t xml:space="preserve">z.s.p.o. </w:t>
      </w:r>
      <w:r w:rsidR="00A63448" w:rsidRPr="00853611">
        <w:rPr>
          <w:sz w:val="20"/>
        </w:rPr>
        <w:tab/>
      </w:r>
      <w:r w:rsidR="00ED6F95" w:rsidRPr="00853611">
        <w:rPr>
          <w:sz w:val="20"/>
        </w:rPr>
        <w:t>–</w:t>
      </w:r>
      <w:r w:rsidR="00D706B9" w:rsidRPr="00853611">
        <w:rPr>
          <w:sz w:val="20"/>
        </w:rPr>
        <w:t xml:space="preserve"> </w:t>
      </w:r>
      <w:r w:rsidRPr="00853611">
        <w:rPr>
          <w:sz w:val="20"/>
        </w:rPr>
        <w:t>zájmové sdružení právnických osob</w:t>
      </w:r>
    </w:p>
    <w:p w14:paraId="52BA3DD9" w14:textId="77777777" w:rsidR="000419FA" w:rsidRPr="00853611" w:rsidRDefault="000419FA" w:rsidP="00515127">
      <w:pPr>
        <w:ind w:left="1560" w:hanging="1560"/>
        <w:rPr>
          <w:sz w:val="20"/>
        </w:rPr>
      </w:pPr>
      <w:r w:rsidRPr="00853611">
        <w:rPr>
          <w:sz w:val="20"/>
        </w:rPr>
        <w:t xml:space="preserve">ZŠ </w:t>
      </w:r>
      <w:r w:rsidR="00A63448" w:rsidRPr="00853611">
        <w:rPr>
          <w:sz w:val="20"/>
        </w:rPr>
        <w:tab/>
      </w:r>
      <w:r w:rsidRPr="00853611">
        <w:rPr>
          <w:sz w:val="20"/>
        </w:rPr>
        <w:t>– základní školy</w:t>
      </w:r>
    </w:p>
    <w:p w14:paraId="4DE38AAB" w14:textId="77777777" w:rsidR="000419FA" w:rsidRPr="00853611" w:rsidRDefault="000419FA" w:rsidP="00515127">
      <w:pPr>
        <w:ind w:left="1560" w:hanging="1560"/>
        <w:rPr>
          <w:sz w:val="20"/>
        </w:rPr>
      </w:pPr>
      <w:r w:rsidRPr="00853611">
        <w:rPr>
          <w:sz w:val="20"/>
        </w:rPr>
        <w:t xml:space="preserve">ZÚ </w:t>
      </w:r>
      <w:r w:rsidR="00A63448" w:rsidRPr="00853611">
        <w:rPr>
          <w:sz w:val="20"/>
        </w:rPr>
        <w:tab/>
      </w:r>
      <w:r w:rsidRPr="00853611">
        <w:rPr>
          <w:sz w:val="20"/>
        </w:rPr>
        <w:t>– závazné ukazatele</w:t>
      </w:r>
    </w:p>
    <w:p w14:paraId="2D4B9DFC" w14:textId="77777777" w:rsidR="000419FA" w:rsidRPr="00853611" w:rsidRDefault="000419FA" w:rsidP="00515127">
      <w:pPr>
        <w:ind w:left="1560" w:hanging="1560"/>
        <w:rPr>
          <w:sz w:val="20"/>
        </w:rPr>
      </w:pPr>
      <w:r w:rsidRPr="00853611">
        <w:rPr>
          <w:sz w:val="20"/>
        </w:rPr>
        <w:t xml:space="preserve">ZUŠ </w:t>
      </w:r>
      <w:r w:rsidR="00A63448" w:rsidRPr="00853611">
        <w:rPr>
          <w:sz w:val="20"/>
        </w:rPr>
        <w:tab/>
      </w:r>
      <w:r w:rsidRPr="00853611">
        <w:rPr>
          <w:sz w:val="20"/>
        </w:rPr>
        <w:t>– základní umělecké školy</w:t>
      </w:r>
    </w:p>
    <w:p w14:paraId="48F89A8C" w14:textId="77777777" w:rsidR="000419FA" w:rsidRPr="00853611" w:rsidRDefault="000419FA" w:rsidP="000419FA">
      <w:pPr>
        <w:ind w:left="1276" w:hanging="1276"/>
        <w:rPr>
          <w:sz w:val="20"/>
        </w:rPr>
      </w:pPr>
    </w:p>
    <w:p w14:paraId="044DCA13" w14:textId="77777777" w:rsidR="00C069EF" w:rsidRPr="00751578" w:rsidRDefault="000419FA" w:rsidP="003E3BFA">
      <w:pPr>
        <w:jc w:val="left"/>
        <w:rPr>
          <w:b/>
        </w:rPr>
      </w:pPr>
      <w:r w:rsidRPr="00853611">
        <w:rPr>
          <w:sz w:val="20"/>
        </w:rPr>
        <w:br w:type="column"/>
      </w:r>
      <w:r w:rsidR="00C069EF" w:rsidRPr="00751578">
        <w:rPr>
          <w:b/>
        </w:rPr>
        <w:lastRenderedPageBreak/>
        <w:t>OBSAH</w:t>
      </w:r>
    </w:p>
    <w:p w14:paraId="3415AF68" w14:textId="77777777" w:rsidR="008F55DA" w:rsidRDefault="00D42341">
      <w:pPr>
        <w:pStyle w:val="Obsah1"/>
        <w:rPr>
          <w:rFonts w:asciiTheme="minorHAnsi" w:eastAsiaTheme="minorEastAsia" w:hAnsiTheme="minorHAnsi" w:cstheme="minorBidi"/>
          <w:b w:val="0"/>
          <w:bCs w:val="0"/>
          <w:caps w:val="0"/>
          <w:noProof/>
          <w:sz w:val="22"/>
          <w:szCs w:val="22"/>
        </w:rPr>
      </w:pPr>
      <w:r w:rsidRPr="00853611">
        <w:rPr>
          <w:rFonts w:ascii="Cambria" w:hAnsi="Cambria"/>
          <w:color w:val="548DD4"/>
          <w:highlight w:val="yellow"/>
        </w:rPr>
        <w:fldChar w:fldCharType="begin"/>
      </w:r>
      <w:r w:rsidRPr="00853611">
        <w:rPr>
          <w:rFonts w:ascii="Cambria" w:hAnsi="Cambria"/>
          <w:color w:val="548DD4"/>
          <w:highlight w:val="yellow"/>
        </w:rPr>
        <w:instrText xml:space="preserve"> TOC \o "3-4" \f \t "Nadpis 1;1;Nadpis 2;2" </w:instrText>
      </w:r>
      <w:r w:rsidRPr="00853611">
        <w:rPr>
          <w:rFonts w:ascii="Cambria" w:hAnsi="Cambria"/>
          <w:color w:val="548DD4"/>
          <w:highlight w:val="yellow"/>
        </w:rPr>
        <w:fldChar w:fldCharType="separate"/>
      </w:r>
      <w:r w:rsidR="008F55DA">
        <w:rPr>
          <w:noProof/>
        </w:rPr>
        <w:t>A</w:t>
      </w:r>
      <w:r w:rsidR="008F55DA">
        <w:rPr>
          <w:rFonts w:asciiTheme="minorHAnsi" w:eastAsiaTheme="minorEastAsia" w:hAnsiTheme="minorHAnsi" w:cstheme="minorBidi"/>
          <w:b w:val="0"/>
          <w:bCs w:val="0"/>
          <w:caps w:val="0"/>
          <w:noProof/>
          <w:sz w:val="22"/>
          <w:szCs w:val="22"/>
        </w:rPr>
        <w:tab/>
      </w:r>
      <w:r w:rsidR="008F55DA">
        <w:rPr>
          <w:noProof/>
        </w:rPr>
        <w:t>Kapitola 333 – Ministerstvo školství, mládeže a tělovýchovy celkem</w:t>
      </w:r>
      <w:r w:rsidR="008F55DA">
        <w:rPr>
          <w:noProof/>
        </w:rPr>
        <w:tab/>
      </w:r>
      <w:r w:rsidR="008F55DA">
        <w:rPr>
          <w:noProof/>
        </w:rPr>
        <w:fldChar w:fldCharType="begin"/>
      </w:r>
      <w:r w:rsidR="008F55DA">
        <w:rPr>
          <w:noProof/>
        </w:rPr>
        <w:instrText xml:space="preserve"> PAGEREF _Toc5968805 \h </w:instrText>
      </w:r>
      <w:r w:rsidR="008F55DA">
        <w:rPr>
          <w:noProof/>
        </w:rPr>
      </w:r>
      <w:r w:rsidR="008F55DA">
        <w:rPr>
          <w:noProof/>
        </w:rPr>
        <w:fldChar w:fldCharType="separate"/>
      </w:r>
      <w:r w:rsidR="00C04B69">
        <w:rPr>
          <w:noProof/>
        </w:rPr>
        <w:t>1</w:t>
      </w:r>
      <w:r w:rsidR="008F55DA">
        <w:rPr>
          <w:noProof/>
        </w:rPr>
        <w:fldChar w:fldCharType="end"/>
      </w:r>
    </w:p>
    <w:p w14:paraId="3EF6F6EF" w14:textId="77777777" w:rsidR="008F55DA" w:rsidRDefault="008F55DA">
      <w:pPr>
        <w:pStyle w:val="Obsah2"/>
        <w:rPr>
          <w:rFonts w:asciiTheme="minorHAnsi" w:eastAsiaTheme="minorEastAsia" w:hAnsiTheme="minorHAnsi" w:cstheme="minorBidi"/>
          <w:b w:val="0"/>
          <w:bCs w:val="0"/>
          <w:noProof/>
          <w:szCs w:val="22"/>
        </w:rPr>
      </w:pPr>
      <w:r>
        <w:rPr>
          <w:noProof/>
        </w:rPr>
        <w:t>A.I</w:t>
      </w:r>
      <w:r>
        <w:rPr>
          <w:rFonts w:asciiTheme="minorHAnsi" w:eastAsiaTheme="minorEastAsia" w:hAnsiTheme="minorHAnsi" w:cstheme="minorBidi"/>
          <w:b w:val="0"/>
          <w:bCs w:val="0"/>
          <w:noProof/>
          <w:szCs w:val="22"/>
        </w:rPr>
        <w:tab/>
      </w:r>
      <w:r>
        <w:rPr>
          <w:noProof/>
        </w:rPr>
        <w:t>Východiska ke stanovení rozpočtu</w:t>
      </w:r>
      <w:r>
        <w:rPr>
          <w:noProof/>
        </w:rPr>
        <w:tab/>
      </w:r>
      <w:r>
        <w:rPr>
          <w:noProof/>
        </w:rPr>
        <w:fldChar w:fldCharType="begin"/>
      </w:r>
      <w:r>
        <w:rPr>
          <w:noProof/>
        </w:rPr>
        <w:instrText xml:space="preserve"> PAGEREF _Toc5968806 \h </w:instrText>
      </w:r>
      <w:r>
        <w:rPr>
          <w:noProof/>
        </w:rPr>
      </w:r>
      <w:r>
        <w:rPr>
          <w:noProof/>
        </w:rPr>
        <w:fldChar w:fldCharType="separate"/>
      </w:r>
      <w:r w:rsidR="00C04B69">
        <w:rPr>
          <w:noProof/>
        </w:rPr>
        <w:t>1</w:t>
      </w:r>
      <w:r>
        <w:rPr>
          <w:noProof/>
        </w:rPr>
        <w:fldChar w:fldCharType="end"/>
      </w:r>
    </w:p>
    <w:p w14:paraId="236BF39C" w14:textId="77777777" w:rsidR="008F55DA" w:rsidRDefault="008F55DA">
      <w:pPr>
        <w:pStyle w:val="Obsah3"/>
        <w:rPr>
          <w:rFonts w:asciiTheme="minorHAnsi" w:eastAsiaTheme="minorEastAsia" w:hAnsiTheme="minorHAnsi" w:cstheme="minorBidi"/>
          <w:b w:val="0"/>
          <w:noProof/>
          <w:sz w:val="22"/>
          <w:szCs w:val="22"/>
        </w:rPr>
      </w:pPr>
      <w:r>
        <w:rPr>
          <w:noProof/>
        </w:rPr>
        <w:t>A.I.1</w:t>
      </w:r>
      <w:r>
        <w:rPr>
          <w:rFonts w:asciiTheme="minorHAnsi" w:eastAsiaTheme="minorEastAsia" w:hAnsiTheme="minorHAnsi" w:cstheme="minorBidi"/>
          <w:b w:val="0"/>
          <w:noProof/>
          <w:sz w:val="22"/>
          <w:szCs w:val="22"/>
        </w:rPr>
        <w:tab/>
      </w:r>
      <w:r>
        <w:rPr>
          <w:noProof/>
        </w:rPr>
        <w:t xml:space="preserve">Ukazatele rozpočtu kapitoly </w:t>
      </w:r>
      <w:r w:rsidRPr="00C62FFD">
        <w:rPr>
          <w:rFonts w:eastAsia="Calibri"/>
          <w:noProof/>
        </w:rPr>
        <w:t>MŠMT</w:t>
      </w:r>
      <w:r>
        <w:rPr>
          <w:noProof/>
        </w:rPr>
        <w:t xml:space="preserve"> na rok 2019</w:t>
      </w:r>
      <w:r>
        <w:rPr>
          <w:noProof/>
        </w:rPr>
        <w:tab/>
      </w:r>
      <w:r>
        <w:rPr>
          <w:noProof/>
        </w:rPr>
        <w:fldChar w:fldCharType="begin"/>
      </w:r>
      <w:r>
        <w:rPr>
          <w:noProof/>
        </w:rPr>
        <w:instrText xml:space="preserve"> PAGEREF _Toc5968807 \h </w:instrText>
      </w:r>
      <w:r>
        <w:rPr>
          <w:noProof/>
        </w:rPr>
      </w:r>
      <w:r>
        <w:rPr>
          <w:noProof/>
        </w:rPr>
        <w:fldChar w:fldCharType="separate"/>
      </w:r>
      <w:r w:rsidR="00C04B69">
        <w:rPr>
          <w:noProof/>
        </w:rPr>
        <w:t>2</w:t>
      </w:r>
      <w:r>
        <w:rPr>
          <w:noProof/>
        </w:rPr>
        <w:fldChar w:fldCharType="end"/>
      </w:r>
    </w:p>
    <w:p w14:paraId="7F6D77C4" w14:textId="77777777" w:rsidR="008F55DA" w:rsidRDefault="008F55DA">
      <w:pPr>
        <w:pStyle w:val="Obsah4"/>
        <w:rPr>
          <w:rFonts w:asciiTheme="minorHAnsi" w:eastAsiaTheme="minorEastAsia" w:hAnsiTheme="minorHAnsi" w:cstheme="minorBidi"/>
          <w:b w:val="0"/>
          <w:i w:val="0"/>
          <w:noProof/>
          <w:sz w:val="22"/>
          <w:szCs w:val="22"/>
        </w:rPr>
      </w:pPr>
      <w:r>
        <w:rPr>
          <w:noProof/>
        </w:rPr>
        <w:t>A.I.1.1</w:t>
      </w:r>
      <w:r>
        <w:rPr>
          <w:rFonts w:asciiTheme="minorHAnsi" w:eastAsiaTheme="minorEastAsia" w:hAnsiTheme="minorHAnsi" w:cstheme="minorBidi"/>
          <w:b w:val="0"/>
          <w:i w:val="0"/>
          <w:noProof/>
          <w:sz w:val="22"/>
          <w:szCs w:val="22"/>
        </w:rPr>
        <w:tab/>
      </w:r>
      <w:r>
        <w:rPr>
          <w:noProof/>
        </w:rPr>
        <w:t>Závazné objemy rozpočtu</w:t>
      </w:r>
      <w:r>
        <w:rPr>
          <w:noProof/>
        </w:rPr>
        <w:tab/>
      </w:r>
      <w:r>
        <w:rPr>
          <w:noProof/>
        </w:rPr>
        <w:fldChar w:fldCharType="begin"/>
      </w:r>
      <w:r>
        <w:rPr>
          <w:noProof/>
        </w:rPr>
        <w:instrText xml:space="preserve"> PAGEREF _Toc5968808 \h </w:instrText>
      </w:r>
      <w:r>
        <w:rPr>
          <w:noProof/>
        </w:rPr>
      </w:r>
      <w:r>
        <w:rPr>
          <w:noProof/>
        </w:rPr>
        <w:fldChar w:fldCharType="separate"/>
      </w:r>
      <w:r w:rsidR="00C04B69">
        <w:rPr>
          <w:noProof/>
        </w:rPr>
        <w:t>2</w:t>
      </w:r>
      <w:r>
        <w:rPr>
          <w:noProof/>
        </w:rPr>
        <w:fldChar w:fldCharType="end"/>
      </w:r>
    </w:p>
    <w:p w14:paraId="2598A113" w14:textId="77777777" w:rsidR="008F55DA" w:rsidRDefault="008F55DA">
      <w:pPr>
        <w:pStyle w:val="Obsah4"/>
        <w:rPr>
          <w:rFonts w:asciiTheme="minorHAnsi" w:eastAsiaTheme="minorEastAsia" w:hAnsiTheme="minorHAnsi" w:cstheme="minorBidi"/>
          <w:b w:val="0"/>
          <w:i w:val="0"/>
          <w:noProof/>
          <w:sz w:val="22"/>
          <w:szCs w:val="22"/>
        </w:rPr>
      </w:pPr>
      <w:r>
        <w:rPr>
          <w:noProof/>
        </w:rPr>
        <w:t>A.I.1.2</w:t>
      </w:r>
      <w:r>
        <w:rPr>
          <w:rFonts w:asciiTheme="minorHAnsi" w:eastAsiaTheme="minorEastAsia" w:hAnsiTheme="minorHAnsi" w:cstheme="minorBidi"/>
          <w:b w:val="0"/>
          <w:i w:val="0"/>
          <w:noProof/>
          <w:sz w:val="22"/>
          <w:szCs w:val="22"/>
        </w:rPr>
        <w:tab/>
      </w:r>
      <w:r>
        <w:rPr>
          <w:noProof/>
        </w:rPr>
        <w:t>Závazné limity</w:t>
      </w:r>
      <w:r>
        <w:rPr>
          <w:noProof/>
        </w:rPr>
        <w:tab/>
      </w:r>
      <w:r>
        <w:rPr>
          <w:noProof/>
        </w:rPr>
        <w:fldChar w:fldCharType="begin"/>
      </w:r>
      <w:r>
        <w:rPr>
          <w:noProof/>
        </w:rPr>
        <w:instrText xml:space="preserve"> PAGEREF _Toc5968809 \h </w:instrText>
      </w:r>
      <w:r>
        <w:rPr>
          <w:noProof/>
        </w:rPr>
      </w:r>
      <w:r>
        <w:rPr>
          <w:noProof/>
        </w:rPr>
        <w:fldChar w:fldCharType="separate"/>
      </w:r>
      <w:r w:rsidR="00C04B69">
        <w:rPr>
          <w:noProof/>
        </w:rPr>
        <w:t>3</w:t>
      </w:r>
      <w:r>
        <w:rPr>
          <w:noProof/>
        </w:rPr>
        <w:fldChar w:fldCharType="end"/>
      </w:r>
    </w:p>
    <w:p w14:paraId="6B682DF1" w14:textId="77777777" w:rsidR="008F55DA" w:rsidRDefault="008F55DA">
      <w:pPr>
        <w:pStyle w:val="Obsah4"/>
        <w:rPr>
          <w:rFonts w:asciiTheme="minorHAnsi" w:eastAsiaTheme="minorEastAsia" w:hAnsiTheme="minorHAnsi" w:cstheme="minorBidi"/>
          <w:b w:val="0"/>
          <w:i w:val="0"/>
          <w:noProof/>
          <w:sz w:val="22"/>
          <w:szCs w:val="22"/>
        </w:rPr>
      </w:pPr>
      <w:r>
        <w:rPr>
          <w:noProof/>
        </w:rPr>
        <w:t>A.I.1.3</w:t>
      </w:r>
      <w:r>
        <w:rPr>
          <w:rFonts w:asciiTheme="minorHAnsi" w:eastAsiaTheme="minorEastAsia" w:hAnsiTheme="minorHAnsi" w:cstheme="minorBidi"/>
          <w:b w:val="0"/>
          <w:i w:val="0"/>
          <w:noProof/>
          <w:sz w:val="22"/>
          <w:szCs w:val="22"/>
        </w:rPr>
        <w:tab/>
      </w:r>
      <w:r>
        <w:rPr>
          <w:noProof/>
        </w:rPr>
        <w:t>Rozpočtové priority</w:t>
      </w:r>
      <w:r>
        <w:rPr>
          <w:noProof/>
        </w:rPr>
        <w:tab/>
      </w:r>
      <w:r>
        <w:rPr>
          <w:noProof/>
        </w:rPr>
        <w:fldChar w:fldCharType="begin"/>
      </w:r>
      <w:r>
        <w:rPr>
          <w:noProof/>
        </w:rPr>
        <w:instrText xml:space="preserve"> PAGEREF _Toc5968810 \h </w:instrText>
      </w:r>
      <w:r>
        <w:rPr>
          <w:noProof/>
        </w:rPr>
      </w:r>
      <w:r>
        <w:rPr>
          <w:noProof/>
        </w:rPr>
        <w:fldChar w:fldCharType="separate"/>
      </w:r>
      <w:r w:rsidR="00C04B69">
        <w:rPr>
          <w:noProof/>
        </w:rPr>
        <w:t>3</w:t>
      </w:r>
      <w:r>
        <w:rPr>
          <w:noProof/>
        </w:rPr>
        <w:fldChar w:fldCharType="end"/>
      </w:r>
    </w:p>
    <w:p w14:paraId="16B760CD" w14:textId="77777777" w:rsidR="008F55DA" w:rsidRDefault="008F55DA">
      <w:pPr>
        <w:pStyle w:val="Obsah3"/>
        <w:rPr>
          <w:rFonts w:asciiTheme="minorHAnsi" w:eastAsiaTheme="minorEastAsia" w:hAnsiTheme="minorHAnsi" w:cstheme="minorBidi"/>
          <w:b w:val="0"/>
          <w:noProof/>
          <w:sz w:val="22"/>
          <w:szCs w:val="22"/>
        </w:rPr>
      </w:pPr>
      <w:r>
        <w:rPr>
          <w:noProof/>
        </w:rPr>
        <w:t>A.I.2</w:t>
      </w:r>
      <w:r>
        <w:rPr>
          <w:rFonts w:asciiTheme="minorHAnsi" w:eastAsiaTheme="minorEastAsia" w:hAnsiTheme="minorHAnsi" w:cstheme="minorBidi"/>
          <w:b w:val="0"/>
          <w:noProof/>
          <w:sz w:val="22"/>
          <w:szCs w:val="22"/>
        </w:rPr>
        <w:tab/>
      </w:r>
      <w:r>
        <w:rPr>
          <w:noProof/>
        </w:rPr>
        <w:t>Rozklad stanoveného objemu výdajů</w:t>
      </w:r>
      <w:r>
        <w:rPr>
          <w:noProof/>
        </w:rPr>
        <w:tab/>
      </w:r>
      <w:r>
        <w:rPr>
          <w:noProof/>
        </w:rPr>
        <w:fldChar w:fldCharType="begin"/>
      </w:r>
      <w:r>
        <w:rPr>
          <w:noProof/>
        </w:rPr>
        <w:instrText xml:space="preserve"> PAGEREF _Toc5968811 \h </w:instrText>
      </w:r>
      <w:r>
        <w:rPr>
          <w:noProof/>
        </w:rPr>
      </w:r>
      <w:r>
        <w:rPr>
          <w:noProof/>
        </w:rPr>
        <w:fldChar w:fldCharType="separate"/>
      </w:r>
      <w:r w:rsidR="00C04B69">
        <w:rPr>
          <w:noProof/>
        </w:rPr>
        <w:t>4</w:t>
      </w:r>
      <w:r>
        <w:rPr>
          <w:noProof/>
        </w:rPr>
        <w:fldChar w:fldCharType="end"/>
      </w:r>
    </w:p>
    <w:p w14:paraId="140961D5" w14:textId="77777777" w:rsidR="008F55DA" w:rsidRDefault="008F55DA">
      <w:pPr>
        <w:pStyle w:val="Obsah3"/>
        <w:rPr>
          <w:rFonts w:asciiTheme="minorHAnsi" w:eastAsiaTheme="minorEastAsia" w:hAnsiTheme="minorHAnsi" w:cstheme="minorBidi"/>
          <w:b w:val="0"/>
          <w:noProof/>
          <w:sz w:val="22"/>
          <w:szCs w:val="22"/>
        </w:rPr>
      </w:pPr>
      <w:r>
        <w:rPr>
          <w:noProof/>
        </w:rPr>
        <w:t>A.I.3</w:t>
      </w:r>
      <w:r>
        <w:rPr>
          <w:rFonts w:asciiTheme="minorHAnsi" w:eastAsiaTheme="minorEastAsia" w:hAnsiTheme="minorHAnsi" w:cstheme="minorBidi"/>
          <w:b w:val="0"/>
          <w:noProof/>
          <w:sz w:val="22"/>
          <w:szCs w:val="22"/>
        </w:rPr>
        <w:tab/>
      </w:r>
      <w:r>
        <w:rPr>
          <w:noProof/>
        </w:rPr>
        <w:t>Změny, které vytvářejí srovnatelnou základnu pro rok 2019</w:t>
      </w:r>
      <w:r>
        <w:rPr>
          <w:noProof/>
        </w:rPr>
        <w:tab/>
      </w:r>
      <w:r>
        <w:rPr>
          <w:noProof/>
        </w:rPr>
        <w:fldChar w:fldCharType="begin"/>
      </w:r>
      <w:r>
        <w:rPr>
          <w:noProof/>
        </w:rPr>
        <w:instrText xml:space="preserve"> PAGEREF _Toc5968812 \h </w:instrText>
      </w:r>
      <w:r>
        <w:rPr>
          <w:noProof/>
        </w:rPr>
      </w:r>
      <w:r>
        <w:rPr>
          <w:noProof/>
        </w:rPr>
        <w:fldChar w:fldCharType="separate"/>
      </w:r>
      <w:r w:rsidR="00C04B69">
        <w:rPr>
          <w:noProof/>
        </w:rPr>
        <w:t>4</w:t>
      </w:r>
      <w:r>
        <w:rPr>
          <w:noProof/>
        </w:rPr>
        <w:fldChar w:fldCharType="end"/>
      </w:r>
    </w:p>
    <w:p w14:paraId="46FAD530" w14:textId="77777777" w:rsidR="008F55DA" w:rsidRDefault="008F55DA">
      <w:pPr>
        <w:pStyle w:val="Obsah4"/>
        <w:rPr>
          <w:rFonts w:asciiTheme="minorHAnsi" w:eastAsiaTheme="minorEastAsia" w:hAnsiTheme="minorHAnsi" w:cstheme="minorBidi"/>
          <w:b w:val="0"/>
          <w:i w:val="0"/>
          <w:noProof/>
          <w:sz w:val="22"/>
          <w:szCs w:val="22"/>
        </w:rPr>
      </w:pPr>
      <w:r>
        <w:rPr>
          <w:noProof/>
        </w:rPr>
        <w:t>A.I.3.1</w:t>
      </w:r>
      <w:r>
        <w:rPr>
          <w:rFonts w:asciiTheme="minorHAnsi" w:eastAsiaTheme="minorEastAsia" w:hAnsiTheme="minorHAnsi" w:cstheme="minorBidi"/>
          <w:b w:val="0"/>
          <w:i w:val="0"/>
          <w:noProof/>
          <w:sz w:val="22"/>
          <w:szCs w:val="22"/>
        </w:rPr>
        <w:tab/>
      </w:r>
      <w:r>
        <w:rPr>
          <w:noProof/>
        </w:rPr>
        <w:t>Změny, které vytvářejí srovnatelnou základnu pro rok 2019, od níž lze objektivně stanovit nárůst nebo snížení rozpočtu z roku na rok</w:t>
      </w:r>
      <w:r>
        <w:rPr>
          <w:noProof/>
        </w:rPr>
        <w:tab/>
      </w:r>
      <w:r>
        <w:rPr>
          <w:noProof/>
        </w:rPr>
        <w:fldChar w:fldCharType="begin"/>
      </w:r>
      <w:r>
        <w:rPr>
          <w:noProof/>
        </w:rPr>
        <w:instrText xml:space="preserve"> PAGEREF _Toc5968813 \h </w:instrText>
      </w:r>
      <w:r>
        <w:rPr>
          <w:noProof/>
        </w:rPr>
      </w:r>
      <w:r>
        <w:rPr>
          <w:noProof/>
        </w:rPr>
        <w:fldChar w:fldCharType="separate"/>
      </w:r>
      <w:r w:rsidR="00C04B69">
        <w:rPr>
          <w:noProof/>
        </w:rPr>
        <w:t>4</w:t>
      </w:r>
      <w:r>
        <w:rPr>
          <w:noProof/>
        </w:rPr>
        <w:fldChar w:fldCharType="end"/>
      </w:r>
    </w:p>
    <w:p w14:paraId="1FD15DBE" w14:textId="77777777" w:rsidR="008F55DA" w:rsidRDefault="008F55DA">
      <w:pPr>
        <w:pStyle w:val="Obsah4"/>
        <w:rPr>
          <w:rFonts w:asciiTheme="minorHAnsi" w:eastAsiaTheme="minorEastAsia" w:hAnsiTheme="minorHAnsi" w:cstheme="minorBidi"/>
          <w:b w:val="0"/>
          <w:i w:val="0"/>
          <w:noProof/>
          <w:sz w:val="22"/>
          <w:szCs w:val="22"/>
        </w:rPr>
      </w:pPr>
      <w:r>
        <w:rPr>
          <w:noProof/>
        </w:rPr>
        <w:t>A.I.3.2</w:t>
      </w:r>
      <w:r>
        <w:rPr>
          <w:rFonts w:asciiTheme="minorHAnsi" w:eastAsiaTheme="minorEastAsia" w:hAnsiTheme="minorHAnsi" w:cstheme="minorBidi"/>
          <w:b w:val="0"/>
          <w:i w:val="0"/>
          <w:noProof/>
          <w:sz w:val="22"/>
          <w:szCs w:val="22"/>
        </w:rPr>
        <w:tab/>
      </w:r>
      <w:r>
        <w:rPr>
          <w:noProof/>
        </w:rPr>
        <w:t xml:space="preserve">Vlivy, které navazují na srovnatelnou základnu rozpočtu výdajů kapitoly </w:t>
      </w:r>
      <w:r w:rsidRPr="00C62FFD">
        <w:rPr>
          <w:rFonts w:eastAsia="Calibri"/>
          <w:noProof/>
        </w:rPr>
        <w:t>MŠMT</w:t>
      </w:r>
      <w:r>
        <w:rPr>
          <w:noProof/>
        </w:rPr>
        <w:tab/>
      </w:r>
      <w:r>
        <w:rPr>
          <w:noProof/>
        </w:rPr>
        <w:fldChar w:fldCharType="begin"/>
      </w:r>
      <w:r>
        <w:rPr>
          <w:noProof/>
        </w:rPr>
        <w:instrText xml:space="preserve"> PAGEREF _Toc5968814 \h </w:instrText>
      </w:r>
      <w:r>
        <w:rPr>
          <w:noProof/>
        </w:rPr>
      </w:r>
      <w:r>
        <w:rPr>
          <w:noProof/>
        </w:rPr>
        <w:fldChar w:fldCharType="separate"/>
      </w:r>
      <w:r w:rsidR="00C04B69">
        <w:rPr>
          <w:noProof/>
        </w:rPr>
        <w:t>5</w:t>
      </w:r>
      <w:r>
        <w:rPr>
          <w:noProof/>
        </w:rPr>
        <w:fldChar w:fldCharType="end"/>
      </w:r>
    </w:p>
    <w:p w14:paraId="3E060A8E" w14:textId="77777777" w:rsidR="008F55DA" w:rsidRDefault="008F55DA">
      <w:pPr>
        <w:pStyle w:val="Obsah4"/>
        <w:rPr>
          <w:rFonts w:asciiTheme="minorHAnsi" w:eastAsiaTheme="minorEastAsia" w:hAnsiTheme="minorHAnsi" w:cstheme="minorBidi"/>
          <w:b w:val="0"/>
          <w:i w:val="0"/>
          <w:noProof/>
          <w:sz w:val="22"/>
          <w:szCs w:val="22"/>
        </w:rPr>
      </w:pPr>
      <w:r>
        <w:rPr>
          <w:noProof/>
        </w:rPr>
        <w:t>A.I.3.3</w:t>
      </w:r>
      <w:r>
        <w:rPr>
          <w:rFonts w:asciiTheme="minorHAnsi" w:eastAsiaTheme="minorEastAsia" w:hAnsiTheme="minorHAnsi" w:cstheme="minorBidi"/>
          <w:b w:val="0"/>
          <w:i w:val="0"/>
          <w:noProof/>
          <w:sz w:val="22"/>
          <w:szCs w:val="22"/>
        </w:rPr>
        <w:tab/>
      </w:r>
      <w:r>
        <w:rPr>
          <w:noProof/>
        </w:rPr>
        <w:t>Vliv souvztažného posílení příjmů a výdajů na spolufinancované programy EU a FM:</w:t>
      </w:r>
      <w:r>
        <w:rPr>
          <w:noProof/>
        </w:rPr>
        <w:tab/>
      </w:r>
      <w:r>
        <w:rPr>
          <w:noProof/>
        </w:rPr>
        <w:fldChar w:fldCharType="begin"/>
      </w:r>
      <w:r>
        <w:rPr>
          <w:noProof/>
        </w:rPr>
        <w:instrText xml:space="preserve"> PAGEREF _Toc5968815 \h </w:instrText>
      </w:r>
      <w:r>
        <w:rPr>
          <w:noProof/>
        </w:rPr>
      </w:r>
      <w:r>
        <w:rPr>
          <w:noProof/>
        </w:rPr>
        <w:fldChar w:fldCharType="separate"/>
      </w:r>
      <w:r w:rsidR="00C04B69">
        <w:rPr>
          <w:noProof/>
        </w:rPr>
        <w:t>7</w:t>
      </w:r>
      <w:r>
        <w:rPr>
          <w:noProof/>
        </w:rPr>
        <w:fldChar w:fldCharType="end"/>
      </w:r>
    </w:p>
    <w:p w14:paraId="08CFBCD6" w14:textId="77777777" w:rsidR="008F55DA" w:rsidRDefault="008F55DA">
      <w:pPr>
        <w:pStyle w:val="Obsah3"/>
        <w:rPr>
          <w:rFonts w:asciiTheme="minorHAnsi" w:eastAsiaTheme="minorEastAsia" w:hAnsiTheme="minorHAnsi" w:cstheme="minorBidi"/>
          <w:b w:val="0"/>
          <w:noProof/>
          <w:sz w:val="22"/>
          <w:szCs w:val="22"/>
        </w:rPr>
      </w:pPr>
      <w:r>
        <w:rPr>
          <w:noProof/>
        </w:rPr>
        <w:t>A.I.4</w:t>
      </w:r>
      <w:r>
        <w:rPr>
          <w:rFonts w:asciiTheme="minorHAnsi" w:eastAsiaTheme="minorEastAsia" w:hAnsiTheme="minorHAnsi" w:cstheme="minorBidi"/>
          <w:b w:val="0"/>
          <w:noProof/>
          <w:sz w:val="22"/>
          <w:szCs w:val="22"/>
        </w:rPr>
        <w:tab/>
      </w:r>
      <w:r>
        <w:rPr>
          <w:noProof/>
        </w:rPr>
        <w:t>Rozpočet výdajů v členění na kapitálové a běžné</w:t>
      </w:r>
      <w:r>
        <w:rPr>
          <w:noProof/>
        </w:rPr>
        <w:tab/>
      </w:r>
      <w:r>
        <w:rPr>
          <w:noProof/>
        </w:rPr>
        <w:fldChar w:fldCharType="begin"/>
      </w:r>
      <w:r>
        <w:rPr>
          <w:noProof/>
        </w:rPr>
        <w:instrText xml:space="preserve"> PAGEREF _Toc5968816 \h </w:instrText>
      </w:r>
      <w:r>
        <w:rPr>
          <w:noProof/>
        </w:rPr>
      </w:r>
      <w:r>
        <w:rPr>
          <w:noProof/>
        </w:rPr>
        <w:fldChar w:fldCharType="separate"/>
      </w:r>
      <w:r w:rsidR="00C04B69">
        <w:rPr>
          <w:noProof/>
        </w:rPr>
        <w:t>7</w:t>
      </w:r>
      <w:r>
        <w:rPr>
          <w:noProof/>
        </w:rPr>
        <w:fldChar w:fldCharType="end"/>
      </w:r>
    </w:p>
    <w:p w14:paraId="248C09A7" w14:textId="77777777" w:rsidR="008F55DA" w:rsidRDefault="008F55DA">
      <w:pPr>
        <w:pStyle w:val="Obsah3"/>
        <w:rPr>
          <w:rFonts w:asciiTheme="minorHAnsi" w:eastAsiaTheme="minorEastAsia" w:hAnsiTheme="minorHAnsi" w:cstheme="minorBidi"/>
          <w:b w:val="0"/>
          <w:noProof/>
          <w:sz w:val="22"/>
          <w:szCs w:val="22"/>
        </w:rPr>
      </w:pPr>
      <w:r>
        <w:rPr>
          <w:noProof/>
        </w:rPr>
        <w:t>A.I.5</w:t>
      </w:r>
      <w:r>
        <w:rPr>
          <w:rFonts w:asciiTheme="minorHAnsi" w:eastAsiaTheme="minorEastAsia" w:hAnsiTheme="minorHAnsi" w:cstheme="minorBidi"/>
          <w:b w:val="0"/>
          <w:noProof/>
          <w:sz w:val="22"/>
          <w:szCs w:val="22"/>
        </w:rPr>
        <w:tab/>
      </w:r>
      <w:r>
        <w:rPr>
          <w:noProof/>
        </w:rPr>
        <w:t>Rozpracování výdajových limitů na rok 2019 do jednotlivých závazných ukazatelů</w:t>
      </w:r>
      <w:r>
        <w:rPr>
          <w:noProof/>
        </w:rPr>
        <w:tab/>
      </w:r>
      <w:r>
        <w:rPr>
          <w:noProof/>
        </w:rPr>
        <w:fldChar w:fldCharType="begin"/>
      </w:r>
      <w:r>
        <w:rPr>
          <w:noProof/>
        </w:rPr>
        <w:instrText xml:space="preserve"> PAGEREF _Toc5968817 \h </w:instrText>
      </w:r>
      <w:r>
        <w:rPr>
          <w:noProof/>
        </w:rPr>
      </w:r>
      <w:r>
        <w:rPr>
          <w:noProof/>
        </w:rPr>
        <w:fldChar w:fldCharType="separate"/>
      </w:r>
      <w:r w:rsidR="00C04B69">
        <w:rPr>
          <w:noProof/>
        </w:rPr>
        <w:t>8</w:t>
      </w:r>
      <w:r>
        <w:rPr>
          <w:noProof/>
        </w:rPr>
        <w:fldChar w:fldCharType="end"/>
      </w:r>
    </w:p>
    <w:p w14:paraId="2B5B1014" w14:textId="77777777" w:rsidR="008F55DA" w:rsidRDefault="008F55DA">
      <w:pPr>
        <w:pStyle w:val="Obsah3"/>
        <w:rPr>
          <w:rFonts w:asciiTheme="minorHAnsi" w:eastAsiaTheme="minorEastAsia" w:hAnsiTheme="minorHAnsi" w:cstheme="minorBidi"/>
          <w:b w:val="0"/>
          <w:noProof/>
          <w:sz w:val="22"/>
          <w:szCs w:val="22"/>
        </w:rPr>
      </w:pPr>
      <w:r>
        <w:rPr>
          <w:noProof/>
        </w:rPr>
        <w:t>A.I.6</w:t>
      </w:r>
      <w:r>
        <w:rPr>
          <w:rFonts w:asciiTheme="minorHAnsi" w:eastAsiaTheme="minorEastAsia" w:hAnsiTheme="minorHAnsi" w:cstheme="minorBidi"/>
          <w:b w:val="0"/>
          <w:noProof/>
          <w:sz w:val="22"/>
          <w:szCs w:val="22"/>
        </w:rPr>
        <w:tab/>
      </w:r>
      <w:r>
        <w:rPr>
          <w:noProof/>
        </w:rPr>
        <w:t>Příjmy kapitoly</w:t>
      </w:r>
      <w:r>
        <w:rPr>
          <w:noProof/>
        </w:rPr>
        <w:tab/>
      </w:r>
      <w:r>
        <w:rPr>
          <w:noProof/>
        </w:rPr>
        <w:fldChar w:fldCharType="begin"/>
      </w:r>
      <w:r>
        <w:rPr>
          <w:noProof/>
        </w:rPr>
        <w:instrText xml:space="preserve"> PAGEREF _Toc5968818 \h </w:instrText>
      </w:r>
      <w:r>
        <w:rPr>
          <w:noProof/>
        </w:rPr>
      </w:r>
      <w:r>
        <w:rPr>
          <w:noProof/>
        </w:rPr>
        <w:fldChar w:fldCharType="separate"/>
      </w:r>
      <w:r w:rsidR="00C04B69">
        <w:rPr>
          <w:noProof/>
        </w:rPr>
        <w:t>9</w:t>
      </w:r>
      <w:r>
        <w:rPr>
          <w:noProof/>
        </w:rPr>
        <w:fldChar w:fldCharType="end"/>
      </w:r>
    </w:p>
    <w:p w14:paraId="5F84A2E2" w14:textId="77777777" w:rsidR="008F55DA" w:rsidRDefault="008F55DA">
      <w:pPr>
        <w:pStyle w:val="Obsah1"/>
        <w:rPr>
          <w:rFonts w:asciiTheme="minorHAnsi" w:eastAsiaTheme="minorEastAsia" w:hAnsiTheme="minorHAnsi" w:cstheme="minorBidi"/>
          <w:b w:val="0"/>
          <w:bCs w:val="0"/>
          <w:caps w:val="0"/>
          <w:noProof/>
          <w:sz w:val="22"/>
          <w:szCs w:val="22"/>
        </w:rPr>
      </w:pPr>
      <w:r>
        <w:rPr>
          <w:noProof/>
        </w:rPr>
        <w:t>B</w:t>
      </w:r>
      <w:r>
        <w:rPr>
          <w:rFonts w:asciiTheme="minorHAnsi" w:eastAsiaTheme="minorEastAsia" w:hAnsiTheme="minorHAnsi" w:cstheme="minorBidi"/>
          <w:b w:val="0"/>
          <w:bCs w:val="0"/>
          <w:caps w:val="0"/>
          <w:noProof/>
          <w:sz w:val="22"/>
          <w:szCs w:val="22"/>
        </w:rPr>
        <w:tab/>
      </w:r>
      <w:r>
        <w:rPr>
          <w:noProof/>
        </w:rPr>
        <w:t>Běžné a kapitálové výdaje vč. výdajů zahrnutých v programovém financování v členění podle závazných specifických ukazatelů MŠMT na rok 2019</w:t>
      </w:r>
      <w:r>
        <w:rPr>
          <w:noProof/>
        </w:rPr>
        <w:tab/>
      </w:r>
      <w:r>
        <w:rPr>
          <w:noProof/>
        </w:rPr>
        <w:fldChar w:fldCharType="begin"/>
      </w:r>
      <w:r>
        <w:rPr>
          <w:noProof/>
        </w:rPr>
        <w:instrText xml:space="preserve"> PAGEREF _Toc5968819 \h </w:instrText>
      </w:r>
      <w:r>
        <w:rPr>
          <w:noProof/>
        </w:rPr>
      </w:r>
      <w:r>
        <w:rPr>
          <w:noProof/>
        </w:rPr>
        <w:fldChar w:fldCharType="separate"/>
      </w:r>
      <w:r w:rsidR="00C04B69">
        <w:rPr>
          <w:noProof/>
        </w:rPr>
        <w:t>11</w:t>
      </w:r>
      <w:r>
        <w:rPr>
          <w:noProof/>
        </w:rPr>
        <w:fldChar w:fldCharType="end"/>
      </w:r>
    </w:p>
    <w:p w14:paraId="7E69AD36" w14:textId="77777777" w:rsidR="008F55DA" w:rsidRDefault="008F55DA">
      <w:pPr>
        <w:pStyle w:val="Obsah2"/>
        <w:rPr>
          <w:rFonts w:asciiTheme="minorHAnsi" w:eastAsiaTheme="minorEastAsia" w:hAnsiTheme="minorHAnsi" w:cstheme="minorBidi"/>
          <w:b w:val="0"/>
          <w:bCs w:val="0"/>
          <w:noProof/>
          <w:szCs w:val="22"/>
        </w:rPr>
      </w:pPr>
      <w:r>
        <w:rPr>
          <w:noProof/>
        </w:rPr>
        <w:t>B.I</w:t>
      </w:r>
      <w:r>
        <w:rPr>
          <w:rFonts w:asciiTheme="minorHAnsi" w:eastAsiaTheme="minorEastAsia" w:hAnsiTheme="minorHAnsi" w:cstheme="minorBidi"/>
          <w:b w:val="0"/>
          <w:bCs w:val="0"/>
          <w:noProof/>
          <w:szCs w:val="22"/>
        </w:rPr>
        <w:tab/>
      </w:r>
      <w:r>
        <w:rPr>
          <w:noProof/>
        </w:rPr>
        <w:t>Ukazatele regulace zaměstnanosti a zákonné odvody do fondů</w:t>
      </w:r>
      <w:r>
        <w:rPr>
          <w:noProof/>
        </w:rPr>
        <w:tab/>
      </w:r>
      <w:r>
        <w:rPr>
          <w:noProof/>
        </w:rPr>
        <w:fldChar w:fldCharType="begin"/>
      </w:r>
      <w:r>
        <w:rPr>
          <w:noProof/>
        </w:rPr>
        <w:instrText xml:space="preserve"> PAGEREF _Toc5968820 \h </w:instrText>
      </w:r>
      <w:r>
        <w:rPr>
          <w:noProof/>
        </w:rPr>
      </w:r>
      <w:r>
        <w:rPr>
          <w:noProof/>
        </w:rPr>
        <w:fldChar w:fldCharType="separate"/>
      </w:r>
      <w:r w:rsidR="00C04B69">
        <w:rPr>
          <w:noProof/>
        </w:rPr>
        <w:t>12</w:t>
      </w:r>
      <w:r>
        <w:rPr>
          <w:noProof/>
        </w:rPr>
        <w:fldChar w:fldCharType="end"/>
      </w:r>
    </w:p>
    <w:p w14:paraId="3726ED26" w14:textId="77777777" w:rsidR="008F55DA" w:rsidRDefault="008F55DA">
      <w:pPr>
        <w:pStyle w:val="Obsah3"/>
        <w:rPr>
          <w:rFonts w:asciiTheme="minorHAnsi" w:eastAsiaTheme="minorEastAsia" w:hAnsiTheme="minorHAnsi" w:cstheme="minorBidi"/>
          <w:b w:val="0"/>
          <w:noProof/>
          <w:sz w:val="22"/>
          <w:szCs w:val="22"/>
        </w:rPr>
      </w:pPr>
      <w:r>
        <w:rPr>
          <w:noProof/>
        </w:rPr>
        <w:t>B.I.1</w:t>
      </w:r>
      <w:r>
        <w:rPr>
          <w:rFonts w:asciiTheme="minorHAnsi" w:eastAsiaTheme="minorEastAsia" w:hAnsiTheme="minorHAnsi" w:cstheme="minorBidi"/>
          <w:b w:val="0"/>
          <w:noProof/>
          <w:sz w:val="22"/>
          <w:szCs w:val="22"/>
        </w:rPr>
        <w:tab/>
      </w:r>
      <w:r>
        <w:rPr>
          <w:noProof/>
        </w:rPr>
        <w:t>Limit počtu zaměstnanců</w:t>
      </w:r>
      <w:r>
        <w:rPr>
          <w:noProof/>
        </w:rPr>
        <w:tab/>
      </w:r>
      <w:r>
        <w:rPr>
          <w:noProof/>
        </w:rPr>
        <w:fldChar w:fldCharType="begin"/>
      </w:r>
      <w:r>
        <w:rPr>
          <w:noProof/>
        </w:rPr>
        <w:instrText xml:space="preserve"> PAGEREF _Toc5968821 \h </w:instrText>
      </w:r>
      <w:r>
        <w:rPr>
          <w:noProof/>
        </w:rPr>
      </w:r>
      <w:r>
        <w:rPr>
          <w:noProof/>
        </w:rPr>
        <w:fldChar w:fldCharType="separate"/>
      </w:r>
      <w:r w:rsidR="00C04B69">
        <w:rPr>
          <w:noProof/>
        </w:rPr>
        <w:t>13</w:t>
      </w:r>
      <w:r>
        <w:rPr>
          <w:noProof/>
        </w:rPr>
        <w:fldChar w:fldCharType="end"/>
      </w:r>
    </w:p>
    <w:p w14:paraId="6B64A072" w14:textId="77777777" w:rsidR="008F55DA" w:rsidRDefault="008F55DA">
      <w:pPr>
        <w:pStyle w:val="Obsah3"/>
        <w:rPr>
          <w:rFonts w:asciiTheme="minorHAnsi" w:eastAsiaTheme="minorEastAsia" w:hAnsiTheme="minorHAnsi" w:cstheme="minorBidi"/>
          <w:b w:val="0"/>
          <w:noProof/>
          <w:sz w:val="22"/>
          <w:szCs w:val="22"/>
        </w:rPr>
      </w:pPr>
      <w:r>
        <w:rPr>
          <w:noProof/>
        </w:rPr>
        <w:t>B.I.2</w:t>
      </w:r>
      <w:r>
        <w:rPr>
          <w:rFonts w:asciiTheme="minorHAnsi" w:eastAsiaTheme="minorEastAsia" w:hAnsiTheme="minorHAnsi" w:cstheme="minorBidi"/>
          <w:b w:val="0"/>
          <w:noProof/>
          <w:sz w:val="22"/>
          <w:szCs w:val="22"/>
        </w:rPr>
        <w:tab/>
      </w:r>
      <w:r>
        <w:rPr>
          <w:noProof/>
        </w:rPr>
        <w:t>Mzdové prostředky podle § 109 odst. 3 zákona č. 262/2006 Sb.</w:t>
      </w:r>
      <w:r>
        <w:rPr>
          <w:noProof/>
        </w:rPr>
        <w:tab/>
      </w:r>
      <w:r>
        <w:rPr>
          <w:noProof/>
        </w:rPr>
        <w:fldChar w:fldCharType="begin"/>
      </w:r>
      <w:r>
        <w:rPr>
          <w:noProof/>
        </w:rPr>
        <w:instrText xml:space="preserve"> PAGEREF _Toc5968822 \h </w:instrText>
      </w:r>
      <w:r>
        <w:rPr>
          <w:noProof/>
        </w:rPr>
      </w:r>
      <w:r>
        <w:rPr>
          <w:noProof/>
        </w:rPr>
        <w:fldChar w:fldCharType="separate"/>
      </w:r>
      <w:r w:rsidR="00C04B69">
        <w:rPr>
          <w:noProof/>
        </w:rPr>
        <w:t>14</w:t>
      </w:r>
      <w:r>
        <w:rPr>
          <w:noProof/>
        </w:rPr>
        <w:fldChar w:fldCharType="end"/>
      </w:r>
    </w:p>
    <w:p w14:paraId="0E6C26DC" w14:textId="77777777" w:rsidR="008F55DA" w:rsidRDefault="008F55DA">
      <w:pPr>
        <w:pStyle w:val="Obsah3"/>
        <w:rPr>
          <w:rFonts w:asciiTheme="minorHAnsi" w:eastAsiaTheme="minorEastAsia" w:hAnsiTheme="minorHAnsi" w:cstheme="minorBidi"/>
          <w:b w:val="0"/>
          <w:noProof/>
          <w:sz w:val="22"/>
          <w:szCs w:val="22"/>
        </w:rPr>
      </w:pPr>
      <w:r>
        <w:rPr>
          <w:noProof/>
        </w:rPr>
        <w:t>B.I.3</w:t>
      </w:r>
      <w:r>
        <w:rPr>
          <w:rFonts w:asciiTheme="minorHAnsi" w:eastAsiaTheme="minorEastAsia" w:hAnsiTheme="minorHAnsi" w:cstheme="minorBidi"/>
          <w:b w:val="0"/>
          <w:noProof/>
          <w:sz w:val="22"/>
          <w:szCs w:val="22"/>
        </w:rPr>
        <w:tab/>
      </w:r>
      <w:r>
        <w:rPr>
          <w:noProof/>
        </w:rPr>
        <w:t>Průměrný měsíční plat</w:t>
      </w:r>
      <w:r>
        <w:rPr>
          <w:noProof/>
        </w:rPr>
        <w:tab/>
      </w:r>
      <w:r>
        <w:rPr>
          <w:noProof/>
        </w:rPr>
        <w:fldChar w:fldCharType="begin"/>
      </w:r>
      <w:r>
        <w:rPr>
          <w:noProof/>
        </w:rPr>
        <w:instrText xml:space="preserve"> PAGEREF _Toc5968823 \h </w:instrText>
      </w:r>
      <w:r>
        <w:rPr>
          <w:noProof/>
        </w:rPr>
      </w:r>
      <w:r>
        <w:rPr>
          <w:noProof/>
        </w:rPr>
        <w:fldChar w:fldCharType="separate"/>
      </w:r>
      <w:r w:rsidR="00C04B69">
        <w:rPr>
          <w:noProof/>
        </w:rPr>
        <w:t>14</w:t>
      </w:r>
      <w:r>
        <w:rPr>
          <w:noProof/>
        </w:rPr>
        <w:fldChar w:fldCharType="end"/>
      </w:r>
    </w:p>
    <w:p w14:paraId="661B79B2" w14:textId="77777777" w:rsidR="008F55DA" w:rsidRDefault="008F55DA">
      <w:pPr>
        <w:pStyle w:val="Obsah3"/>
        <w:rPr>
          <w:rFonts w:asciiTheme="minorHAnsi" w:eastAsiaTheme="minorEastAsia" w:hAnsiTheme="minorHAnsi" w:cstheme="minorBidi"/>
          <w:b w:val="0"/>
          <w:noProof/>
          <w:sz w:val="22"/>
          <w:szCs w:val="22"/>
        </w:rPr>
      </w:pPr>
      <w:r>
        <w:rPr>
          <w:noProof/>
        </w:rPr>
        <w:t>B.I.4</w:t>
      </w:r>
      <w:r>
        <w:rPr>
          <w:rFonts w:asciiTheme="minorHAnsi" w:eastAsiaTheme="minorEastAsia" w:hAnsiTheme="minorHAnsi" w:cstheme="minorBidi"/>
          <w:b w:val="0"/>
          <w:noProof/>
          <w:sz w:val="22"/>
          <w:szCs w:val="22"/>
        </w:rPr>
        <w:tab/>
      </w:r>
      <w:r>
        <w:rPr>
          <w:noProof/>
        </w:rPr>
        <w:t>Zákonné odvody do fondů</w:t>
      </w:r>
      <w:r>
        <w:rPr>
          <w:noProof/>
        </w:rPr>
        <w:tab/>
      </w:r>
      <w:r>
        <w:rPr>
          <w:noProof/>
        </w:rPr>
        <w:fldChar w:fldCharType="begin"/>
      </w:r>
      <w:r>
        <w:rPr>
          <w:noProof/>
        </w:rPr>
        <w:instrText xml:space="preserve"> PAGEREF _Toc5968824 \h </w:instrText>
      </w:r>
      <w:r>
        <w:rPr>
          <w:noProof/>
        </w:rPr>
      </w:r>
      <w:r>
        <w:rPr>
          <w:noProof/>
        </w:rPr>
        <w:fldChar w:fldCharType="separate"/>
      </w:r>
      <w:r w:rsidR="00C04B69">
        <w:rPr>
          <w:noProof/>
        </w:rPr>
        <w:t>15</w:t>
      </w:r>
      <w:r>
        <w:rPr>
          <w:noProof/>
        </w:rPr>
        <w:fldChar w:fldCharType="end"/>
      </w:r>
    </w:p>
    <w:p w14:paraId="47188F36" w14:textId="77777777" w:rsidR="008F55DA" w:rsidRDefault="008F55DA">
      <w:pPr>
        <w:pStyle w:val="Obsah2"/>
        <w:rPr>
          <w:rFonts w:asciiTheme="minorHAnsi" w:eastAsiaTheme="minorEastAsia" w:hAnsiTheme="minorHAnsi" w:cstheme="minorBidi"/>
          <w:b w:val="0"/>
          <w:bCs w:val="0"/>
          <w:noProof/>
          <w:szCs w:val="22"/>
        </w:rPr>
      </w:pPr>
      <w:r>
        <w:rPr>
          <w:noProof/>
        </w:rPr>
        <w:t>B.II</w:t>
      </w:r>
      <w:r>
        <w:rPr>
          <w:rFonts w:asciiTheme="minorHAnsi" w:eastAsiaTheme="minorEastAsia" w:hAnsiTheme="minorHAnsi" w:cstheme="minorBidi"/>
          <w:b w:val="0"/>
          <w:bCs w:val="0"/>
          <w:noProof/>
          <w:szCs w:val="22"/>
        </w:rPr>
        <w:tab/>
      </w:r>
      <w:r>
        <w:rPr>
          <w:noProof/>
        </w:rPr>
        <w:t>Ostatní běžné výdaje</w:t>
      </w:r>
      <w:r>
        <w:rPr>
          <w:noProof/>
        </w:rPr>
        <w:tab/>
      </w:r>
      <w:r>
        <w:rPr>
          <w:noProof/>
        </w:rPr>
        <w:fldChar w:fldCharType="begin"/>
      </w:r>
      <w:r>
        <w:rPr>
          <w:noProof/>
        </w:rPr>
        <w:instrText xml:space="preserve"> PAGEREF _Toc5968825 \h </w:instrText>
      </w:r>
      <w:r>
        <w:rPr>
          <w:noProof/>
        </w:rPr>
      </w:r>
      <w:r>
        <w:rPr>
          <w:noProof/>
        </w:rPr>
        <w:fldChar w:fldCharType="separate"/>
      </w:r>
      <w:r w:rsidR="00C04B69">
        <w:rPr>
          <w:noProof/>
        </w:rPr>
        <w:t>15</w:t>
      </w:r>
      <w:r>
        <w:rPr>
          <w:noProof/>
        </w:rPr>
        <w:fldChar w:fldCharType="end"/>
      </w:r>
    </w:p>
    <w:p w14:paraId="143AD387" w14:textId="77777777" w:rsidR="008F55DA" w:rsidRDefault="008F55DA">
      <w:pPr>
        <w:pStyle w:val="Obsah1"/>
        <w:rPr>
          <w:rFonts w:asciiTheme="minorHAnsi" w:eastAsiaTheme="minorEastAsia" w:hAnsiTheme="minorHAnsi" w:cstheme="minorBidi"/>
          <w:b w:val="0"/>
          <w:bCs w:val="0"/>
          <w:caps w:val="0"/>
          <w:noProof/>
          <w:sz w:val="22"/>
          <w:szCs w:val="22"/>
        </w:rPr>
      </w:pPr>
      <w:r>
        <w:rPr>
          <w:noProof/>
        </w:rPr>
        <w:t>C</w:t>
      </w:r>
      <w:r>
        <w:rPr>
          <w:rFonts w:asciiTheme="minorHAnsi" w:eastAsiaTheme="minorEastAsia" w:hAnsiTheme="minorHAnsi" w:cstheme="minorBidi"/>
          <w:b w:val="0"/>
          <w:bCs w:val="0"/>
          <w:caps w:val="0"/>
          <w:noProof/>
          <w:sz w:val="22"/>
          <w:szCs w:val="22"/>
        </w:rPr>
        <w:tab/>
      </w:r>
      <w:r>
        <w:rPr>
          <w:noProof/>
        </w:rPr>
        <w:t>Běžné a kapitálové výdaje podle jednotlivých výdajových bloků</w:t>
      </w:r>
      <w:r>
        <w:rPr>
          <w:noProof/>
        </w:rPr>
        <w:tab/>
      </w:r>
      <w:r>
        <w:rPr>
          <w:noProof/>
        </w:rPr>
        <w:fldChar w:fldCharType="begin"/>
      </w:r>
      <w:r>
        <w:rPr>
          <w:noProof/>
        </w:rPr>
        <w:instrText xml:space="preserve"> PAGEREF _Toc5968826 \h </w:instrText>
      </w:r>
      <w:r>
        <w:rPr>
          <w:noProof/>
        </w:rPr>
      </w:r>
      <w:r>
        <w:rPr>
          <w:noProof/>
        </w:rPr>
        <w:fldChar w:fldCharType="separate"/>
      </w:r>
      <w:r w:rsidR="00C04B69">
        <w:rPr>
          <w:noProof/>
        </w:rPr>
        <w:t>17</w:t>
      </w:r>
      <w:r>
        <w:rPr>
          <w:noProof/>
        </w:rPr>
        <w:fldChar w:fldCharType="end"/>
      </w:r>
    </w:p>
    <w:p w14:paraId="2FD18B68" w14:textId="77777777" w:rsidR="008F55DA" w:rsidRDefault="008F55DA">
      <w:pPr>
        <w:pStyle w:val="Obsah2"/>
        <w:rPr>
          <w:rFonts w:asciiTheme="minorHAnsi" w:eastAsiaTheme="minorEastAsia" w:hAnsiTheme="minorHAnsi" w:cstheme="minorBidi"/>
          <w:b w:val="0"/>
          <w:bCs w:val="0"/>
          <w:noProof/>
          <w:szCs w:val="22"/>
        </w:rPr>
      </w:pPr>
      <w:r>
        <w:rPr>
          <w:noProof/>
        </w:rPr>
        <w:t>C.I</w:t>
      </w:r>
      <w:r>
        <w:rPr>
          <w:rFonts w:asciiTheme="minorHAnsi" w:eastAsiaTheme="minorEastAsia" w:hAnsiTheme="minorHAnsi" w:cstheme="minorBidi"/>
          <w:b w:val="0"/>
          <w:bCs w:val="0"/>
          <w:noProof/>
          <w:szCs w:val="22"/>
        </w:rPr>
        <w:tab/>
      </w:r>
      <w:r>
        <w:rPr>
          <w:noProof/>
        </w:rPr>
        <w:t>Věda a vysoké školy</w:t>
      </w:r>
      <w:r>
        <w:rPr>
          <w:noProof/>
        </w:rPr>
        <w:tab/>
      </w:r>
      <w:r>
        <w:rPr>
          <w:noProof/>
        </w:rPr>
        <w:fldChar w:fldCharType="begin"/>
      </w:r>
      <w:r>
        <w:rPr>
          <w:noProof/>
        </w:rPr>
        <w:instrText xml:space="preserve"> PAGEREF _Toc5968827 \h </w:instrText>
      </w:r>
      <w:r>
        <w:rPr>
          <w:noProof/>
        </w:rPr>
      </w:r>
      <w:r>
        <w:rPr>
          <w:noProof/>
        </w:rPr>
        <w:fldChar w:fldCharType="separate"/>
      </w:r>
      <w:r w:rsidR="00C04B69">
        <w:rPr>
          <w:noProof/>
        </w:rPr>
        <w:t>17</w:t>
      </w:r>
      <w:r>
        <w:rPr>
          <w:noProof/>
        </w:rPr>
        <w:fldChar w:fldCharType="end"/>
      </w:r>
    </w:p>
    <w:p w14:paraId="14DDD273" w14:textId="77777777" w:rsidR="008F55DA" w:rsidRDefault="008F55DA">
      <w:pPr>
        <w:pStyle w:val="Obsah3"/>
        <w:rPr>
          <w:rFonts w:asciiTheme="minorHAnsi" w:eastAsiaTheme="minorEastAsia" w:hAnsiTheme="minorHAnsi" w:cstheme="minorBidi"/>
          <w:b w:val="0"/>
          <w:noProof/>
          <w:sz w:val="22"/>
          <w:szCs w:val="22"/>
        </w:rPr>
      </w:pPr>
      <w:r>
        <w:rPr>
          <w:noProof/>
        </w:rPr>
        <w:t>C.I.1</w:t>
      </w:r>
      <w:r>
        <w:rPr>
          <w:rFonts w:asciiTheme="minorHAnsi" w:eastAsiaTheme="minorEastAsia" w:hAnsiTheme="minorHAnsi" w:cstheme="minorBidi"/>
          <w:b w:val="0"/>
          <w:noProof/>
          <w:sz w:val="22"/>
          <w:szCs w:val="22"/>
        </w:rPr>
        <w:tab/>
      </w:r>
      <w:r>
        <w:rPr>
          <w:noProof/>
        </w:rPr>
        <w:t>Vysoké školy</w:t>
      </w:r>
      <w:r>
        <w:rPr>
          <w:noProof/>
        </w:rPr>
        <w:tab/>
      </w:r>
      <w:r>
        <w:rPr>
          <w:noProof/>
        </w:rPr>
        <w:fldChar w:fldCharType="begin"/>
      </w:r>
      <w:r>
        <w:rPr>
          <w:noProof/>
        </w:rPr>
        <w:instrText xml:space="preserve"> PAGEREF _Toc5968828 \h </w:instrText>
      </w:r>
      <w:r>
        <w:rPr>
          <w:noProof/>
        </w:rPr>
      </w:r>
      <w:r>
        <w:rPr>
          <w:noProof/>
        </w:rPr>
        <w:fldChar w:fldCharType="separate"/>
      </w:r>
      <w:r w:rsidR="00C04B69">
        <w:rPr>
          <w:noProof/>
        </w:rPr>
        <w:t>17</w:t>
      </w:r>
      <w:r>
        <w:rPr>
          <w:noProof/>
        </w:rPr>
        <w:fldChar w:fldCharType="end"/>
      </w:r>
    </w:p>
    <w:p w14:paraId="1CDF4C10" w14:textId="77777777" w:rsidR="008F55DA" w:rsidRDefault="008F55DA">
      <w:pPr>
        <w:pStyle w:val="Obsah4"/>
        <w:rPr>
          <w:rFonts w:asciiTheme="minorHAnsi" w:eastAsiaTheme="minorEastAsia" w:hAnsiTheme="minorHAnsi" w:cstheme="minorBidi"/>
          <w:b w:val="0"/>
          <w:i w:val="0"/>
          <w:noProof/>
          <w:sz w:val="22"/>
          <w:szCs w:val="22"/>
        </w:rPr>
      </w:pPr>
      <w:r>
        <w:rPr>
          <w:noProof/>
        </w:rPr>
        <w:t>C.I.1.1</w:t>
      </w:r>
      <w:r>
        <w:rPr>
          <w:rFonts w:asciiTheme="minorHAnsi" w:eastAsiaTheme="minorEastAsia" w:hAnsiTheme="minorHAnsi" w:cstheme="minorBidi"/>
          <w:b w:val="0"/>
          <w:i w:val="0"/>
          <w:noProof/>
          <w:sz w:val="22"/>
          <w:szCs w:val="22"/>
        </w:rPr>
        <w:tab/>
      </w:r>
      <w:r>
        <w:rPr>
          <w:noProof/>
        </w:rPr>
        <w:t>Obecná pravidla rozpisu rozpočtu vysokých škol</w:t>
      </w:r>
      <w:r>
        <w:rPr>
          <w:noProof/>
        </w:rPr>
        <w:tab/>
      </w:r>
      <w:r>
        <w:rPr>
          <w:noProof/>
        </w:rPr>
        <w:fldChar w:fldCharType="begin"/>
      </w:r>
      <w:r>
        <w:rPr>
          <w:noProof/>
        </w:rPr>
        <w:instrText xml:space="preserve"> PAGEREF _Toc5968829 \h </w:instrText>
      </w:r>
      <w:r>
        <w:rPr>
          <w:noProof/>
        </w:rPr>
      </w:r>
      <w:r>
        <w:rPr>
          <w:noProof/>
        </w:rPr>
        <w:fldChar w:fldCharType="separate"/>
      </w:r>
      <w:r w:rsidR="00C04B69">
        <w:rPr>
          <w:noProof/>
        </w:rPr>
        <w:t>17</w:t>
      </w:r>
      <w:r>
        <w:rPr>
          <w:noProof/>
        </w:rPr>
        <w:fldChar w:fldCharType="end"/>
      </w:r>
    </w:p>
    <w:p w14:paraId="3D75C3D3" w14:textId="77777777" w:rsidR="008F55DA" w:rsidRDefault="008F55DA">
      <w:pPr>
        <w:pStyle w:val="Obsah4"/>
        <w:rPr>
          <w:rFonts w:asciiTheme="minorHAnsi" w:eastAsiaTheme="minorEastAsia" w:hAnsiTheme="minorHAnsi" w:cstheme="minorBidi"/>
          <w:b w:val="0"/>
          <w:i w:val="0"/>
          <w:noProof/>
          <w:sz w:val="22"/>
          <w:szCs w:val="22"/>
        </w:rPr>
      </w:pPr>
      <w:r>
        <w:rPr>
          <w:noProof/>
        </w:rPr>
        <w:t>C.I.1.2</w:t>
      </w:r>
      <w:r>
        <w:rPr>
          <w:rFonts w:asciiTheme="minorHAnsi" w:eastAsiaTheme="minorEastAsia" w:hAnsiTheme="minorHAnsi" w:cstheme="minorBidi"/>
          <w:b w:val="0"/>
          <w:i w:val="0"/>
          <w:noProof/>
          <w:sz w:val="22"/>
          <w:szCs w:val="22"/>
        </w:rPr>
        <w:tab/>
      </w:r>
      <w:r>
        <w:rPr>
          <w:noProof/>
        </w:rPr>
        <w:t>Pravidla stanovení výše příspěvku a dotací</w:t>
      </w:r>
      <w:r>
        <w:rPr>
          <w:noProof/>
        </w:rPr>
        <w:tab/>
      </w:r>
      <w:r>
        <w:rPr>
          <w:noProof/>
        </w:rPr>
        <w:fldChar w:fldCharType="begin"/>
      </w:r>
      <w:r>
        <w:rPr>
          <w:noProof/>
        </w:rPr>
        <w:instrText xml:space="preserve"> PAGEREF _Toc5968830 \h </w:instrText>
      </w:r>
      <w:r>
        <w:rPr>
          <w:noProof/>
        </w:rPr>
      </w:r>
      <w:r>
        <w:rPr>
          <w:noProof/>
        </w:rPr>
        <w:fldChar w:fldCharType="separate"/>
      </w:r>
      <w:r w:rsidR="00C04B69">
        <w:rPr>
          <w:noProof/>
        </w:rPr>
        <w:t>18</w:t>
      </w:r>
      <w:r>
        <w:rPr>
          <w:noProof/>
        </w:rPr>
        <w:fldChar w:fldCharType="end"/>
      </w:r>
    </w:p>
    <w:p w14:paraId="69E65077" w14:textId="77777777" w:rsidR="008F55DA" w:rsidRDefault="008F55DA">
      <w:pPr>
        <w:pStyle w:val="Obsah4"/>
        <w:rPr>
          <w:rFonts w:asciiTheme="minorHAnsi" w:eastAsiaTheme="minorEastAsia" w:hAnsiTheme="minorHAnsi" w:cstheme="minorBidi"/>
          <w:b w:val="0"/>
          <w:i w:val="0"/>
          <w:noProof/>
          <w:sz w:val="22"/>
          <w:szCs w:val="22"/>
        </w:rPr>
      </w:pPr>
      <w:r>
        <w:rPr>
          <w:noProof/>
        </w:rPr>
        <w:t>C.I.1.3</w:t>
      </w:r>
      <w:r>
        <w:rPr>
          <w:rFonts w:asciiTheme="minorHAnsi" w:eastAsiaTheme="minorEastAsia" w:hAnsiTheme="minorHAnsi" w:cstheme="minorBidi"/>
          <w:b w:val="0"/>
          <w:i w:val="0"/>
          <w:noProof/>
          <w:sz w:val="22"/>
          <w:szCs w:val="22"/>
        </w:rPr>
        <w:tab/>
      </w:r>
      <w:r>
        <w:rPr>
          <w:noProof/>
        </w:rPr>
        <w:t>Charakteristika výdajů</w:t>
      </w:r>
      <w:r>
        <w:rPr>
          <w:noProof/>
        </w:rPr>
        <w:tab/>
      </w:r>
      <w:r>
        <w:rPr>
          <w:noProof/>
        </w:rPr>
        <w:fldChar w:fldCharType="begin"/>
      </w:r>
      <w:r>
        <w:rPr>
          <w:noProof/>
        </w:rPr>
        <w:instrText xml:space="preserve"> PAGEREF _Toc5968831 \h </w:instrText>
      </w:r>
      <w:r>
        <w:rPr>
          <w:noProof/>
        </w:rPr>
      </w:r>
      <w:r>
        <w:rPr>
          <w:noProof/>
        </w:rPr>
        <w:fldChar w:fldCharType="separate"/>
      </w:r>
      <w:r w:rsidR="00C04B69">
        <w:rPr>
          <w:noProof/>
        </w:rPr>
        <w:t>20</w:t>
      </w:r>
      <w:r>
        <w:rPr>
          <w:noProof/>
        </w:rPr>
        <w:fldChar w:fldCharType="end"/>
      </w:r>
    </w:p>
    <w:p w14:paraId="43A9C4C4" w14:textId="77777777" w:rsidR="008F55DA" w:rsidRDefault="008F55DA">
      <w:pPr>
        <w:pStyle w:val="Obsah4"/>
        <w:rPr>
          <w:rFonts w:asciiTheme="minorHAnsi" w:eastAsiaTheme="minorEastAsia" w:hAnsiTheme="minorHAnsi" w:cstheme="minorBidi"/>
          <w:b w:val="0"/>
          <w:i w:val="0"/>
          <w:noProof/>
          <w:sz w:val="22"/>
          <w:szCs w:val="22"/>
        </w:rPr>
      </w:pPr>
      <w:r>
        <w:rPr>
          <w:noProof/>
        </w:rPr>
        <w:t>C.I.1.4</w:t>
      </w:r>
      <w:r>
        <w:rPr>
          <w:rFonts w:asciiTheme="minorHAnsi" w:eastAsiaTheme="minorEastAsia" w:hAnsiTheme="minorHAnsi" w:cstheme="minorBidi"/>
          <w:b w:val="0"/>
          <w:i w:val="0"/>
          <w:noProof/>
          <w:sz w:val="22"/>
          <w:szCs w:val="22"/>
        </w:rPr>
        <w:tab/>
      </w:r>
      <w:r>
        <w:rPr>
          <w:noProof/>
        </w:rPr>
        <w:t>Rozpis rozpočtu vysokých škol na rok 2019 ve srovnání s rokem 2018</w:t>
      </w:r>
      <w:r>
        <w:rPr>
          <w:noProof/>
        </w:rPr>
        <w:tab/>
      </w:r>
      <w:r>
        <w:rPr>
          <w:noProof/>
        </w:rPr>
        <w:fldChar w:fldCharType="begin"/>
      </w:r>
      <w:r>
        <w:rPr>
          <w:noProof/>
        </w:rPr>
        <w:instrText xml:space="preserve"> PAGEREF _Toc5968832 \h </w:instrText>
      </w:r>
      <w:r>
        <w:rPr>
          <w:noProof/>
        </w:rPr>
      </w:r>
      <w:r>
        <w:rPr>
          <w:noProof/>
        </w:rPr>
        <w:fldChar w:fldCharType="separate"/>
      </w:r>
      <w:r w:rsidR="00C04B69">
        <w:rPr>
          <w:noProof/>
        </w:rPr>
        <w:t>20</w:t>
      </w:r>
      <w:r>
        <w:rPr>
          <w:noProof/>
        </w:rPr>
        <w:fldChar w:fldCharType="end"/>
      </w:r>
    </w:p>
    <w:p w14:paraId="62EE5D61" w14:textId="77777777" w:rsidR="008F55DA" w:rsidRDefault="008F55DA">
      <w:pPr>
        <w:pStyle w:val="Obsah4"/>
        <w:rPr>
          <w:rFonts w:asciiTheme="minorHAnsi" w:eastAsiaTheme="minorEastAsia" w:hAnsiTheme="minorHAnsi" w:cstheme="minorBidi"/>
          <w:b w:val="0"/>
          <w:i w:val="0"/>
          <w:noProof/>
          <w:sz w:val="22"/>
          <w:szCs w:val="22"/>
        </w:rPr>
      </w:pPr>
      <w:r>
        <w:rPr>
          <w:noProof/>
        </w:rPr>
        <w:t>C.I.1.5</w:t>
      </w:r>
      <w:r>
        <w:rPr>
          <w:rFonts w:asciiTheme="minorHAnsi" w:eastAsiaTheme="minorEastAsia" w:hAnsiTheme="minorHAnsi" w:cstheme="minorBidi"/>
          <w:b w:val="0"/>
          <w:i w:val="0"/>
          <w:noProof/>
          <w:sz w:val="22"/>
          <w:szCs w:val="22"/>
        </w:rPr>
        <w:tab/>
      </w:r>
      <w:r>
        <w:rPr>
          <w:noProof/>
        </w:rPr>
        <w:t>Výdaje vysokých škol na programové financování</w:t>
      </w:r>
      <w:r>
        <w:rPr>
          <w:noProof/>
        </w:rPr>
        <w:tab/>
      </w:r>
      <w:r>
        <w:rPr>
          <w:noProof/>
        </w:rPr>
        <w:fldChar w:fldCharType="begin"/>
      </w:r>
      <w:r>
        <w:rPr>
          <w:noProof/>
        </w:rPr>
        <w:instrText xml:space="preserve"> PAGEREF _Toc5968833 \h </w:instrText>
      </w:r>
      <w:r>
        <w:rPr>
          <w:noProof/>
        </w:rPr>
      </w:r>
      <w:r>
        <w:rPr>
          <w:noProof/>
        </w:rPr>
        <w:fldChar w:fldCharType="separate"/>
      </w:r>
      <w:r w:rsidR="00C04B69">
        <w:rPr>
          <w:noProof/>
        </w:rPr>
        <w:t>21</w:t>
      </w:r>
      <w:r>
        <w:rPr>
          <w:noProof/>
        </w:rPr>
        <w:fldChar w:fldCharType="end"/>
      </w:r>
    </w:p>
    <w:p w14:paraId="6D814BB2" w14:textId="77777777" w:rsidR="008F55DA" w:rsidRDefault="008F55DA">
      <w:pPr>
        <w:pStyle w:val="Obsah3"/>
        <w:rPr>
          <w:rFonts w:asciiTheme="minorHAnsi" w:eastAsiaTheme="minorEastAsia" w:hAnsiTheme="minorHAnsi" w:cstheme="minorBidi"/>
          <w:b w:val="0"/>
          <w:noProof/>
          <w:sz w:val="22"/>
          <w:szCs w:val="22"/>
        </w:rPr>
      </w:pPr>
      <w:r>
        <w:rPr>
          <w:noProof/>
        </w:rPr>
        <w:t>C.I.2</w:t>
      </w:r>
      <w:r>
        <w:rPr>
          <w:rFonts w:asciiTheme="minorHAnsi" w:eastAsiaTheme="minorEastAsia" w:hAnsiTheme="minorHAnsi" w:cstheme="minorBidi"/>
          <w:b w:val="0"/>
          <w:noProof/>
          <w:sz w:val="22"/>
          <w:szCs w:val="22"/>
        </w:rPr>
        <w:tab/>
      </w:r>
      <w:r>
        <w:rPr>
          <w:noProof/>
        </w:rPr>
        <w:t>Výzkum, experimentální vývoj a inovace</w:t>
      </w:r>
      <w:r>
        <w:rPr>
          <w:noProof/>
        </w:rPr>
        <w:tab/>
      </w:r>
      <w:r>
        <w:rPr>
          <w:noProof/>
        </w:rPr>
        <w:fldChar w:fldCharType="begin"/>
      </w:r>
      <w:r>
        <w:rPr>
          <w:noProof/>
        </w:rPr>
        <w:instrText xml:space="preserve"> PAGEREF _Toc5968834 \h </w:instrText>
      </w:r>
      <w:r>
        <w:rPr>
          <w:noProof/>
        </w:rPr>
      </w:r>
      <w:r>
        <w:rPr>
          <w:noProof/>
        </w:rPr>
        <w:fldChar w:fldCharType="separate"/>
      </w:r>
      <w:r w:rsidR="00C04B69">
        <w:rPr>
          <w:noProof/>
        </w:rPr>
        <w:t>23</w:t>
      </w:r>
      <w:r>
        <w:rPr>
          <w:noProof/>
        </w:rPr>
        <w:fldChar w:fldCharType="end"/>
      </w:r>
    </w:p>
    <w:p w14:paraId="1441D65D" w14:textId="77777777" w:rsidR="008F55DA" w:rsidRDefault="008F55DA">
      <w:pPr>
        <w:pStyle w:val="Obsah4"/>
        <w:rPr>
          <w:rFonts w:asciiTheme="minorHAnsi" w:eastAsiaTheme="minorEastAsia" w:hAnsiTheme="minorHAnsi" w:cstheme="minorBidi"/>
          <w:b w:val="0"/>
          <w:i w:val="0"/>
          <w:noProof/>
          <w:sz w:val="22"/>
          <w:szCs w:val="22"/>
        </w:rPr>
      </w:pPr>
      <w:r>
        <w:rPr>
          <w:noProof/>
        </w:rPr>
        <w:t>C.I.2.1</w:t>
      </w:r>
      <w:r>
        <w:rPr>
          <w:rFonts w:asciiTheme="minorHAnsi" w:eastAsiaTheme="minorEastAsia" w:hAnsiTheme="minorHAnsi" w:cstheme="minorBidi"/>
          <w:b w:val="0"/>
          <w:i w:val="0"/>
          <w:noProof/>
          <w:sz w:val="22"/>
          <w:szCs w:val="22"/>
        </w:rPr>
        <w:tab/>
      </w:r>
      <w:r>
        <w:rPr>
          <w:noProof/>
        </w:rPr>
        <w:t>Schválené výdaje na výzkum, experimentální vývoj a inovace</w:t>
      </w:r>
      <w:r>
        <w:rPr>
          <w:noProof/>
        </w:rPr>
        <w:tab/>
      </w:r>
      <w:r>
        <w:rPr>
          <w:noProof/>
        </w:rPr>
        <w:fldChar w:fldCharType="begin"/>
      </w:r>
      <w:r>
        <w:rPr>
          <w:noProof/>
        </w:rPr>
        <w:instrText xml:space="preserve"> PAGEREF _Toc5968835 \h </w:instrText>
      </w:r>
      <w:r>
        <w:rPr>
          <w:noProof/>
        </w:rPr>
      </w:r>
      <w:r>
        <w:rPr>
          <w:noProof/>
        </w:rPr>
        <w:fldChar w:fldCharType="separate"/>
      </w:r>
      <w:r w:rsidR="00C04B69">
        <w:rPr>
          <w:noProof/>
        </w:rPr>
        <w:t>23</w:t>
      </w:r>
      <w:r>
        <w:rPr>
          <w:noProof/>
        </w:rPr>
        <w:fldChar w:fldCharType="end"/>
      </w:r>
    </w:p>
    <w:p w14:paraId="3CC97A70" w14:textId="77777777" w:rsidR="008F55DA" w:rsidRDefault="008F55DA">
      <w:pPr>
        <w:pStyle w:val="Obsah4"/>
        <w:rPr>
          <w:rFonts w:asciiTheme="minorHAnsi" w:eastAsiaTheme="minorEastAsia" w:hAnsiTheme="minorHAnsi" w:cstheme="minorBidi"/>
          <w:b w:val="0"/>
          <w:i w:val="0"/>
          <w:noProof/>
          <w:sz w:val="22"/>
          <w:szCs w:val="22"/>
        </w:rPr>
      </w:pPr>
      <w:r>
        <w:rPr>
          <w:noProof/>
        </w:rPr>
        <w:t>C.I.2.2</w:t>
      </w:r>
      <w:r>
        <w:rPr>
          <w:rFonts w:asciiTheme="minorHAnsi" w:eastAsiaTheme="minorEastAsia" w:hAnsiTheme="minorHAnsi" w:cstheme="minorBidi"/>
          <w:b w:val="0"/>
          <w:i w:val="0"/>
          <w:noProof/>
          <w:sz w:val="22"/>
          <w:szCs w:val="22"/>
        </w:rPr>
        <w:tab/>
      </w:r>
      <w:r>
        <w:rPr>
          <w:noProof/>
        </w:rPr>
        <w:t>Srovnání výdajů státního rozpočtu roku 2019 se schváleným rozpočtem na rok 2018</w:t>
      </w:r>
      <w:r>
        <w:rPr>
          <w:noProof/>
        </w:rPr>
        <w:tab/>
      </w:r>
      <w:r>
        <w:rPr>
          <w:noProof/>
        </w:rPr>
        <w:fldChar w:fldCharType="begin"/>
      </w:r>
      <w:r>
        <w:rPr>
          <w:noProof/>
        </w:rPr>
        <w:instrText xml:space="preserve"> PAGEREF _Toc5968836 \h </w:instrText>
      </w:r>
      <w:r>
        <w:rPr>
          <w:noProof/>
        </w:rPr>
      </w:r>
      <w:r>
        <w:rPr>
          <w:noProof/>
        </w:rPr>
        <w:fldChar w:fldCharType="separate"/>
      </w:r>
      <w:r w:rsidR="00C04B69">
        <w:rPr>
          <w:noProof/>
        </w:rPr>
        <w:t>24</w:t>
      </w:r>
      <w:r>
        <w:rPr>
          <w:noProof/>
        </w:rPr>
        <w:fldChar w:fldCharType="end"/>
      </w:r>
    </w:p>
    <w:p w14:paraId="186AED90" w14:textId="77777777" w:rsidR="008F55DA" w:rsidRDefault="008F55DA">
      <w:pPr>
        <w:pStyle w:val="Obsah4"/>
        <w:rPr>
          <w:rFonts w:asciiTheme="minorHAnsi" w:eastAsiaTheme="minorEastAsia" w:hAnsiTheme="minorHAnsi" w:cstheme="minorBidi"/>
          <w:b w:val="0"/>
          <w:i w:val="0"/>
          <w:noProof/>
          <w:sz w:val="22"/>
          <w:szCs w:val="22"/>
        </w:rPr>
      </w:pPr>
      <w:r>
        <w:rPr>
          <w:noProof/>
        </w:rPr>
        <w:t>C.I.2.3</w:t>
      </w:r>
      <w:r>
        <w:rPr>
          <w:rFonts w:asciiTheme="minorHAnsi" w:eastAsiaTheme="minorEastAsia" w:hAnsiTheme="minorHAnsi" w:cstheme="minorBidi"/>
          <w:b w:val="0"/>
          <w:i w:val="0"/>
          <w:noProof/>
          <w:sz w:val="22"/>
          <w:szCs w:val="22"/>
        </w:rPr>
        <w:tab/>
      </w:r>
      <w:r>
        <w:rPr>
          <w:noProof/>
        </w:rPr>
        <w:t>Institucionální podpora</w:t>
      </w:r>
      <w:r>
        <w:rPr>
          <w:noProof/>
        </w:rPr>
        <w:tab/>
      </w:r>
      <w:r>
        <w:rPr>
          <w:noProof/>
        </w:rPr>
        <w:fldChar w:fldCharType="begin"/>
      </w:r>
      <w:r>
        <w:rPr>
          <w:noProof/>
        </w:rPr>
        <w:instrText xml:space="preserve"> PAGEREF _Toc5968837 \h </w:instrText>
      </w:r>
      <w:r>
        <w:rPr>
          <w:noProof/>
        </w:rPr>
      </w:r>
      <w:r>
        <w:rPr>
          <w:noProof/>
        </w:rPr>
        <w:fldChar w:fldCharType="separate"/>
      </w:r>
      <w:r w:rsidR="00C04B69">
        <w:rPr>
          <w:noProof/>
        </w:rPr>
        <w:t>24</w:t>
      </w:r>
      <w:r>
        <w:rPr>
          <w:noProof/>
        </w:rPr>
        <w:fldChar w:fldCharType="end"/>
      </w:r>
    </w:p>
    <w:p w14:paraId="59285CBE" w14:textId="77777777" w:rsidR="008F55DA" w:rsidRDefault="008F55DA">
      <w:pPr>
        <w:pStyle w:val="Obsah4"/>
        <w:rPr>
          <w:rFonts w:asciiTheme="minorHAnsi" w:eastAsiaTheme="minorEastAsia" w:hAnsiTheme="minorHAnsi" w:cstheme="minorBidi"/>
          <w:b w:val="0"/>
          <w:i w:val="0"/>
          <w:noProof/>
          <w:sz w:val="22"/>
          <w:szCs w:val="22"/>
        </w:rPr>
      </w:pPr>
      <w:r>
        <w:rPr>
          <w:noProof/>
        </w:rPr>
        <w:t>C.I.2.4</w:t>
      </w:r>
      <w:r>
        <w:rPr>
          <w:rFonts w:asciiTheme="minorHAnsi" w:eastAsiaTheme="minorEastAsia" w:hAnsiTheme="minorHAnsi" w:cstheme="minorBidi"/>
          <w:b w:val="0"/>
          <w:i w:val="0"/>
          <w:noProof/>
          <w:sz w:val="22"/>
          <w:szCs w:val="22"/>
        </w:rPr>
        <w:tab/>
      </w:r>
      <w:r>
        <w:rPr>
          <w:noProof/>
        </w:rPr>
        <w:t>Účelová podpora</w:t>
      </w:r>
      <w:r>
        <w:rPr>
          <w:noProof/>
        </w:rPr>
        <w:tab/>
      </w:r>
      <w:r>
        <w:rPr>
          <w:noProof/>
        </w:rPr>
        <w:fldChar w:fldCharType="begin"/>
      </w:r>
      <w:r>
        <w:rPr>
          <w:noProof/>
        </w:rPr>
        <w:instrText xml:space="preserve"> PAGEREF _Toc5968838 \h </w:instrText>
      </w:r>
      <w:r>
        <w:rPr>
          <w:noProof/>
        </w:rPr>
      </w:r>
      <w:r>
        <w:rPr>
          <w:noProof/>
        </w:rPr>
        <w:fldChar w:fldCharType="separate"/>
      </w:r>
      <w:r w:rsidR="00C04B69">
        <w:rPr>
          <w:noProof/>
        </w:rPr>
        <w:t>27</w:t>
      </w:r>
      <w:r>
        <w:rPr>
          <w:noProof/>
        </w:rPr>
        <w:fldChar w:fldCharType="end"/>
      </w:r>
    </w:p>
    <w:p w14:paraId="7C7ABE09" w14:textId="77777777" w:rsidR="008F55DA" w:rsidRDefault="008F55DA">
      <w:pPr>
        <w:pStyle w:val="Obsah4"/>
        <w:rPr>
          <w:rFonts w:asciiTheme="minorHAnsi" w:eastAsiaTheme="minorEastAsia" w:hAnsiTheme="minorHAnsi" w:cstheme="minorBidi"/>
          <w:b w:val="0"/>
          <w:i w:val="0"/>
          <w:noProof/>
          <w:sz w:val="22"/>
          <w:szCs w:val="22"/>
        </w:rPr>
      </w:pPr>
      <w:r>
        <w:rPr>
          <w:noProof/>
        </w:rPr>
        <w:t>C.I.2.5</w:t>
      </w:r>
      <w:r>
        <w:rPr>
          <w:rFonts w:asciiTheme="minorHAnsi" w:eastAsiaTheme="minorEastAsia" w:hAnsiTheme="minorHAnsi" w:cstheme="minorBidi"/>
          <w:b w:val="0"/>
          <w:i w:val="0"/>
          <w:noProof/>
          <w:sz w:val="22"/>
          <w:szCs w:val="22"/>
        </w:rPr>
        <w:tab/>
      </w:r>
      <w:r>
        <w:rPr>
          <w:noProof/>
        </w:rPr>
        <w:t>Rozpočet výdajů na VVI v roce 2019 v OP VVV 2014-2020</w:t>
      </w:r>
      <w:r>
        <w:rPr>
          <w:noProof/>
        </w:rPr>
        <w:tab/>
      </w:r>
      <w:r>
        <w:rPr>
          <w:noProof/>
        </w:rPr>
        <w:fldChar w:fldCharType="begin"/>
      </w:r>
      <w:r>
        <w:rPr>
          <w:noProof/>
        </w:rPr>
        <w:instrText xml:space="preserve"> PAGEREF _Toc5968839 \h </w:instrText>
      </w:r>
      <w:r>
        <w:rPr>
          <w:noProof/>
        </w:rPr>
      </w:r>
      <w:r>
        <w:rPr>
          <w:noProof/>
        </w:rPr>
        <w:fldChar w:fldCharType="separate"/>
      </w:r>
      <w:r w:rsidR="00C04B69">
        <w:rPr>
          <w:noProof/>
        </w:rPr>
        <w:t>30</w:t>
      </w:r>
      <w:r>
        <w:rPr>
          <w:noProof/>
        </w:rPr>
        <w:fldChar w:fldCharType="end"/>
      </w:r>
    </w:p>
    <w:p w14:paraId="0BD95762" w14:textId="77777777" w:rsidR="008F55DA" w:rsidRDefault="008F55DA">
      <w:pPr>
        <w:pStyle w:val="Obsah4"/>
        <w:rPr>
          <w:rFonts w:asciiTheme="minorHAnsi" w:eastAsiaTheme="minorEastAsia" w:hAnsiTheme="minorHAnsi" w:cstheme="minorBidi"/>
          <w:b w:val="0"/>
          <w:i w:val="0"/>
          <w:noProof/>
          <w:sz w:val="22"/>
          <w:szCs w:val="22"/>
        </w:rPr>
      </w:pPr>
      <w:r>
        <w:rPr>
          <w:noProof/>
        </w:rPr>
        <w:t>C.I.2.6</w:t>
      </w:r>
      <w:r>
        <w:rPr>
          <w:rFonts w:asciiTheme="minorHAnsi" w:eastAsiaTheme="minorEastAsia" w:hAnsiTheme="minorHAnsi" w:cstheme="minorBidi"/>
          <w:b w:val="0"/>
          <w:i w:val="0"/>
          <w:noProof/>
          <w:sz w:val="22"/>
          <w:szCs w:val="22"/>
        </w:rPr>
        <w:tab/>
      </w:r>
      <w:r>
        <w:rPr>
          <w:noProof/>
        </w:rPr>
        <w:t>Rozpočet výdajů na EUROSTARS-2 v roce 2019</w:t>
      </w:r>
      <w:r>
        <w:rPr>
          <w:noProof/>
        </w:rPr>
        <w:tab/>
      </w:r>
      <w:r>
        <w:rPr>
          <w:noProof/>
        </w:rPr>
        <w:fldChar w:fldCharType="begin"/>
      </w:r>
      <w:r>
        <w:rPr>
          <w:noProof/>
        </w:rPr>
        <w:instrText xml:space="preserve"> PAGEREF _Toc5968840 \h </w:instrText>
      </w:r>
      <w:r>
        <w:rPr>
          <w:noProof/>
        </w:rPr>
      </w:r>
      <w:r>
        <w:rPr>
          <w:noProof/>
        </w:rPr>
        <w:fldChar w:fldCharType="separate"/>
      </w:r>
      <w:r w:rsidR="00C04B69">
        <w:rPr>
          <w:noProof/>
        </w:rPr>
        <w:t>30</w:t>
      </w:r>
      <w:r>
        <w:rPr>
          <w:noProof/>
        </w:rPr>
        <w:fldChar w:fldCharType="end"/>
      </w:r>
    </w:p>
    <w:p w14:paraId="2BFA04AC" w14:textId="77777777" w:rsidR="008F55DA" w:rsidRDefault="008F55DA">
      <w:pPr>
        <w:pStyle w:val="Obsah4"/>
        <w:rPr>
          <w:rFonts w:asciiTheme="minorHAnsi" w:eastAsiaTheme="minorEastAsia" w:hAnsiTheme="minorHAnsi" w:cstheme="minorBidi"/>
          <w:b w:val="0"/>
          <w:i w:val="0"/>
          <w:noProof/>
          <w:sz w:val="22"/>
          <w:szCs w:val="22"/>
        </w:rPr>
      </w:pPr>
      <w:r>
        <w:rPr>
          <w:noProof/>
        </w:rPr>
        <w:t>C.I.2.7</w:t>
      </w:r>
      <w:r>
        <w:rPr>
          <w:rFonts w:asciiTheme="minorHAnsi" w:eastAsiaTheme="minorEastAsia" w:hAnsiTheme="minorHAnsi" w:cstheme="minorBidi"/>
          <w:b w:val="0"/>
          <w:i w:val="0"/>
          <w:noProof/>
          <w:sz w:val="22"/>
          <w:szCs w:val="22"/>
        </w:rPr>
        <w:tab/>
      </w:r>
      <w:r>
        <w:rPr>
          <w:noProof/>
        </w:rPr>
        <w:t>Rozpočet výdajů na HORIZONT 2020 v roce 2019</w:t>
      </w:r>
      <w:r>
        <w:rPr>
          <w:noProof/>
        </w:rPr>
        <w:tab/>
      </w:r>
      <w:r>
        <w:rPr>
          <w:noProof/>
        </w:rPr>
        <w:fldChar w:fldCharType="begin"/>
      </w:r>
      <w:r>
        <w:rPr>
          <w:noProof/>
        </w:rPr>
        <w:instrText xml:space="preserve"> PAGEREF _Toc5968841 \h </w:instrText>
      </w:r>
      <w:r>
        <w:rPr>
          <w:noProof/>
        </w:rPr>
      </w:r>
      <w:r>
        <w:rPr>
          <w:noProof/>
        </w:rPr>
        <w:fldChar w:fldCharType="separate"/>
      </w:r>
      <w:r w:rsidR="00C04B69">
        <w:rPr>
          <w:noProof/>
        </w:rPr>
        <w:t>30</w:t>
      </w:r>
      <w:r>
        <w:rPr>
          <w:noProof/>
        </w:rPr>
        <w:fldChar w:fldCharType="end"/>
      </w:r>
    </w:p>
    <w:p w14:paraId="31920B8F" w14:textId="77777777" w:rsidR="008F55DA" w:rsidRDefault="008F55DA">
      <w:pPr>
        <w:pStyle w:val="Obsah2"/>
        <w:rPr>
          <w:rFonts w:asciiTheme="minorHAnsi" w:eastAsiaTheme="minorEastAsia" w:hAnsiTheme="minorHAnsi" w:cstheme="minorBidi"/>
          <w:b w:val="0"/>
          <w:bCs w:val="0"/>
          <w:noProof/>
          <w:szCs w:val="22"/>
        </w:rPr>
      </w:pPr>
      <w:r>
        <w:rPr>
          <w:noProof/>
        </w:rPr>
        <w:t>C.II</w:t>
      </w:r>
      <w:r>
        <w:rPr>
          <w:rFonts w:asciiTheme="minorHAnsi" w:eastAsiaTheme="minorEastAsia" w:hAnsiTheme="minorHAnsi" w:cstheme="minorBidi"/>
          <w:b w:val="0"/>
          <w:bCs w:val="0"/>
          <w:noProof/>
          <w:szCs w:val="22"/>
        </w:rPr>
        <w:tab/>
      </w:r>
      <w:r>
        <w:rPr>
          <w:noProof/>
        </w:rPr>
        <w:t>RgŠ včetně PŘO celkem</w:t>
      </w:r>
      <w:r>
        <w:rPr>
          <w:noProof/>
        </w:rPr>
        <w:tab/>
      </w:r>
      <w:r>
        <w:rPr>
          <w:noProof/>
        </w:rPr>
        <w:fldChar w:fldCharType="begin"/>
      </w:r>
      <w:r>
        <w:rPr>
          <w:noProof/>
        </w:rPr>
        <w:instrText xml:space="preserve"> PAGEREF _Toc5968842 \h </w:instrText>
      </w:r>
      <w:r>
        <w:rPr>
          <w:noProof/>
        </w:rPr>
      </w:r>
      <w:r>
        <w:rPr>
          <w:noProof/>
        </w:rPr>
        <w:fldChar w:fldCharType="separate"/>
      </w:r>
      <w:r w:rsidR="00C04B69">
        <w:rPr>
          <w:noProof/>
        </w:rPr>
        <w:t>31</w:t>
      </w:r>
      <w:r>
        <w:rPr>
          <w:noProof/>
        </w:rPr>
        <w:fldChar w:fldCharType="end"/>
      </w:r>
    </w:p>
    <w:p w14:paraId="4AD234F4" w14:textId="77777777" w:rsidR="008F55DA" w:rsidRDefault="008F55DA">
      <w:pPr>
        <w:pStyle w:val="Obsah3"/>
        <w:rPr>
          <w:rFonts w:asciiTheme="minorHAnsi" w:eastAsiaTheme="minorEastAsia" w:hAnsiTheme="minorHAnsi" w:cstheme="minorBidi"/>
          <w:b w:val="0"/>
          <w:noProof/>
          <w:sz w:val="22"/>
          <w:szCs w:val="22"/>
        </w:rPr>
      </w:pPr>
      <w:r>
        <w:rPr>
          <w:noProof/>
        </w:rPr>
        <w:t>C.II.1</w:t>
      </w:r>
      <w:r>
        <w:rPr>
          <w:rFonts w:asciiTheme="minorHAnsi" w:eastAsiaTheme="minorEastAsia" w:hAnsiTheme="minorHAnsi" w:cstheme="minorBidi"/>
          <w:b w:val="0"/>
          <w:noProof/>
          <w:sz w:val="22"/>
          <w:szCs w:val="22"/>
        </w:rPr>
        <w:tab/>
      </w:r>
      <w:r>
        <w:rPr>
          <w:noProof/>
        </w:rPr>
        <w:t>RgŠ včetně PŘO bez ostatních dotačních titulů</w:t>
      </w:r>
      <w:r>
        <w:rPr>
          <w:noProof/>
        </w:rPr>
        <w:tab/>
      </w:r>
      <w:r>
        <w:rPr>
          <w:noProof/>
        </w:rPr>
        <w:fldChar w:fldCharType="begin"/>
      </w:r>
      <w:r>
        <w:rPr>
          <w:noProof/>
        </w:rPr>
        <w:instrText xml:space="preserve"> PAGEREF _Toc5968843 \h </w:instrText>
      </w:r>
      <w:r>
        <w:rPr>
          <w:noProof/>
        </w:rPr>
      </w:r>
      <w:r>
        <w:rPr>
          <w:noProof/>
        </w:rPr>
        <w:fldChar w:fldCharType="separate"/>
      </w:r>
      <w:r w:rsidR="00C04B69">
        <w:rPr>
          <w:noProof/>
        </w:rPr>
        <w:t>31</w:t>
      </w:r>
      <w:r>
        <w:rPr>
          <w:noProof/>
        </w:rPr>
        <w:fldChar w:fldCharType="end"/>
      </w:r>
    </w:p>
    <w:p w14:paraId="7D4663D5" w14:textId="77777777" w:rsidR="008F55DA" w:rsidRDefault="008F55DA">
      <w:pPr>
        <w:pStyle w:val="Obsah4"/>
        <w:rPr>
          <w:rFonts w:asciiTheme="minorHAnsi" w:eastAsiaTheme="minorEastAsia" w:hAnsiTheme="minorHAnsi" w:cstheme="minorBidi"/>
          <w:b w:val="0"/>
          <w:i w:val="0"/>
          <w:noProof/>
          <w:sz w:val="22"/>
          <w:szCs w:val="22"/>
        </w:rPr>
      </w:pPr>
      <w:r>
        <w:rPr>
          <w:noProof/>
        </w:rPr>
        <w:t>C.II.1.1</w:t>
      </w:r>
      <w:r>
        <w:rPr>
          <w:rFonts w:asciiTheme="minorHAnsi" w:eastAsiaTheme="minorEastAsia" w:hAnsiTheme="minorHAnsi" w:cstheme="minorBidi"/>
          <w:b w:val="0"/>
          <w:i w:val="0"/>
          <w:noProof/>
          <w:sz w:val="22"/>
          <w:szCs w:val="22"/>
        </w:rPr>
        <w:tab/>
      </w:r>
      <w:r>
        <w:rPr>
          <w:noProof/>
        </w:rPr>
        <w:t>Rozpočtové zdroje RgŠ pro rok 2019 – bez PŘO</w:t>
      </w:r>
      <w:r>
        <w:rPr>
          <w:noProof/>
        </w:rPr>
        <w:tab/>
      </w:r>
      <w:r>
        <w:rPr>
          <w:noProof/>
        </w:rPr>
        <w:fldChar w:fldCharType="begin"/>
      </w:r>
      <w:r>
        <w:rPr>
          <w:noProof/>
        </w:rPr>
        <w:instrText xml:space="preserve"> PAGEREF _Toc5968844 \h </w:instrText>
      </w:r>
      <w:r>
        <w:rPr>
          <w:noProof/>
        </w:rPr>
      </w:r>
      <w:r>
        <w:rPr>
          <w:noProof/>
        </w:rPr>
        <w:fldChar w:fldCharType="separate"/>
      </w:r>
      <w:r w:rsidR="00C04B69">
        <w:rPr>
          <w:noProof/>
        </w:rPr>
        <w:t>34</w:t>
      </w:r>
      <w:r>
        <w:rPr>
          <w:noProof/>
        </w:rPr>
        <w:fldChar w:fldCharType="end"/>
      </w:r>
    </w:p>
    <w:p w14:paraId="1070D180" w14:textId="77777777" w:rsidR="008F55DA" w:rsidRDefault="008F55DA">
      <w:pPr>
        <w:pStyle w:val="Obsah4"/>
        <w:rPr>
          <w:rFonts w:asciiTheme="minorHAnsi" w:eastAsiaTheme="minorEastAsia" w:hAnsiTheme="minorHAnsi" w:cstheme="minorBidi"/>
          <w:b w:val="0"/>
          <w:i w:val="0"/>
          <w:noProof/>
          <w:sz w:val="22"/>
          <w:szCs w:val="22"/>
        </w:rPr>
      </w:pPr>
      <w:r>
        <w:rPr>
          <w:noProof/>
        </w:rPr>
        <w:t>C.II.1.2</w:t>
      </w:r>
      <w:r>
        <w:rPr>
          <w:rFonts w:asciiTheme="minorHAnsi" w:eastAsiaTheme="minorEastAsia" w:hAnsiTheme="minorHAnsi" w:cstheme="minorBidi"/>
          <w:b w:val="0"/>
          <w:i w:val="0"/>
          <w:noProof/>
          <w:sz w:val="22"/>
          <w:szCs w:val="22"/>
        </w:rPr>
        <w:tab/>
      </w:r>
      <w:r>
        <w:rPr>
          <w:noProof/>
        </w:rPr>
        <w:t>Rozpočet RgŠ – ÚSC</w:t>
      </w:r>
      <w:r>
        <w:rPr>
          <w:noProof/>
        </w:rPr>
        <w:tab/>
      </w:r>
      <w:r>
        <w:rPr>
          <w:noProof/>
        </w:rPr>
        <w:fldChar w:fldCharType="begin"/>
      </w:r>
      <w:r>
        <w:rPr>
          <w:noProof/>
        </w:rPr>
        <w:instrText xml:space="preserve"> PAGEREF _Toc5968845 \h </w:instrText>
      </w:r>
      <w:r>
        <w:rPr>
          <w:noProof/>
        </w:rPr>
      </w:r>
      <w:r>
        <w:rPr>
          <w:noProof/>
        </w:rPr>
        <w:fldChar w:fldCharType="separate"/>
      </w:r>
      <w:r w:rsidR="00C04B69">
        <w:rPr>
          <w:noProof/>
        </w:rPr>
        <w:t>35</w:t>
      </w:r>
      <w:r>
        <w:rPr>
          <w:noProof/>
        </w:rPr>
        <w:fldChar w:fldCharType="end"/>
      </w:r>
    </w:p>
    <w:p w14:paraId="5321DD5C" w14:textId="77777777" w:rsidR="008F55DA" w:rsidRDefault="008F55DA">
      <w:pPr>
        <w:pStyle w:val="Obsah4"/>
        <w:rPr>
          <w:rFonts w:asciiTheme="minorHAnsi" w:eastAsiaTheme="minorEastAsia" w:hAnsiTheme="minorHAnsi" w:cstheme="minorBidi"/>
          <w:b w:val="0"/>
          <w:i w:val="0"/>
          <w:noProof/>
          <w:sz w:val="22"/>
          <w:szCs w:val="22"/>
        </w:rPr>
      </w:pPr>
      <w:r>
        <w:rPr>
          <w:noProof/>
        </w:rPr>
        <w:t>C.II.1.3</w:t>
      </w:r>
      <w:r>
        <w:rPr>
          <w:rFonts w:asciiTheme="minorHAnsi" w:eastAsiaTheme="minorEastAsia" w:hAnsiTheme="minorHAnsi" w:cstheme="minorBidi"/>
          <w:b w:val="0"/>
          <w:i w:val="0"/>
          <w:noProof/>
          <w:sz w:val="22"/>
          <w:szCs w:val="22"/>
        </w:rPr>
        <w:tab/>
      </w:r>
      <w:r>
        <w:rPr>
          <w:noProof/>
        </w:rPr>
        <w:t>Věkové kategorie pro jednotlivé RN 2019:</w:t>
      </w:r>
      <w:r>
        <w:rPr>
          <w:noProof/>
        </w:rPr>
        <w:tab/>
      </w:r>
      <w:r>
        <w:rPr>
          <w:noProof/>
        </w:rPr>
        <w:fldChar w:fldCharType="begin"/>
      </w:r>
      <w:r>
        <w:rPr>
          <w:noProof/>
        </w:rPr>
        <w:instrText xml:space="preserve"> PAGEREF _Toc5968846 \h </w:instrText>
      </w:r>
      <w:r>
        <w:rPr>
          <w:noProof/>
        </w:rPr>
      </w:r>
      <w:r>
        <w:rPr>
          <w:noProof/>
        </w:rPr>
        <w:fldChar w:fldCharType="separate"/>
      </w:r>
      <w:r w:rsidR="00C04B69">
        <w:rPr>
          <w:noProof/>
        </w:rPr>
        <w:t>37</w:t>
      </w:r>
      <w:r>
        <w:rPr>
          <w:noProof/>
        </w:rPr>
        <w:fldChar w:fldCharType="end"/>
      </w:r>
    </w:p>
    <w:p w14:paraId="553605A9" w14:textId="77777777" w:rsidR="008F55DA" w:rsidRDefault="008F55DA">
      <w:pPr>
        <w:pStyle w:val="Obsah4"/>
        <w:rPr>
          <w:rFonts w:asciiTheme="minorHAnsi" w:eastAsiaTheme="minorEastAsia" w:hAnsiTheme="minorHAnsi" w:cstheme="minorBidi"/>
          <w:b w:val="0"/>
          <w:i w:val="0"/>
          <w:noProof/>
          <w:sz w:val="22"/>
          <w:szCs w:val="22"/>
        </w:rPr>
      </w:pPr>
      <w:r>
        <w:rPr>
          <w:noProof/>
        </w:rPr>
        <w:t>C.II.1.4</w:t>
      </w:r>
      <w:r>
        <w:rPr>
          <w:rFonts w:asciiTheme="minorHAnsi" w:eastAsiaTheme="minorEastAsia" w:hAnsiTheme="minorHAnsi" w:cstheme="minorBidi"/>
          <w:b w:val="0"/>
          <w:i w:val="0"/>
          <w:noProof/>
          <w:sz w:val="22"/>
          <w:szCs w:val="22"/>
        </w:rPr>
        <w:tab/>
      </w:r>
      <w:r>
        <w:rPr>
          <w:noProof/>
        </w:rPr>
        <w:t>Rozvojové programy</w:t>
      </w:r>
      <w:r>
        <w:rPr>
          <w:noProof/>
        </w:rPr>
        <w:tab/>
      </w:r>
      <w:r>
        <w:rPr>
          <w:noProof/>
        </w:rPr>
        <w:fldChar w:fldCharType="begin"/>
      </w:r>
      <w:r>
        <w:rPr>
          <w:noProof/>
        </w:rPr>
        <w:instrText xml:space="preserve"> PAGEREF _Toc5968847 \h </w:instrText>
      </w:r>
      <w:r>
        <w:rPr>
          <w:noProof/>
        </w:rPr>
      </w:r>
      <w:r>
        <w:rPr>
          <w:noProof/>
        </w:rPr>
        <w:fldChar w:fldCharType="separate"/>
      </w:r>
      <w:r w:rsidR="00C04B69">
        <w:rPr>
          <w:noProof/>
        </w:rPr>
        <w:t>45</w:t>
      </w:r>
      <w:r>
        <w:rPr>
          <w:noProof/>
        </w:rPr>
        <w:fldChar w:fldCharType="end"/>
      </w:r>
    </w:p>
    <w:p w14:paraId="14840C2C" w14:textId="77777777" w:rsidR="008F55DA" w:rsidRDefault="008F55DA">
      <w:pPr>
        <w:pStyle w:val="Obsah4"/>
        <w:rPr>
          <w:rFonts w:asciiTheme="minorHAnsi" w:eastAsiaTheme="minorEastAsia" w:hAnsiTheme="minorHAnsi" w:cstheme="minorBidi"/>
          <w:b w:val="0"/>
          <w:i w:val="0"/>
          <w:noProof/>
          <w:sz w:val="22"/>
          <w:szCs w:val="22"/>
        </w:rPr>
      </w:pPr>
      <w:r>
        <w:rPr>
          <w:noProof/>
        </w:rPr>
        <w:t>C.II.1.5</w:t>
      </w:r>
      <w:r>
        <w:rPr>
          <w:rFonts w:asciiTheme="minorHAnsi" w:eastAsiaTheme="minorEastAsia" w:hAnsiTheme="minorHAnsi" w:cstheme="minorBidi"/>
          <w:b w:val="0"/>
          <w:i w:val="0"/>
          <w:noProof/>
          <w:sz w:val="22"/>
          <w:szCs w:val="22"/>
        </w:rPr>
        <w:tab/>
      </w:r>
      <w:r>
        <w:rPr>
          <w:noProof/>
        </w:rPr>
        <w:t>Financování soukromých škol a školských zařízení</w:t>
      </w:r>
      <w:r>
        <w:rPr>
          <w:noProof/>
        </w:rPr>
        <w:tab/>
      </w:r>
      <w:r>
        <w:rPr>
          <w:noProof/>
        </w:rPr>
        <w:fldChar w:fldCharType="begin"/>
      </w:r>
      <w:r>
        <w:rPr>
          <w:noProof/>
        </w:rPr>
        <w:instrText xml:space="preserve"> PAGEREF _Toc5968848 \h </w:instrText>
      </w:r>
      <w:r>
        <w:rPr>
          <w:noProof/>
        </w:rPr>
      </w:r>
      <w:r>
        <w:rPr>
          <w:noProof/>
        </w:rPr>
        <w:fldChar w:fldCharType="separate"/>
      </w:r>
      <w:r w:rsidR="00C04B69">
        <w:rPr>
          <w:noProof/>
        </w:rPr>
        <w:t>49</w:t>
      </w:r>
      <w:r>
        <w:rPr>
          <w:noProof/>
        </w:rPr>
        <w:fldChar w:fldCharType="end"/>
      </w:r>
    </w:p>
    <w:p w14:paraId="28D3BD6A" w14:textId="77777777" w:rsidR="008F55DA" w:rsidRDefault="008F55DA">
      <w:pPr>
        <w:pStyle w:val="Obsah4"/>
        <w:rPr>
          <w:rFonts w:asciiTheme="minorHAnsi" w:eastAsiaTheme="minorEastAsia" w:hAnsiTheme="minorHAnsi" w:cstheme="minorBidi"/>
          <w:b w:val="0"/>
          <w:i w:val="0"/>
          <w:noProof/>
          <w:sz w:val="22"/>
          <w:szCs w:val="22"/>
        </w:rPr>
      </w:pPr>
      <w:r>
        <w:rPr>
          <w:noProof/>
        </w:rPr>
        <w:t>C.II.1.6</w:t>
      </w:r>
      <w:r>
        <w:rPr>
          <w:rFonts w:asciiTheme="minorHAnsi" w:eastAsiaTheme="minorEastAsia" w:hAnsiTheme="minorHAnsi" w:cstheme="minorBidi"/>
          <w:b w:val="0"/>
          <w:i w:val="0"/>
          <w:noProof/>
          <w:sz w:val="22"/>
          <w:szCs w:val="22"/>
        </w:rPr>
        <w:tab/>
      </w:r>
      <w:r>
        <w:rPr>
          <w:noProof/>
        </w:rPr>
        <w:t>Financování církevních škol a školských zařízení</w:t>
      </w:r>
      <w:r>
        <w:rPr>
          <w:noProof/>
        </w:rPr>
        <w:tab/>
      </w:r>
      <w:r>
        <w:rPr>
          <w:noProof/>
        </w:rPr>
        <w:fldChar w:fldCharType="begin"/>
      </w:r>
      <w:r>
        <w:rPr>
          <w:noProof/>
        </w:rPr>
        <w:instrText xml:space="preserve"> PAGEREF _Toc5968849 \h </w:instrText>
      </w:r>
      <w:r>
        <w:rPr>
          <w:noProof/>
        </w:rPr>
      </w:r>
      <w:r>
        <w:rPr>
          <w:noProof/>
        </w:rPr>
        <w:fldChar w:fldCharType="separate"/>
      </w:r>
      <w:r w:rsidR="00C04B69">
        <w:rPr>
          <w:noProof/>
        </w:rPr>
        <w:t>51</w:t>
      </w:r>
      <w:r>
        <w:rPr>
          <w:noProof/>
        </w:rPr>
        <w:fldChar w:fldCharType="end"/>
      </w:r>
    </w:p>
    <w:p w14:paraId="5E1665A5" w14:textId="77777777" w:rsidR="008F55DA" w:rsidRDefault="008F55DA">
      <w:pPr>
        <w:pStyle w:val="Obsah4"/>
        <w:rPr>
          <w:rFonts w:asciiTheme="minorHAnsi" w:eastAsiaTheme="minorEastAsia" w:hAnsiTheme="minorHAnsi" w:cstheme="minorBidi"/>
          <w:b w:val="0"/>
          <w:i w:val="0"/>
          <w:noProof/>
          <w:sz w:val="22"/>
          <w:szCs w:val="22"/>
        </w:rPr>
      </w:pPr>
      <w:r>
        <w:rPr>
          <w:noProof/>
        </w:rPr>
        <w:t>C.II.1.7</w:t>
      </w:r>
      <w:r>
        <w:rPr>
          <w:rFonts w:asciiTheme="minorHAnsi" w:eastAsiaTheme="minorEastAsia" w:hAnsiTheme="minorHAnsi" w:cstheme="minorBidi"/>
          <w:b w:val="0"/>
          <w:i w:val="0"/>
          <w:noProof/>
          <w:sz w:val="22"/>
          <w:szCs w:val="22"/>
        </w:rPr>
        <w:tab/>
      </w:r>
      <w:r>
        <w:rPr>
          <w:noProof/>
        </w:rPr>
        <w:t>RgŠ - ostatní dotační tituly</w:t>
      </w:r>
      <w:r>
        <w:rPr>
          <w:noProof/>
        </w:rPr>
        <w:tab/>
      </w:r>
      <w:r>
        <w:rPr>
          <w:noProof/>
        </w:rPr>
        <w:fldChar w:fldCharType="begin"/>
      </w:r>
      <w:r>
        <w:rPr>
          <w:noProof/>
        </w:rPr>
        <w:instrText xml:space="preserve"> PAGEREF _Toc5968850 \h </w:instrText>
      </w:r>
      <w:r>
        <w:rPr>
          <w:noProof/>
        </w:rPr>
      </w:r>
      <w:r>
        <w:rPr>
          <w:noProof/>
        </w:rPr>
        <w:fldChar w:fldCharType="separate"/>
      </w:r>
      <w:r w:rsidR="00C04B69">
        <w:rPr>
          <w:noProof/>
        </w:rPr>
        <w:t>53</w:t>
      </w:r>
      <w:r>
        <w:rPr>
          <w:noProof/>
        </w:rPr>
        <w:fldChar w:fldCharType="end"/>
      </w:r>
    </w:p>
    <w:p w14:paraId="1C46587D" w14:textId="77777777" w:rsidR="008F55DA" w:rsidRDefault="008F55DA">
      <w:pPr>
        <w:pStyle w:val="Obsah4"/>
        <w:rPr>
          <w:rFonts w:asciiTheme="minorHAnsi" w:eastAsiaTheme="minorEastAsia" w:hAnsiTheme="minorHAnsi" w:cstheme="minorBidi"/>
          <w:b w:val="0"/>
          <w:i w:val="0"/>
          <w:noProof/>
          <w:sz w:val="22"/>
          <w:szCs w:val="22"/>
        </w:rPr>
      </w:pPr>
      <w:r>
        <w:rPr>
          <w:noProof/>
        </w:rPr>
        <w:t>C.II.1.8</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_Toc5968851 \h </w:instrText>
      </w:r>
      <w:r>
        <w:rPr>
          <w:noProof/>
        </w:rPr>
      </w:r>
      <w:r>
        <w:rPr>
          <w:noProof/>
        </w:rPr>
        <w:fldChar w:fldCharType="separate"/>
      </w:r>
      <w:r w:rsidR="00C04B69">
        <w:rPr>
          <w:noProof/>
        </w:rPr>
        <w:t>53</w:t>
      </w:r>
      <w:r>
        <w:rPr>
          <w:noProof/>
        </w:rPr>
        <w:fldChar w:fldCharType="end"/>
      </w:r>
    </w:p>
    <w:p w14:paraId="51BD7C51" w14:textId="77777777" w:rsidR="008F55DA" w:rsidRDefault="008F55DA">
      <w:pPr>
        <w:pStyle w:val="Obsah3"/>
        <w:rPr>
          <w:rFonts w:asciiTheme="minorHAnsi" w:eastAsiaTheme="minorEastAsia" w:hAnsiTheme="minorHAnsi" w:cstheme="minorBidi"/>
          <w:b w:val="0"/>
          <w:noProof/>
          <w:sz w:val="22"/>
          <w:szCs w:val="22"/>
        </w:rPr>
      </w:pPr>
      <w:r>
        <w:rPr>
          <w:noProof/>
        </w:rPr>
        <w:t>C.II.2</w:t>
      </w:r>
      <w:r>
        <w:rPr>
          <w:rFonts w:asciiTheme="minorHAnsi" w:eastAsiaTheme="minorEastAsia" w:hAnsiTheme="minorHAnsi" w:cstheme="minorBidi"/>
          <w:b w:val="0"/>
          <w:noProof/>
          <w:sz w:val="22"/>
          <w:szCs w:val="22"/>
        </w:rPr>
        <w:tab/>
      </w:r>
      <w:r>
        <w:rPr>
          <w:noProof/>
        </w:rPr>
        <w:t>Financování PŘO na rok 2019</w:t>
      </w:r>
      <w:r>
        <w:rPr>
          <w:noProof/>
        </w:rPr>
        <w:tab/>
      </w:r>
      <w:r>
        <w:rPr>
          <w:noProof/>
        </w:rPr>
        <w:fldChar w:fldCharType="begin"/>
      </w:r>
      <w:r>
        <w:rPr>
          <w:noProof/>
        </w:rPr>
        <w:instrText xml:space="preserve"> PAGEREF _Toc5968852 \h </w:instrText>
      </w:r>
      <w:r>
        <w:rPr>
          <w:noProof/>
        </w:rPr>
      </w:r>
      <w:r>
        <w:rPr>
          <w:noProof/>
        </w:rPr>
        <w:fldChar w:fldCharType="separate"/>
      </w:r>
      <w:r w:rsidR="00C04B69">
        <w:rPr>
          <w:noProof/>
        </w:rPr>
        <w:t>57</w:t>
      </w:r>
      <w:r>
        <w:rPr>
          <w:noProof/>
        </w:rPr>
        <w:fldChar w:fldCharType="end"/>
      </w:r>
    </w:p>
    <w:p w14:paraId="6D56FF26" w14:textId="77777777" w:rsidR="008F55DA" w:rsidRDefault="008F55DA">
      <w:pPr>
        <w:pStyle w:val="Obsah4"/>
        <w:rPr>
          <w:rFonts w:asciiTheme="minorHAnsi" w:eastAsiaTheme="minorEastAsia" w:hAnsiTheme="minorHAnsi" w:cstheme="minorBidi"/>
          <w:b w:val="0"/>
          <w:i w:val="0"/>
          <w:noProof/>
          <w:sz w:val="22"/>
          <w:szCs w:val="22"/>
        </w:rPr>
      </w:pPr>
      <w:r>
        <w:rPr>
          <w:noProof/>
        </w:rPr>
        <w:t>C.II.2.1</w:t>
      </w:r>
      <w:r>
        <w:rPr>
          <w:rFonts w:asciiTheme="minorHAnsi" w:eastAsiaTheme="minorEastAsia" w:hAnsiTheme="minorHAnsi" w:cstheme="minorBidi"/>
          <w:b w:val="0"/>
          <w:i w:val="0"/>
          <w:noProof/>
          <w:sz w:val="22"/>
          <w:szCs w:val="22"/>
        </w:rPr>
        <w:tab/>
      </w:r>
      <w:r>
        <w:rPr>
          <w:noProof/>
        </w:rPr>
        <w:t>Běžné výdaje PŘO</w:t>
      </w:r>
      <w:r>
        <w:rPr>
          <w:noProof/>
        </w:rPr>
        <w:tab/>
      </w:r>
      <w:r>
        <w:rPr>
          <w:noProof/>
        </w:rPr>
        <w:fldChar w:fldCharType="begin"/>
      </w:r>
      <w:r>
        <w:rPr>
          <w:noProof/>
        </w:rPr>
        <w:instrText xml:space="preserve"> PAGEREF _Toc5968853 \h </w:instrText>
      </w:r>
      <w:r>
        <w:rPr>
          <w:noProof/>
        </w:rPr>
      </w:r>
      <w:r>
        <w:rPr>
          <w:noProof/>
        </w:rPr>
        <w:fldChar w:fldCharType="separate"/>
      </w:r>
      <w:r w:rsidR="00C04B69">
        <w:rPr>
          <w:noProof/>
        </w:rPr>
        <w:t>57</w:t>
      </w:r>
      <w:r>
        <w:rPr>
          <w:noProof/>
        </w:rPr>
        <w:fldChar w:fldCharType="end"/>
      </w:r>
    </w:p>
    <w:p w14:paraId="3D8738D6" w14:textId="77777777" w:rsidR="008F55DA" w:rsidRDefault="008F55DA">
      <w:pPr>
        <w:pStyle w:val="Obsah4"/>
        <w:rPr>
          <w:rFonts w:asciiTheme="minorHAnsi" w:eastAsiaTheme="minorEastAsia" w:hAnsiTheme="minorHAnsi" w:cstheme="minorBidi"/>
          <w:b w:val="0"/>
          <w:i w:val="0"/>
          <w:noProof/>
          <w:sz w:val="22"/>
          <w:szCs w:val="22"/>
        </w:rPr>
      </w:pPr>
      <w:r>
        <w:rPr>
          <w:noProof/>
        </w:rPr>
        <w:t>C.II.2.2</w:t>
      </w:r>
      <w:r>
        <w:rPr>
          <w:rFonts w:asciiTheme="minorHAnsi" w:eastAsiaTheme="minorEastAsia" w:hAnsiTheme="minorHAnsi" w:cstheme="minorBidi"/>
          <w:b w:val="0"/>
          <w:i w:val="0"/>
          <w:noProof/>
          <w:sz w:val="22"/>
          <w:szCs w:val="22"/>
        </w:rPr>
        <w:tab/>
      </w:r>
      <w:r>
        <w:rPr>
          <w:noProof/>
        </w:rPr>
        <w:t>Rozpis rozpočtu PŘO v roce 2019</w:t>
      </w:r>
      <w:r>
        <w:rPr>
          <w:noProof/>
        </w:rPr>
        <w:tab/>
      </w:r>
      <w:r>
        <w:rPr>
          <w:noProof/>
        </w:rPr>
        <w:fldChar w:fldCharType="begin"/>
      </w:r>
      <w:r>
        <w:rPr>
          <w:noProof/>
        </w:rPr>
        <w:instrText xml:space="preserve"> PAGEREF _Toc5968854 \h </w:instrText>
      </w:r>
      <w:r>
        <w:rPr>
          <w:noProof/>
        </w:rPr>
      </w:r>
      <w:r>
        <w:rPr>
          <w:noProof/>
        </w:rPr>
        <w:fldChar w:fldCharType="separate"/>
      </w:r>
      <w:r w:rsidR="00C04B69">
        <w:rPr>
          <w:noProof/>
        </w:rPr>
        <w:t>58</w:t>
      </w:r>
      <w:r>
        <w:rPr>
          <w:noProof/>
        </w:rPr>
        <w:fldChar w:fldCharType="end"/>
      </w:r>
    </w:p>
    <w:p w14:paraId="079C301B" w14:textId="77777777" w:rsidR="008F55DA" w:rsidRDefault="008F55DA">
      <w:pPr>
        <w:pStyle w:val="Obsah4"/>
        <w:rPr>
          <w:rFonts w:asciiTheme="minorHAnsi" w:eastAsiaTheme="minorEastAsia" w:hAnsiTheme="minorHAnsi" w:cstheme="minorBidi"/>
          <w:b w:val="0"/>
          <w:i w:val="0"/>
          <w:noProof/>
          <w:sz w:val="22"/>
          <w:szCs w:val="22"/>
        </w:rPr>
      </w:pPr>
      <w:r>
        <w:rPr>
          <w:noProof/>
        </w:rPr>
        <w:t>C.II.2.3</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_Toc5968855 \h </w:instrText>
      </w:r>
      <w:r>
        <w:rPr>
          <w:noProof/>
        </w:rPr>
      </w:r>
      <w:r>
        <w:rPr>
          <w:noProof/>
        </w:rPr>
        <w:fldChar w:fldCharType="separate"/>
      </w:r>
      <w:r w:rsidR="00C04B69">
        <w:rPr>
          <w:noProof/>
        </w:rPr>
        <w:t>60</w:t>
      </w:r>
      <w:r>
        <w:rPr>
          <w:noProof/>
        </w:rPr>
        <w:fldChar w:fldCharType="end"/>
      </w:r>
    </w:p>
    <w:p w14:paraId="0DEE1E6E" w14:textId="77777777" w:rsidR="008F55DA" w:rsidRDefault="008F55DA">
      <w:pPr>
        <w:pStyle w:val="Obsah2"/>
        <w:rPr>
          <w:rFonts w:asciiTheme="minorHAnsi" w:eastAsiaTheme="minorEastAsia" w:hAnsiTheme="minorHAnsi" w:cstheme="minorBidi"/>
          <w:b w:val="0"/>
          <w:bCs w:val="0"/>
          <w:noProof/>
          <w:szCs w:val="22"/>
        </w:rPr>
      </w:pPr>
      <w:r>
        <w:rPr>
          <w:noProof/>
        </w:rPr>
        <w:lastRenderedPageBreak/>
        <w:t>C.III</w:t>
      </w:r>
      <w:r>
        <w:rPr>
          <w:rFonts w:asciiTheme="minorHAnsi" w:eastAsiaTheme="minorEastAsia" w:hAnsiTheme="minorHAnsi" w:cstheme="minorBidi"/>
          <w:b w:val="0"/>
          <w:bCs w:val="0"/>
          <w:noProof/>
          <w:szCs w:val="22"/>
        </w:rPr>
        <w:tab/>
      </w:r>
      <w:r>
        <w:rPr>
          <w:noProof/>
        </w:rPr>
        <w:t>Podpora činnosti v oblasti mládeže</w:t>
      </w:r>
      <w:r>
        <w:rPr>
          <w:noProof/>
        </w:rPr>
        <w:tab/>
      </w:r>
      <w:r>
        <w:rPr>
          <w:noProof/>
        </w:rPr>
        <w:fldChar w:fldCharType="begin"/>
      </w:r>
      <w:r>
        <w:rPr>
          <w:noProof/>
        </w:rPr>
        <w:instrText xml:space="preserve"> PAGEREF _Toc5968856 \h </w:instrText>
      </w:r>
      <w:r>
        <w:rPr>
          <w:noProof/>
        </w:rPr>
      </w:r>
      <w:r>
        <w:rPr>
          <w:noProof/>
        </w:rPr>
        <w:fldChar w:fldCharType="separate"/>
      </w:r>
      <w:r w:rsidR="00C04B69">
        <w:rPr>
          <w:noProof/>
        </w:rPr>
        <w:t>63</w:t>
      </w:r>
      <w:r>
        <w:rPr>
          <w:noProof/>
        </w:rPr>
        <w:fldChar w:fldCharType="end"/>
      </w:r>
    </w:p>
    <w:p w14:paraId="0312124B" w14:textId="77777777" w:rsidR="008F55DA" w:rsidRDefault="008F55DA">
      <w:pPr>
        <w:pStyle w:val="Obsah3"/>
        <w:rPr>
          <w:rFonts w:asciiTheme="minorHAnsi" w:eastAsiaTheme="minorEastAsia" w:hAnsiTheme="minorHAnsi" w:cstheme="minorBidi"/>
          <w:b w:val="0"/>
          <w:noProof/>
          <w:sz w:val="22"/>
          <w:szCs w:val="22"/>
        </w:rPr>
      </w:pPr>
      <w:r>
        <w:rPr>
          <w:noProof/>
        </w:rPr>
        <w:t>C.III.1</w:t>
      </w:r>
      <w:r>
        <w:rPr>
          <w:rFonts w:asciiTheme="minorHAnsi" w:eastAsiaTheme="minorEastAsia" w:hAnsiTheme="minorHAnsi" w:cstheme="minorBidi"/>
          <w:b w:val="0"/>
          <w:noProof/>
          <w:sz w:val="22"/>
          <w:szCs w:val="22"/>
        </w:rPr>
        <w:tab/>
      </w:r>
      <w:r>
        <w:rPr>
          <w:noProof/>
        </w:rPr>
        <w:t>Neinvestiční dotace neziskovým a podobným organizacím</w:t>
      </w:r>
      <w:r>
        <w:rPr>
          <w:noProof/>
        </w:rPr>
        <w:tab/>
      </w:r>
      <w:r>
        <w:rPr>
          <w:noProof/>
        </w:rPr>
        <w:fldChar w:fldCharType="begin"/>
      </w:r>
      <w:r>
        <w:rPr>
          <w:noProof/>
        </w:rPr>
        <w:instrText xml:space="preserve"> PAGEREF _Toc5968857 \h </w:instrText>
      </w:r>
      <w:r>
        <w:rPr>
          <w:noProof/>
        </w:rPr>
      </w:r>
      <w:r>
        <w:rPr>
          <w:noProof/>
        </w:rPr>
        <w:fldChar w:fldCharType="separate"/>
      </w:r>
      <w:r w:rsidR="00C04B69">
        <w:rPr>
          <w:noProof/>
        </w:rPr>
        <w:t>63</w:t>
      </w:r>
      <w:r>
        <w:rPr>
          <w:noProof/>
        </w:rPr>
        <w:fldChar w:fldCharType="end"/>
      </w:r>
    </w:p>
    <w:p w14:paraId="675480CA" w14:textId="77777777" w:rsidR="008F55DA" w:rsidRDefault="008F55DA">
      <w:pPr>
        <w:pStyle w:val="Obsah3"/>
        <w:rPr>
          <w:rFonts w:asciiTheme="minorHAnsi" w:eastAsiaTheme="minorEastAsia" w:hAnsiTheme="minorHAnsi" w:cstheme="minorBidi"/>
          <w:b w:val="0"/>
          <w:noProof/>
          <w:sz w:val="22"/>
          <w:szCs w:val="22"/>
        </w:rPr>
      </w:pPr>
      <w:r>
        <w:rPr>
          <w:noProof/>
        </w:rPr>
        <w:t>C.III.2</w:t>
      </w:r>
      <w:r>
        <w:rPr>
          <w:rFonts w:asciiTheme="minorHAnsi" w:eastAsiaTheme="minorEastAsia" w:hAnsiTheme="minorHAnsi" w:cstheme="minorBidi"/>
          <w:b w:val="0"/>
          <w:noProof/>
          <w:sz w:val="22"/>
          <w:szCs w:val="22"/>
        </w:rPr>
        <w:tab/>
      </w:r>
      <w:r>
        <w:rPr>
          <w:noProof/>
        </w:rPr>
        <w:t>Dotace na zabezpečení ostatních soutěží mimo OPŘO</w:t>
      </w:r>
      <w:r>
        <w:rPr>
          <w:noProof/>
        </w:rPr>
        <w:tab/>
      </w:r>
      <w:r>
        <w:rPr>
          <w:noProof/>
        </w:rPr>
        <w:fldChar w:fldCharType="begin"/>
      </w:r>
      <w:r>
        <w:rPr>
          <w:noProof/>
        </w:rPr>
        <w:instrText xml:space="preserve"> PAGEREF _Toc5968858 \h </w:instrText>
      </w:r>
      <w:r>
        <w:rPr>
          <w:noProof/>
        </w:rPr>
      </w:r>
      <w:r>
        <w:rPr>
          <w:noProof/>
        </w:rPr>
        <w:fldChar w:fldCharType="separate"/>
      </w:r>
      <w:r w:rsidR="00C04B69">
        <w:rPr>
          <w:noProof/>
        </w:rPr>
        <w:t>64</w:t>
      </w:r>
      <w:r>
        <w:rPr>
          <w:noProof/>
        </w:rPr>
        <w:fldChar w:fldCharType="end"/>
      </w:r>
    </w:p>
    <w:p w14:paraId="2FDDB268" w14:textId="77777777" w:rsidR="008F55DA" w:rsidRDefault="008F55DA">
      <w:pPr>
        <w:pStyle w:val="Obsah3"/>
        <w:rPr>
          <w:rFonts w:asciiTheme="minorHAnsi" w:eastAsiaTheme="minorEastAsia" w:hAnsiTheme="minorHAnsi" w:cstheme="minorBidi"/>
          <w:b w:val="0"/>
          <w:noProof/>
          <w:sz w:val="22"/>
          <w:szCs w:val="22"/>
        </w:rPr>
      </w:pPr>
      <w:r>
        <w:rPr>
          <w:noProof/>
        </w:rPr>
        <w:t>C.III.3</w:t>
      </w:r>
      <w:r>
        <w:rPr>
          <w:rFonts w:asciiTheme="minorHAnsi" w:eastAsiaTheme="minorEastAsia" w:hAnsiTheme="minorHAnsi" w:cstheme="minorBidi"/>
          <w:b w:val="0"/>
          <w:noProof/>
          <w:sz w:val="22"/>
          <w:szCs w:val="22"/>
        </w:rPr>
        <w:tab/>
      </w:r>
      <w:r>
        <w:rPr>
          <w:noProof/>
        </w:rPr>
        <w:t>Výdaje na programové financování</w:t>
      </w:r>
      <w:r>
        <w:rPr>
          <w:noProof/>
        </w:rPr>
        <w:tab/>
      </w:r>
      <w:r>
        <w:rPr>
          <w:noProof/>
        </w:rPr>
        <w:fldChar w:fldCharType="begin"/>
      </w:r>
      <w:r>
        <w:rPr>
          <w:noProof/>
        </w:rPr>
        <w:instrText xml:space="preserve"> PAGEREF _Toc5968859 \h </w:instrText>
      </w:r>
      <w:r>
        <w:rPr>
          <w:noProof/>
        </w:rPr>
      </w:r>
      <w:r>
        <w:rPr>
          <w:noProof/>
        </w:rPr>
        <w:fldChar w:fldCharType="separate"/>
      </w:r>
      <w:r w:rsidR="00C04B69">
        <w:rPr>
          <w:noProof/>
        </w:rPr>
        <w:t>64</w:t>
      </w:r>
      <w:r>
        <w:rPr>
          <w:noProof/>
        </w:rPr>
        <w:fldChar w:fldCharType="end"/>
      </w:r>
    </w:p>
    <w:p w14:paraId="67121546" w14:textId="77777777" w:rsidR="008F55DA" w:rsidRDefault="008F55DA">
      <w:pPr>
        <w:pStyle w:val="Obsah2"/>
        <w:rPr>
          <w:rFonts w:asciiTheme="minorHAnsi" w:eastAsiaTheme="minorEastAsia" w:hAnsiTheme="minorHAnsi" w:cstheme="minorBidi"/>
          <w:b w:val="0"/>
          <w:bCs w:val="0"/>
          <w:noProof/>
          <w:szCs w:val="22"/>
        </w:rPr>
      </w:pPr>
      <w:r>
        <w:rPr>
          <w:noProof/>
        </w:rPr>
        <w:t>C.IV</w:t>
      </w:r>
      <w:r>
        <w:rPr>
          <w:rFonts w:asciiTheme="minorHAnsi" w:eastAsiaTheme="minorEastAsia" w:hAnsiTheme="minorHAnsi" w:cstheme="minorBidi"/>
          <w:b w:val="0"/>
          <w:bCs w:val="0"/>
          <w:noProof/>
          <w:szCs w:val="22"/>
        </w:rPr>
        <w:tab/>
      </w:r>
      <w:r>
        <w:rPr>
          <w:noProof/>
        </w:rPr>
        <w:t>Podpora činnosti v oblasti sportu</w:t>
      </w:r>
      <w:r>
        <w:rPr>
          <w:noProof/>
        </w:rPr>
        <w:tab/>
      </w:r>
      <w:r>
        <w:rPr>
          <w:noProof/>
        </w:rPr>
        <w:fldChar w:fldCharType="begin"/>
      </w:r>
      <w:r>
        <w:rPr>
          <w:noProof/>
        </w:rPr>
        <w:instrText xml:space="preserve"> PAGEREF _Toc5968860 \h </w:instrText>
      </w:r>
      <w:r>
        <w:rPr>
          <w:noProof/>
        </w:rPr>
      </w:r>
      <w:r>
        <w:rPr>
          <w:noProof/>
        </w:rPr>
        <w:fldChar w:fldCharType="separate"/>
      </w:r>
      <w:r w:rsidR="00C04B69">
        <w:rPr>
          <w:noProof/>
        </w:rPr>
        <w:t>65</w:t>
      </w:r>
      <w:r>
        <w:rPr>
          <w:noProof/>
        </w:rPr>
        <w:fldChar w:fldCharType="end"/>
      </w:r>
    </w:p>
    <w:p w14:paraId="3BC701EF" w14:textId="77777777" w:rsidR="008F55DA" w:rsidRDefault="008F55DA">
      <w:pPr>
        <w:pStyle w:val="Obsah3"/>
        <w:rPr>
          <w:rFonts w:asciiTheme="minorHAnsi" w:eastAsiaTheme="minorEastAsia" w:hAnsiTheme="minorHAnsi" w:cstheme="minorBidi"/>
          <w:b w:val="0"/>
          <w:noProof/>
          <w:sz w:val="22"/>
          <w:szCs w:val="22"/>
        </w:rPr>
      </w:pPr>
      <w:r>
        <w:rPr>
          <w:noProof/>
        </w:rPr>
        <w:t>C.IV.1</w:t>
      </w:r>
      <w:r>
        <w:rPr>
          <w:rFonts w:asciiTheme="minorHAnsi" w:eastAsiaTheme="minorEastAsia" w:hAnsiTheme="minorHAnsi" w:cstheme="minorBidi"/>
          <w:b w:val="0"/>
          <w:noProof/>
          <w:sz w:val="22"/>
          <w:szCs w:val="22"/>
        </w:rPr>
        <w:tab/>
      </w:r>
      <w:r>
        <w:rPr>
          <w:noProof/>
        </w:rPr>
        <w:t>Sportovní reprezentace</w:t>
      </w:r>
      <w:r>
        <w:rPr>
          <w:noProof/>
        </w:rPr>
        <w:tab/>
      </w:r>
      <w:r>
        <w:rPr>
          <w:noProof/>
        </w:rPr>
        <w:fldChar w:fldCharType="begin"/>
      </w:r>
      <w:r>
        <w:rPr>
          <w:noProof/>
        </w:rPr>
        <w:instrText xml:space="preserve"> PAGEREF _Toc5968861 \h </w:instrText>
      </w:r>
      <w:r>
        <w:rPr>
          <w:noProof/>
        </w:rPr>
      </w:r>
      <w:r>
        <w:rPr>
          <w:noProof/>
        </w:rPr>
        <w:fldChar w:fldCharType="separate"/>
      </w:r>
      <w:r w:rsidR="00C04B69">
        <w:rPr>
          <w:noProof/>
        </w:rPr>
        <w:t>65</w:t>
      </w:r>
      <w:r>
        <w:rPr>
          <w:noProof/>
        </w:rPr>
        <w:fldChar w:fldCharType="end"/>
      </w:r>
    </w:p>
    <w:p w14:paraId="5CA2100E" w14:textId="77777777" w:rsidR="008F55DA" w:rsidRDefault="008F55DA">
      <w:pPr>
        <w:pStyle w:val="Obsah3"/>
        <w:rPr>
          <w:rFonts w:asciiTheme="minorHAnsi" w:eastAsiaTheme="minorEastAsia" w:hAnsiTheme="minorHAnsi" w:cstheme="minorBidi"/>
          <w:b w:val="0"/>
          <w:noProof/>
          <w:sz w:val="22"/>
          <w:szCs w:val="22"/>
        </w:rPr>
      </w:pPr>
      <w:r>
        <w:rPr>
          <w:noProof/>
        </w:rPr>
        <w:t>C.IV.2</w:t>
      </w:r>
      <w:r>
        <w:rPr>
          <w:rFonts w:asciiTheme="minorHAnsi" w:eastAsiaTheme="minorEastAsia" w:hAnsiTheme="minorHAnsi" w:cstheme="minorBidi"/>
          <w:b w:val="0"/>
          <w:noProof/>
          <w:sz w:val="22"/>
          <w:szCs w:val="22"/>
        </w:rPr>
        <w:tab/>
      </w:r>
      <w:r>
        <w:rPr>
          <w:noProof/>
        </w:rPr>
        <w:t>Všeobecná sportovní činnost</w:t>
      </w:r>
      <w:r>
        <w:rPr>
          <w:noProof/>
        </w:rPr>
        <w:tab/>
      </w:r>
      <w:r>
        <w:rPr>
          <w:noProof/>
        </w:rPr>
        <w:fldChar w:fldCharType="begin"/>
      </w:r>
      <w:r>
        <w:rPr>
          <w:noProof/>
        </w:rPr>
        <w:instrText xml:space="preserve"> PAGEREF _Toc5968862 \h </w:instrText>
      </w:r>
      <w:r>
        <w:rPr>
          <w:noProof/>
        </w:rPr>
      </w:r>
      <w:r>
        <w:rPr>
          <w:noProof/>
        </w:rPr>
        <w:fldChar w:fldCharType="separate"/>
      </w:r>
      <w:r w:rsidR="00C04B69">
        <w:rPr>
          <w:noProof/>
        </w:rPr>
        <w:t>66</w:t>
      </w:r>
      <w:r>
        <w:rPr>
          <w:noProof/>
        </w:rPr>
        <w:fldChar w:fldCharType="end"/>
      </w:r>
    </w:p>
    <w:p w14:paraId="504EC7F2" w14:textId="77777777" w:rsidR="008F55DA" w:rsidRDefault="008F55DA">
      <w:pPr>
        <w:pStyle w:val="Obsah3"/>
        <w:rPr>
          <w:rFonts w:asciiTheme="minorHAnsi" w:eastAsiaTheme="minorEastAsia" w:hAnsiTheme="minorHAnsi" w:cstheme="minorBidi"/>
          <w:b w:val="0"/>
          <w:noProof/>
          <w:sz w:val="22"/>
          <w:szCs w:val="22"/>
        </w:rPr>
      </w:pPr>
      <w:r>
        <w:rPr>
          <w:noProof/>
        </w:rPr>
        <w:t>C.IV.3</w:t>
      </w:r>
      <w:r>
        <w:rPr>
          <w:rFonts w:asciiTheme="minorHAnsi" w:eastAsiaTheme="minorEastAsia" w:hAnsiTheme="minorHAnsi" w:cstheme="minorBidi"/>
          <w:b w:val="0"/>
          <w:noProof/>
          <w:sz w:val="22"/>
          <w:szCs w:val="22"/>
        </w:rPr>
        <w:tab/>
      </w:r>
      <w:r>
        <w:rPr>
          <w:noProof/>
        </w:rPr>
        <w:t>Výdaje na programové financování</w:t>
      </w:r>
      <w:r>
        <w:rPr>
          <w:noProof/>
        </w:rPr>
        <w:tab/>
      </w:r>
      <w:r>
        <w:rPr>
          <w:noProof/>
        </w:rPr>
        <w:fldChar w:fldCharType="begin"/>
      </w:r>
      <w:r>
        <w:rPr>
          <w:noProof/>
        </w:rPr>
        <w:instrText xml:space="preserve"> PAGEREF _Toc5968863 \h </w:instrText>
      </w:r>
      <w:r>
        <w:rPr>
          <w:noProof/>
        </w:rPr>
      </w:r>
      <w:r>
        <w:rPr>
          <w:noProof/>
        </w:rPr>
        <w:fldChar w:fldCharType="separate"/>
      </w:r>
      <w:r w:rsidR="00C04B69">
        <w:rPr>
          <w:noProof/>
        </w:rPr>
        <w:t>66</w:t>
      </w:r>
      <w:r>
        <w:rPr>
          <w:noProof/>
        </w:rPr>
        <w:fldChar w:fldCharType="end"/>
      </w:r>
    </w:p>
    <w:p w14:paraId="7959671A" w14:textId="77777777" w:rsidR="008F55DA" w:rsidRDefault="008F55DA">
      <w:pPr>
        <w:pStyle w:val="Obsah2"/>
        <w:rPr>
          <w:rFonts w:asciiTheme="minorHAnsi" w:eastAsiaTheme="minorEastAsia" w:hAnsiTheme="minorHAnsi" w:cstheme="minorBidi"/>
          <w:b w:val="0"/>
          <w:bCs w:val="0"/>
          <w:noProof/>
          <w:szCs w:val="22"/>
        </w:rPr>
      </w:pPr>
      <w:r>
        <w:rPr>
          <w:noProof/>
        </w:rPr>
        <w:t>C.V</w:t>
      </w:r>
      <w:r>
        <w:rPr>
          <w:rFonts w:asciiTheme="minorHAnsi" w:eastAsiaTheme="minorEastAsia" w:hAnsiTheme="minorHAnsi" w:cstheme="minorBidi"/>
          <w:b w:val="0"/>
          <w:bCs w:val="0"/>
          <w:noProof/>
          <w:szCs w:val="22"/>
        </w:rPr>
        <w:tab/>
      </w:r>
      <w:r>
        <w:rPr>
          <w:noProof/>
        </w:rPr>
        <w:t>Výdaje na programy spolufinancované z rozpočtu EU a ostatní zahraniční programy mimo VVI</w:t>
      </w:r>
      <w:r>
        <w:rPr>
          <w:noProof/>
        </w:rPr>
        <w:tab/>
      </w:r>
      <w:r>
        <w:rPr>
          <w:noProof/>
        </w:rPr>
        <w:fldChar w:fldCharType="begin"/>
      </w:r>
      <w:r>
        <w:rPr>
          <w:noProof/>
        </w:rPr>
        <w:instrText xml:space="preserve"> PAGEREF _Toc5968864 \h </w:instrText>
      </w:r>
      <w:r>
        <w:rPr>
          <w:noProof/>
        </w:rPr>
      </w:r>
      <w:r>
        <w:rPr>
          <w:noProof/>
        </w:rPr>
        <w:fldChar w:fldCharType="separate"/>
      </w:r>
      <w:r w:rsidR="00C04B69">
        <w:rPr>
          <w:noProof/>
        </w:rPr>
        <w:t>69</w:t>
      </w:r>
      <w:r>
        <w:rPr>
          <w:noProof/>
        </w:rPr>
        <w:fldChar w:fldCharType="end"/>
      </w:r>
    </w:p>
    <w:p w14:paraId="75D548A1" w14:textId="77777777" w:rsidR="008F55DA" w:rsidRDefault="008F55DA">
      <w:pPr>
        <w:pStyle w:val="Obsah3"/>
        <w:rPr>
          <w:rFonts w:asciiTheme="minorHAnsi" w:eastAsiaTheme="minorEastAsia" w:hAnsiTheme="minorHAnsi" w:cstheme="minorBidi"/>
          <w:b w:val="0"/>
          <w:noProof/>
          <w:sz w:val="22"/>
          <w:szCs w:val="22"/>
        </w:rPr>
      </w:pPr>
      <w:r>
        <w:rPr>
          <w:noProof/>
        </w:rPr>
        <w:t>C.V.1</w:t>
      </w:r>
      <w:r>
        <w:rPr>
          <w:rFonts w:asciiTheme="minorHAnsi" w:eastAsiaTheme="minorEastAsia" w:hAnsiTheme="minorHAnsi" w:cstheme="minorBidi"/>
          <w:b w:val="0"/>
          <w:noProof/>
          <w:sz w:val="22"/>
          <w:szCs w:val="22"/>
        </w:rPr>
        <w:tab/>
      </w:r>
      <w:r>
        <w:rPr>
          <w:noProof/>
        </w:rPr>
        <w:t>OP VVV mimo VVI</w:t>
      </w:r>
      <w:r>
        <w:rPr>
          <w:noProof/>
        </w:rPr>
        <w:tab/>
      </w:r>
      <w:r>
        <w:rPr>
          <w:noProof/>
        </w:rPr>
        <w:fldChar w:fldCharType="begin"/>
      </w:r>
      <w:r>
        <w:rPr>
          <w:noProof/>
        </w:rPr>
        <w:instrText xml:space="preserve"> PAGEREF _Toc5968865 \h </w:instrText>
      </w:r>
      <w:r>
        <w:rPr>
          <w:noProof/>
        </w:rPr>
      </w:r>
      <w:r>
        <w:rPr>
          <w:noProof/>
        </w:rPr>
        <w:fldChar w:fldCharType="separate"/>
      </w:r>
      <w:r w:rsidR="00C04B69">
        <w:rPr>
          <w:noProof/>
        </w:rPr>
        <w:t>69</w:t>
      </w:r>
      <w:r>
        <w:rPr>
          <w:noProof/>
        </w:rPr>
        <w:fldChar w:fldCharType="end"/>
      </w:r>
    </w:p>
    <w:p w14:paraId="12502FD1" w14:textId="77777777" w:rsidR="008F55DA" w:rsidRDefault="008F55DA">
      <w:pPr>
        <w:pStyle w:val="Obsah3"/>
        <w:rPr>
          <w:rFonts w:asciiTheme="minorHAnsi" w:eastAsiaTheme="minorEastAsia" w:hAnsiTheme="minorHAnsi" w:cstheme="minorBidi"/>
          <w:b w:val="0"/>
          <w:noProof/>
          <w:sz w:val="22"/>
          <w:szCs w:val="22"/>
        </w:rPr>
      </w:pPr>
      <w:r>
        <w:rPr>
          <w:noProof/>
        </w:rPr>
        <w:t>C.V.2</w:t>
      </w:r>
      <w:r>
        <w:rPr>
          <w:rFonts w:asciiTheme="minorHAnsi" w:eastAsiaTheme="minorEastAsia" w:hAnsiTheme="minorHAnsi" w:cstheme="minorBidi"/>
          <w:b w:val="0"/>
          <w:noProof/>
          <w:sz w:val="22"/>
          <w:szCs w:val="22"/>
        </w:rPr>
        <w:tab/>
      </w:r>
      <w:r>
        <w:rPr>
          <w:noProof/>
        </w:rPr>
        <w:t>Operační program Zaměstnanost</w:t>
      </w:r>
      <w:r>
        <w:rPr>
          <w:noProof/>
        </w:rPr>
        <w:tab/>
      </w:r>
      <w:r>
        <w:rPr>
          <w:noProof/>
        </w:rPr>
        <w:fldChar w:fldCharType="begin"/>
      </w:r>
      <w:r>
        <w:rPr>
          <w:noProof/>
        </w:rPr>
        <w:instrText xml:space="preserve"> PAGEREF _Toc5968866 \h </w:instrText>
      </w:r>
      <w:r>
        <w:rPr>
          <w:noProof/>
        </w:rPr>
      </w:r>
      <w:r>
        <w:rPr>
          <w:noProof/>
        </w:rPr>
        <w:fldChar w:fldCharType="separate"/>
      </w:r>
      <w:r w:rsidR="00C04B69">
        <w:rPr>
          <w:noProof/>
        </w:rPr>
        <w:t>72</w:t>
      </w:r>
      <w:r>
        <w:rPr>
          <w:noProof/>
        </w:rPr>
        <w:fldChar w:fldCharType="end"/>
      </w:r>
    </w:p>
    <w:p w14:paraId="29472AFC" w14:textId="77777777" w:rsidR="008F55DA" w:rsidRDefault="008F55DA">
      <w:pPr>
        <w:pStyle w:val="Obsah4"/>
        <w:rPr>
          <w:rFonts w:asciiTheme="minorHAnsi" w:eastAsiaTheme="minorEastAsia" w:hAnsiTheme="minorHAnsi" w:cstheme="minorBidi"/>
          <w:b w:val="0"/>
          <w:i w:val="0"/>
          <w:noProof/>
          <w:sz w:val="22"/>
          <w:szCs w:val="22"/>
        </w:rPr>
      </w:pPr>
      <w:r>
        <w:rPr>
          <w:noProof/>
        </w:rPr>
        <w:t>C.V.2.1</w:t>
      </w:r>
      <w:r>
        <w:rPr>
          <w:rFonts w:asciiTheme="minorHAnsi" w:eastAsiaTheme="minorEastAsia" w:hAnsiTheme="minorHAnsi" w:cstheme="minorBidi"/>
          <w:b w:val="0"/>
          <w:i w:val="0"/>
          <w:noProof/>
          <w:sz w:val="22"/>
          <w:szCs w:val="22"/>
        </w:rPr>
        <w:tab/>
      </w:r>
      <w:r>
        <w:rPr>
          <w:noProof/>
        </w:rPr>
        <w:t>NÚV</w:t>
      </w:r>
      <w:r>
        <w:rPr>
          <w:noProof/>
        </w:rPr>
        <w:tab/>
      </w:r>
      <w:r>
        <w:rPr>
          <w:noProof/>
        </w:rPr>
        <w:fldChar w:fldCharType="begin"/>
      </w:r>
      <w:r>
        <w:rPr>
          <w:noProof/>
        </w:rPr>
        <w:instrText xml:space="preserve"> PAGEREF _Toc5968867 \h </w:instrText>
      </w:r>
      <w:r>
        <w:rPr>
          <w:noProof/>
        </w:rPr>
      </w:r>
      <w:r>
        <w:rPr>
          <w:noProof/>
        </w:rPr>
        <w:fldChar w:fldCharType="separate"/>
      </w:r>
      <w:r w:rsidR="00C04B69">
        <w:rPr>
          <w:noProof/>
        </w:rPr>
        <w:t>72</w:t>
      </w:r>
      <w:r>
        <w:rPr>
          <w:noProof/>
        </w:rPr>
        <w:fldChar w:fldCharType="end"/>
      </w:r>
    </w:p>
    <w:p w14:paraId="2A48D905" w14:textId="77777777" w:rsidR="008F55DA" w:rsidRDefault="008F55DA">
      <w:pPr>
        <w:pStyle w:val="Obsah4"/>
        <w:rPr>
          <w:rFonts w:asciiTheme="minorHAnsi" w:eastAsiaTheme="minorEastAsia" w:hAnsiTheme="minorHAnsi" w:cstheme="minorBidi"/>
          <w:b w:val="0"/>
          <w:i w:val="0"/>
          <w:noProof/>
          <w:sz w:val="22"/>
          <w:szCs w:val="22"/>
        </w:rPr>
      </w:pPr>
      <w:r>
        <w:rPr>
          <w:noProof/>
        </w:rPr>
        <w:t>C.V.2.2</w:t>
      </w:r>
      <w:r>
        <w:rPr>
          <w:rFonts w:asciiTheme="minorHAnsi" w:eastAsiaTheme="minorEastAsia" w:hAnsiTheme="minorHAnsi" w:cstheme="minorBidi"/>
          <w:b w:val="0"/>
          <w:i w:val="0"/>
          <w:noProof/>
          <w:sz w:val="22"/>
          <w:szCs w:val="22"/>
        </w:rPr>
        <w:tab/>
      </w:r>
      <w:r>
        <w:rPr>
          <w:noProof/>
        </w:rPr>
        <w:t>Operační program Zaměstnanost programové období 2014-2020 – ostatní projekty</w:t>
      </w:r>
      <w:r>
        <w:rPr>
          <w:noProof/>
        </w:rPr>
        <w:tab/>
      </w:r>
      <w:r>
        <w:rPr>
          <w:noProof/>
        </w:rPr>
        <w:fldChar w:fldCharType="begin"/>
      </w:r>
      <w:r>
        <w:rPr>
          <w:noProof/>
        </w:rPr>
        <w:instrText xml:space="preserve"> PAGEREF _Toc5968868 \h </w:instrText>
      </w:r>
      <w:r>
        <w:rPr>
          <w:noProof/>
        </w:rPr>
      </w:r>
      <w:r>
        <w:rPr>
          <w:noProof/>
        </w:rPr>
        <w:fldChar w:fldCharType="separate"/>
      </w:r>
      <w:r w:rsidR="00C04B69">
        <w:rPr>
          <w:noProof/>
        </w:rPr>
        <w:t>73</w:t>
      </w:r>
      <w:r>
        <w:rPr>
          <w:noProof/>
        </w:rPr>
        <w:fldChar w:fldCharType="end"/>
      </w:r>
    </w:p>
    <w:p w14:paraId="47BA55A1" w14:textId="77777777" w:rsidR="008F55DA" w:rsidRDefault="008F55DA">
      <w:pPr>
        <w:pStyle w:val="Obsah3"/>
        <w:rPr>
          <w:rFonts w:asciiTheme="minorHAnsi" w:eastAsiaTheme="minorEastAsia" w:hAnsiTheme="minorHAnsi" w:cstheme="minorBidi"/>
          <w:b w:val="0"/>
          <w:noProof/>
          <w:sz w:val="22"/>
          <w:szCs w:val="22"/>
        </w:rPr>
      </w:pPr>
      <w:r>
        <w:rPr>
          <w:noProof/>
        </w:rPr>
        <w:t>C.V.3</w:t>
      </w:r>
      <w:r>
        <w:rPr>
          <w:rFonts w:asciiTheme="minorHAnsi" w:eastAsiaTheme="minorEastAsia" w:hAnsiTheme="minorHAnsi" w:cstheme="minorBidi"/>
          <w:b w:val="0"/>
          <w:noProof/>
          <w:sz w:val="22"/>
          <w:szCs w:val="22"/>
        </w:rPr>
        <w:tab/>
      </w:r>
      <w:r>
        <w:rPr>
          <w:noProof/>
        </w:rPr>
        <w:t>Výdaje na Finanční mechanismus EHP pro programové období 2014-2021 mimo VVI</w:t>
      </w:r>
      <w:r>
        <w:rPr>
          <w:noProof/>
        </w:rPr>
        <w:tab/>
      </w:r>
      <w:r>
        <w:rPr>
          <w:noProof/>
        </w:rPr>
        <w:fldChar w:fldCharType="begin"/>
      </w:r>
      <w:r>
        <w:rPr>
          <w:noProof/>
        </w:rPr>
        <w:instrText xml:space="preserve"> PAGEREF _Toc5968869 \h </w:instrText>
      </w:r>
      <w:r>
        <w:rPr>
          <w:noProof/>
        </w:rPr>
      </w:r>
      <w:r>
        <w:rPr>
          <w:noProof/>
        </w:rPr>
        <w:fldChar w:fldCharType="separate"/>
      </w:r>
      <w:r w:rsidR="00C04B69">
        <w:rPr>
          <w:noProof/>
        </w:rPr>
        <w:t>75</w:t>
      </w:r>
      <w:r>
        <w:rPr>
          <w:noProof/>
        </w:rPr>
        <w:fldChar w:fldCharType="end"/>
      </w:r>
    </w:p>
    <w:p w14:paraId="5273DFE6" w14:textId="77777777" w:rsidR="008F55DA" w:rsidRDefault="008F55DA">
      <w:pPr>
        <w:pStyle w:val="Obsah3"/>
        <w:rPr>
          <w:rFonts w:asciiTheme="minorHAnsi" w:eastAsiaTheme="minorEastAsia" w:hAnsiTheme="minorHAnsi" w:cstheme="minorBidi"/>
          <w:b w:val="0"/>
          <w:noProof/>
          <w:sz w:val="22"/>
          <w:szCs w:val="22"/>
        </w:rPr>
      </w:pPr>
      <w:r>
        <w:rPr>
          <w:noProof/>
        </w:rPr>
        <w:t>C.V.4</w:t>
      </w:r>
      <w:r>
        <w:rPr>
          <w:rFonts w:asciiTheme="minorHAnsi" w:eastAsiaTheme="minorEastAsia" w:hAnsiTheme="minorHAnsi" w:cstheme="minorBidi"/>
          <w:b w:val="0"/>
          <w:noProof/>
          <w:sz w:val="22"/>
          <w:szCs w:val="22"/>
        </w:rPr>
        <w:tab/>
      </w:r>
      <w:r>
        <w:rPr>
          <w:noProof/>
        </w:rPr>
        <w:t>Komunitární program Erasmus+</w:t>
      </w:r>
      <w:r>
        <w:rPr>
          <w:noProof/>
        </w:rPr>
        <w:tab/>
      </w:r>
      <w:r>
        <w:rPr>
          <w:noProof/>
        </w:rPr>
        <w:fldChar w:fldCharType="begin"/>
      </w:r>
      <w:r>
        <w:rPr>
          <w:noProof/>
        </w:rPr>
        <w:instrText xml:space="preserve"> PAGEREF _Toc5968870 \h </w:instrText>
      </w:r>
      <w:r>
        <w:rPr>
          <w:noProof/>
        </w:rPr>
      </w:r>
      <w:r>
        <w:rPr>
          <w:noProof/>
        </w:rPr>
        <w:fldChar w:fldCharType="separate"/>
      </w:r>
      <w:r w:rsidR="00C04B69">
        <w:rPr>
          <w:noProof/>
        </w:rPr>
        <w:t>75</w:t>
      </w:r>
      <w:r>
        <w:rPr>
          <w:noProof/>
        </w:rPr>
        <w:fldChar w:fldCharType="end"/>
      </w:r>
    </w:p>
    <w:p w14:paraId="42614F4C" w14:textId="77777777" w:rsidR="008F55DA" w:rsidRDefault="008F55DA">
      <w:pPr>
        <w:pStyle w:val="Obsah2"/>
        <w:rPr>
          <w:rFonts w:asciiTheme="minorHAnsi" w:eastAsiaTheme="minorEastAsia" w:hAnsiTheme="minorHAnsi" w:cstheme="minorBidi"/>
          <w:b w:val="0"/>
          <w:bCs w:val="0"/>
          <w:noProof/>
          <w:szCs w:val="22"/>
        </w:rPr>
      </w:pPr>
      <w:r>
        <w:rPr>
          <w:noProof/>
        </w:rPr>
        <w:t>C.VI</w:t>
      </w:r>
      <w:r>
        <w:rPr>
          <w:rFonts w:asciiTheme="minorHAnsi" w:eastAsiaTheme="minorEastAsia" w:hAnsiTheme="minorHAnsi" w:cstheme="minorBidi"/>
          <w:b w:val="0"/>
          <w:bCs w:val="0"/>
          <w:noProof/>
          <w:szCs w:val="22"/>
        </w:rPr>
        <w:tab/>
      </w:r>
      <w:r>
        <w:rPr>
          <w:noProof/>
        </w:rPr>
        <w:t>Ostatní výdaje na zabezpečení úkolů resortu</w:t>
      </w:r>
      <w:r>
        <w:rPr>
          <w:noProof/>
        </w:rPr>
        <w:tab/>
      </w:r>
      <w:r>
        <w:rPr>
          <w:noProof/>
        </w:rPr>
        <w:fldChar w:fldCharType="begin"/>
      </w:r>
      <w:r>
        <w:rPr>
          <w:noProof/>
        </w:rPr>
        <w:instrText xml:space="preserve"> PAGEREF _Toc5968871 \h </w:instrText>
      </w:r>
      <w:r>
        <w:rPr>
          <w:noProof/>
        </w:rPr>
      </w:r>
      <w:r>
        <w:rPr>
          <w:noProof/>
        </w:rPr>
        <w:fldChar w:fldCharType="separate"/>
      </w:r>
      <w:r w:rsidR="00C04B69">
        <w:rPr>
          <w:noProof/>
        </w:rPr>
        <w:t>77</w:t>
      </w:r>
      <w:r>
        <w:rPr>
          <w:noProof/>
        </w:rPr>
        <w:fldChar w:fldCharType="end"/>
      </w:r>
    </w:p>
    <w:p w14:paraId="2A2C0129" w14:textId="77777777" w:rsidR="008F55DA" w:rsidRDefault="008F55DA">
      <w:pPr>
        <w:pStyle w:val="Obsah3"/>
        <w:rPr>
          <w:rFonts w:asciiTheme="minorHAnsi" w:eastAsiaTheme="minorEastAsia" w:hAnsiTheme="minorHAnsi" w:cstheme="minorBidi"/>
          <w:b w:val="0"/>
          <w:noProof/>
          <w:sz w:val="22"/>
          <w:szCs w:val="22"/>
        </w:rPr>
      </w:pPr>
      <w:r>
        <w:rPr>
          <w:noProof/>
        </w:rPr>
        <w:t>C.VI.1</w:t>
      </w:r>
      <w:r>
        <w:rPr>
          <w:rFonts w:asciiTheme="minorHAnsi" w:eastAsiaTheme="minorEastAsia" w:hAnsiTheme="minorHAnsi" w:cstheme="minorBidi"/>
          <w:b w:val="0"/>
          <w:noProof/>
          <w:sz w:val="22"/>
          <w:szCs w:val="22"/>
        </w:rPr>
        <w:tab/>
      </w:r>
      <w:r>
        <w:rPr>
          <w:noProof/>
        </w:rPr>
        <w:t>Ostatní přímo řízené organizace, společné úkoly a vybrané ukazatele</w:t>
      </w:r>
      <w:r>
        <w:rPr>
          <w:noProof/>
        </w:rPr>
        <w:tab/>
      </w:r>
      <w:r>
        <w:rPr>
          <w:noProof/>
        </w:rPr>
        <w:fldChar w:fldCharType="begin"/>
      </w:r>
      <w:r>
        <w:rPr>
          <w:noProof/>
        </w:rPr>
        <w:instrText xml:space="preserve"> PAGEREF _Toc5968872 \h </w:instrText>
      </w:r>
      <w:r>
        <w:rPr>
          <w:noProof/>
        </w:rPr>
      </w:r>
      <w:r>
        <w:rPr>
          <w:noProof/>
        </w:rPr>
        <w:fldChar w:fldCharType="separate"/>
      </w:r>
      <w:r w:rsidR="00C04B69">
        <w:rPr>
          <w:noProof/>
        </w:rPr>
        <w:t>77</w:t>
      </w:r>
      <w:r>
        <w:rPr>
          <w:noProof/>
        </w:rPr>
        <w:fldChar w:fldCharType="end"/>
      </w:r>
    </w:p>
    <w:p w14:paraId="7535409B" w14:textId="77777777" w:rsidR="008F55DA" w:rsidRDefault="008F55DA">
      <w:pPr>
        <w:pStyle w:val="Obsah4"/>
        <w:rPr>
          <w:rFonts w:asciiTheme="minorHAnsi" w:eastAsiaTheme="minorEastAsia" w:hAnsiTheme="minorHAnsi" w:cstheme="minorBidi"/>
          <w:b w:val="0"/>
          <w:i w:val="0"/>
          <w:noProof/>
          <w:sz w:val="22"/>
          <w:szCs w:val="22"/>
        </w:rPr>
      </w:pPr>
      <w:r>
        <w:rPr>
          <w:noProof/>
        </w:rPr>
        <w:t>C.VI.1.1</w:t>
      </w:r>
      <w:r>
        <w:rPr>
          <w:rFonts w:asciiTheme="minorHAnsi" w:eastAsiaTheme="minorEastAsia" w:hAnsiTheme="minorHAnsi" w:cstheme="minorBidi"/>
          <w:b w:val="0"/>
          <w:i w:val="0"/>
          <w:noProof/>
          <w:sz w:val="22"/>
          <w:szCs w:val="22"/>
        </w:rPr>
        <w:tab/>
      </w:r>
      <w:r>
        <w:rPr>
          <w:noProof/>
        </w:rPr>
        <w:t>Vlastní (kmenová) činnost OPŘO</w:t>
      </w:r>
      <w:r>
        <w:rPr>
          <w:noProof/>
        </w:rPr>
        <w:tab/>
      </w:r>
      <w:r>
        <w:rPr>
          <w:noProof/>
        </w:rPr>
        <w:fldChar w:fldCharType="begin"/>
      </w:r>
      <w:r>
        <w:rPr>
          <w:noProof/>
        </w:rPr>
        <w:instrText xml:space="preserve"> PAGEREF _Toc5968873 \h </w:instrText>
      </w:r>
      <w:r>
        <w:rPr>
          <w:noProof/>
        </w:rPr>
      </w:r>
      <w:r>
        <w:rPr>
          <w:noProof/>
        </w:rPr>
        <w:fldChar w:fldCharType="separate"/>
      </w:r>
      <w:r w:rsidR="00C04B69">
        <w:rPr>
          <w:noProof/>
        </w:rPr>
        <w:t>80</w:t>
      </w:r>
      <w:r>
        <w:rPr>
          <w:noProof/>
        </w:rPr>
        <w:fldChar w:fldCharType="end"/>
      </w:r>
    </w:p>
    <w:p w14:paraId="16FC7BCA" w14:textId="77777777" w:rsidR="008F55DA" w:rsidRDefault="008F55DA">
      <w:pPr>
        <w:pStyle w:val="Obsah4"/>
        <w:rPr>
          <w:rFonts w:asciiTheme="minorHAnsi" w:eastAsiaTheme="minorEastAsia" w:hAnsiTheme="minorHAnsi" w:cstheme="minorBidi"/>
          <w:b w:val="0"/>
          <w:i w:val="0"/>
          <w:noProof/>
          <w:sz w:val="22"/>
          <w:szCs w:val="22"/>
        </w:rPr>
      </w:pPr>
      <w:r>
        <w:rPr>
          <w:noProof/>
        </w:rPr>
        <w:t>C.VI.1.2</w:t>
      </w:r>
      <w:r>
        <w:rPr>
          <w:rFonts w:asciiTheme="minorHAnsi" w:eastAsiaTheme="minorEastAsia" w:hAnsiTheme="minorHAnsi" w:cstheme="minorBidi"/>
          <w:b w:val="0"/>
          <w:i w:val="0"/>
          <w:noProof/>
          <w:sz w:val="22"/>
          <w:szCs w:val="22"/>
        </w:rPr>
        <w:tab/>
      </w:r>
      <w:r>
        <w:rPr>
          <w:noProof/>
        </w:rPr>
        <w:t>Základní principy pro rozpis rozpočtu – příspěvkové organizace</w:t>
      </w:r>
      <w:r>
        <w:rPr>
          <w:noProof/>
        </w:rPr>
        <w:tab/>
      </w:r>
      <w:r>
        <w:rPr>
          <w:noProof/>
        </w:rPr>
        <w:fldChar w:fldCharType="begin"/>
      </w:r>
      <w:r>
        <w:rPr>
          <w:noProof/>
        </w:rPr>
        <w:instrText xml:space="preserve"> PAGEREF _Toc5968874 \h </w:instrText>
      </w:r>
      <w:r>
        <w:rPr>
          <w:noProof/>
        </w:rPr>
      </w:r>
      <w:r>
        <w:rPr>
          <w:noProof/>
        </w:rPr>
        <w:fldChar w:fldCharType="separate"/>
      </w:r>
      <w:r w:rsidR="00C04B69">
        <w:rPr>
          <w:noProof/>
        </w:rPr>
        <w:t>80</w:t>
      </w:r>
      <w:r>
        <w:rPr>
          <w:noProof/>
        </w:rPr>
        <w:fldChar w:fldCharType="end"/>
      </w:r>
    </w:p>
    <w:p w14:paraId="6F25A310" w14:textId="77777777" w:rsidR="008F55DA" w:rsidRDefault="008F55DA">
      <w:pPr>
        <w:pStyle w:val="Obsah4"/>
        <w:rPr>
          <w:rFonts w:asciiTheme="minorHAnsi" w:eastAsiaTheme="minorEastAsia" w:hAnsiTheme="minorHAnsi" w:cstheme="minorBidi"/>
          <w:b w:val="0"/>
          <w:i w:val="0"/>
          <w:noProof/>
          <w:sz w:val="22"/>
          <w:szCs w:val="22"/>
        </w:rPr>
      </w:pPr>
      <w:r>
        <w:rPr>
          <w:noProof/>
        </w:rPr>
        <w:t>C.VI.1.3</w:t>
      </w:r>
      <w:r>
        <w:rPr>
          <w:rFonts w:asciiTheme="minorHAnsi" w:eastAsiaTheme="minorEastAsia" w:hAnsiTheme="minorHAnsi" w:cstheme="minorBidi"/>
          <w:b w:val="0"/>
          <w:i w:val="0"/>
          <w:noProof/>
          <w:sz w:val="22"/>
          <w:szCs w:val="22"/>
        </w:rPr>
        <w:tab/>
      </w:r>
      <w:r>
        <w:rPr>
          <w:noProof/>
        </w:rPr>
        <w:t>Základní principy pro rozpis rozpočtu – organizační složky státu</w:t>
      </w:r>
      <w:r>
        <w:rPr>
          <w:noProof/>
        </w:rPr>
        <w:tab/>
      </w:r>
      <w:r>
        <w:rPr>
          <w:noProof/>
        </w:rPr>
        <w:fldChar w:fldCharType="begin"/>
      </w:r>
      <w:r>
        <w:rPr>
          <w:noProof/>
        </w:rPr>
        <w:instrText xml:space="preserve"> PAGEREF _Toc5968875 \h </w:instrText>
      </w:r>
      <w:r>
        <w:rPr>
          <w:noProof/>
        </w:rPr>
      </w:r>
      <w:r>
        <w:rPr>
          <w:noProof/>
        </w:rPr>
        <w:fldChar w:fldCharType="separate"/>
      </w:r>
      <w:r w:rsidR="00C04B69">
        <w:rPr>
          <w:noProof/>
        </w:rPr>
        <w:t>83</w:t>
      </w:r>
      <w:r>
        <w:rPr>
          <w:noProof/>
        </w:rPr>
        <w:fldChar w:fldCharType="end"/>
      </w:r>
    </w:p>
    <w:p w14:paraId="11ED7CE0" w14:textId="77777777" w:rsidR="008F55DA" w:rsidRDefault="008F55DA">
      <w:pPr>
        <w:pStyle w:val="Obsah4"/>
        <w:rPr>
          <w:rFonts w:asciiTheme="minorHAnsi" w:eastAsiaTheme="minorEastAsia" w:hAnsiTheme="minorHAnsi" w:cstheme="minorBidi"/>
          <w:b w:val="0"/>
          <w:i w:val="0"/>
          <w:noProof/>
          <w:sz w:val="22"/>
          <w:szCs w:val="22"/>
        </w:rPr>
      </w:pPr>
      <w:r>
        <w:rPr>
          <w:noProof/>
        </w:rPr>
        <w:t>C.VI.1.4</w:t>
      </w:r>
      <w:r>
        <w:rPr>
          <w:rFonts w:asciiTheme="minorHAnsi" w:eastAsiaTheme="minorEastAsia" w:hAnsiTheme="minorHAnsi" w:cstheme="minorBidi"/>
          <w:b w:val="0"/>
          <w:i w:val="0"/>
          <w:noProof/>
          <w:sz w:val="22"/>
          <w:szCs w:val="22"/>
        </w:rPr>
        <w:tab/>
      </w:r>
      <w:r>
        <w:rPr>
          <w:noProof/>
        </w:rPr>
        <w:t>Specifika jednotlivých organizací</w:t>
      </w:r>
      <w:r>
        <w:rPr>
          <w:noProof/>
        </w:rPr>
        <w:tab/>
      </w:r>
      <w:r>
        <w:rPr>
          <w:noProof/>
        </w:rPr>
        <w:fldChar w:fldCharType="begin"/>
      </w:r>
      <w:r>
        <w:rPr>
          <w:noProof/>
        </w:rPr>
        <w:instrText xml:space="preserve"> PAGEREF _Toc5968876 \h </w:instrText>
      </w:r>
      <w:r>
        <w:rPr>
          <w:noProof/>
        </w:rPr>
      </w:r>
      <w:r>
        <w:rPr>
          <w:noProof/>
        </w:rPr>
        <w:fldChar w:fldCharType="separate"/>
      </w:r>
      <w:r w:rsidR="00C04B69">
        <w:rPr>
          <w:noProof/>
        </w:rPr>
        <w:t>85</w:t>
      </w:r>
      <w:r>
        <w:rPr>
          <w:noProof/>
        </w:rPr>
        <w:fldChar w:fldCharType="end"/>
      </w:r>
    </w:p>
    <w:p w14:paraId="5EDC4BC1" w14:textId="77777777" w:rsidR="008F55DA" w:rsidRDefault="008F55DA">
      <w:pPr>
        <w:pStyle w:val="Obsah4"/>
        <w:rPr>
          <w:rFonts w:asciiTheme="minorHAnsi" w:eastAsiaTheme="minorEastAsia" w:hAnsiTheme="minorHAnsi" w:cstheme="minorBidi"/>
          <w:b w:val="0"/>
          <w:i w:val="0"/>
          <w:noProof/>
          <w:sz w:val="22"/>
          <w:szCs w:val="22"/>
        </w:rPr>
      </w:pPr>
      <w:r>
        <w:rPr>
          <w:noProof/>
        </w:rPr>
        <w:t>C.VI.1.5</w:t>
      </w:r>
      <w:r>
        <w:rPr>
          <w:rFonts w:asciiTheme="minorHAnsi" w:eastAsiaTheme="minorEastAsia" w:hAnsiTheme="minorHAnsi" w:cstheme="minorBidi"/>
          <w:b w:val="0"/>
          <w:i w:val="0"/>
          <w:noProof/>
          <w:sz w:val="22"/>
          <w:szCs w:val="22"/>
        </w:rPr>
        <w:tab/>
      </w:r>
      <w:r>
        <w:rPr>
          <w:noProof/>
        </w:rPr>
        <w:t>Principy rozpisu rozpočtu běžných výdajů u vybraných organizací</w:t>
      </w:r>
      <w:r>
        <w:rPr>
          <w:noProof/>
        </w:rPr>
        <w:tab/>
      </w:r>
      <w:r>
        <w:rPr>
          <w:noProof/>
        </w:rPr>
        <w:fldChar w:fldCharType="begin"/>
      </w:r>
      <w:r>
        <w:rPr>
          <w:noProof/>
        </w:rPr>
        <w:instrText xml:space="preserve"> PAGEREF _Toc5968877 \h </w:instrText>
      </w:r>
      <w:r>
        <w:rPr>
          <w:noProof/>
        </w:rPr>
      </w:r>
      <w:r>
        <w:rPr>
          <w:noProof/>
        </w:rPr>
        <w:fldChar w:fldCharType="separate"/>
      </w:r>
      <w:r w:rsidR="00C04B69">
        <w:rPr>
          <w:noProof/>
        </w:rPr>
        <w:t>90</w:t>
      </w:r>
      <w:r>
        <w:rPr>
          <w:noProof/>
        </w:rPr>
        <w:fldChar w:fldCharType="end"/>
      </w:r>
    </w:p>
    <w:p w14:paraId="445315A9" w14:textId="77777777" w:rsidR="008F55DA" w:rsidRDefault="008F55DA">
      <w:pPr>
        <w:pStyle w:val="Obsah4"/>
        <w:rPr>
          <w:rFonts w:asciiTheme="minorHAnsi" w:eastAsiaTheme="minorEastAsia" w:hAnsiTheme="minorHAnsi" w:cstheme="minorBidi"/>
          <w:b w:val="0"/>
          <w:i w:val="0"/>
          <w:noProof/>
          <w:sz w:val="22"/>
          <w:szCs w:val="22"/>
        </w:rPr>
      </w:pPr>
      <w:r>
        <w:rPr>
          <w:noProof/>
        </w:rPr>
        <w:t>C.VI.1.6</w:t>
      </w:r>
      <w:r>
        <w:rPr>
          <w:rFonts w:asciiTheme="minorHAnsi" w:eastAsiaTheme="minorEastAsia" w:hAnsiTheme="minorHAnsi" w:cstheme="minorBidi"/>
          <w:b w:val="0"/>
          <w:i w:val="0"/>
          <w:noProof/>
          <w:sz w:val="22"/>
          <w:szCs w:val="22"/>
        </w:rPr>
        <w:tab/>
      </w:r>
      <w:r>
        <w:rPr>
          <w:noProof/>
        </w:rPr>
        <w:t>Resortní projekty</w:t>
      </w:r>
      <w:r>
        <w:rPr>
          <w:noProof/>
        </w:rPr>
        <w:tab/>
      </w:r>
      <w:r>
        <w:rPr>
          <w:noProof/>
        </w:rPr>
        <w:fldChar w:fldCharType="begin"/>
      </w:r>
      <w:r>
        <w:rPr>
          <w:noProof/>
        </w:rPr>
        <w:instrText xml:space="preserve"> PAGEREF _Toc5968878 \h </w:instrText>
      </w:r>
      <w:r>
        <w:rPr>
          <w:noProof/>
        </w:rPr>
      </w:r>
      <w:r>
        <w:rPr>
          <w:noProof/>
        </w:rPr>
        <w:fldChar w:fldCharType="separate"/>
      </w:r>
      <w:r w:rsidR="00C04B69">
        <w:rPr>
          <w:noProof/>
        </w:rPr>
        <w:t>90</w:t>
      </w:r>
      <w:r>
        <w:rPr>
          <w:noProof/>
        </w:rPr>
        <w:fldChar w:fldCharType="end"/>
      </w:r>
    </w:p>
    <w:p w14:paraId="4272D979" w14:textId="77777777" w:rsidR="008F55DA" w:rsidRDefault="008F55DA">
      <w:pPr>
        <w:pStyle w:val="Obsah4"/>
        <w:rPr>
          <w:rFonts w:asciiTheme="minorHAnsi" w:eastAsiaTheme="minorEastAsia" w:hAnsiTheme="minorHAnsi" w:cstheme="minorBidi"/>
          <w:b w:val="0"/>
          <w:i w:val="0"/>
          <w:noProof/>
          <w:sz w:val="22"/>
          <w:szCs w:val="22"/>
        </w:rPr>
      </w:pPr>
      <w:r>
        <w:rPr>
          <w:noProof/>
        </w:rPr>
        <w:t>C.VI.1.7</w:t>
      </w:r>
      <w:r>
        <w:rPr>
          <w:rFonts w:asciiTheme="minorHAnsi" w:eastAsiaTheme="minorEastAsia" w:hAnsiTheme="minorHAnsi" w:cstheme="minorBidi"/>
          <w:b w:val="0"/>
          <w:i w:val="0"/>
          <w:noProof/>
          <w:sz w:val="22"/>
          <w:szCs w:val="22"/>
        </w:rPr>
        <w:tab/>
      </w:r>
      <w:r>
        <w:rPr>
          <w:noProof/>
        </w:rPr>
        <w:t>Zabezpečení tzv. povinné udržitelnosti projektů</w:t>
      </w:r>
      <w:r>
        <w:rPr>
          <w:noProof/>
        </w:rPr>
        <w:tab/>
      </w:r>
      <w:r>
        <w:rPr>
          <w:noProof/>
        </w:rPr>
        <w:fldChar w:fldCharType="begin"/>
      </w:r>
      <w:r>
        <w:rPr>
          <w:noProof/>
        </w:rPr>
        <w:instrText xml:space="preserve"> PAGEREF _Toc5968879 \h </w:instrText>
      </w:r>
      <w:r>
        <w:rPr>
          <w:noProof/>
        </w:rPr>
      </w:r>
      <w:r>
        <w:rPr>
          <w:noProof/>
        </w:rPr>
        <w:fldChar w:fldCharType="separate"/>
      </w:r>
      <w:r w:rsidR="00C04B69">
        <w:rPr>
          <w:noProof/>
        </w:rPr>
        <w:t>91</w:t>
      </w:r>
      <w:r>
        <w:rPr>
          <w:noProof/>
        </w:rPr>
        <w:fldChar w:fldCharType="end"/>
      </w:r>
    </w:p>
    <w:p w14:paraId="4B0DD212" w14:textId="77777777" w:rsidR="008F55DA" w:rsidRDefault="008F55DA">
      <w:pPr>
        <w:pStyle w:val="Obsah4"/>
        <w:rPr>
          <w:rFonts w:asciiTheme="minorHAnsi" w:eastAsiaTheme="minorEastAsia" w:hAnsiTheme="minorHAnsi" w:cstheme="minorBidi"/>
          <w:b w:val="0"/>
          <w:i w:val="0"/>
          <w:noProof/>
          <w:sz w:val="22"/>
          <w:szCs w:val="22"/>
        </w:rPr>
      </w:pPr>
      <w:r>
        <w:rPr>
          <w:noProof/>
        </w:rPr>
        <w:t>C.VI.1.8</w:t>
      </w:r>
      <w:r>
        <w:rPr>
          <w:rFonts w:asciiTheme="minorHAnsi" w:eastAsiaTheme="minorEastAsia" w:hAnsiTheme="minorHAnsi" w:cstheme="minorBidi"/>
          <w:b w:val="0"/>
          <w:i w:val="0"/>
          <w:noProof/>
          <w:sz w:val="22"/>
          <w:szCs w:val="22"/>
        </w:rPr>
        <w:tab/>
      </w:r>
      <w:r>
        <w:rPr>
          <w:noProof/>
        </w:rPr>
        <w:t>Účelově vymezené úkoly</w:t>
      </w:r>
      <w:r>
        <w:rPr>
          <w:noProof/>
        </w:rPr>
        <w:tab/>
      </w:r>
      <w:r>
        <w:rPr>
          <w:noProof/>
        </w:rPr>
        <w:fldChar w:fldCharType="begin"/>
      </w:r>
      <w:r>
        <w:rPr>
          <w:noProof/>
        </w:rPr>
        <w:instrText xml:space="preserve"> PAGEREF _Toc5968880 \h </w:instrText>
      </w:r>
      <w:r>
        <w:rPr>
          <w:noProof/>
        </w:rPr>
      </w:r>
      <w:r>
        <w:rPr>
          <w:noProof/>
        </w:rPr>
        <w:fldChar w:fldCharType="separate"/>
      </w:r>
      <w:r w:rsidR="00C04B69">
        <w:rPr>
          <w:noProof/>
        </w:rPr>
        <w:t>91</w:t>
      </w:r>
      <w:r>
        <w:rPr>
          <w:noProof/>
        </w:rPr>
        <w:fldChar w:fldCharType="end"/>
      </w:r>
    </w:p>
    <w:p w14:paraId="6C40D195" w14:textId="77777777" w:rsidR="008F55DA" w:rsidRDefault="008F55DA">
      <w:pPr>
        <w:pStyle w:val="Obsah4"/>
        <w:rPr>
          <w:rFonts w:asciiTheme="minorHAnsi" w:eastAsiaTheme="minorEastAsia" w:hAnsiTheme="minorHAnsi" w:cstheme="minorBidi"/>
          <w:b w:val="0"/>
          <w:i w:val="0"/>
          <w:noProof/>
          <w:sz w:val="22"/>
          <w:szCs w:val="22"/>
        </w:rPr>
      </w:pPr>
      <w:r>
        <w:rPr>
          <w:noProof/>
        </w:rPr>
        <w:t>C.VI.1.9</w:t>
      </w:r>
      <w:r>
        <w:rPr>
          <w:rFonts w:asciiTheme="minorHAnsi" w:eastAsiaTheme="minorEastAsia" w:hAnsiTheme="minorHAnsi" w:cstheme="minorBidi"/>
          <w:b w:val="0"/>
          <w:i w:val="0"/>
          <w:noProof/>
          <w:sz w:val="22"/>
          <w:szCs w:val="22"/>
        </w:rPr>
        <w:tab/>
      </w:r>
      <w:r>
        <w:rPr>
          <w:noProof/>
        </w:rPr>
        <w:t>Mezinárodní aktivity</w:t>
      </w:r>
      <w:r>
        <w:rPr>
          <w:noProof/>
        </w:rPr>
        <w:tab/>
      </w:r>
      <w:r>
        <w:rPr>
          <w:noProof/>
        </w:rPr>
        <w:fldChar w:fldCharType="begin"/>
      </w:r>
      <w:r>
        <w:rPr>
          <w:noProof/>
        </w:rPr>
        <w:instrText xml:space="preserve"> PAGEREF _Toc5968881 \h </w:instrText>
      </w:r>
      <w:r>
        <w:rPr>
          <w:noProof/>
        </w:rPr>
      </w:r>
      <w:r>
        <w:rPr>
          <w:noProof/>
        </w:rPr>
        <w:fldChar w:fldCharType="separate"/>
      </w:r>
      <w:r w:rsidR="00C04B69">
        <w:rPr>
          <w:noProof/>
        </w:rPr>
        <w:t>93</w:t>
      </w:r>
      <w:r>
        <w:rPr>
          <w:noProof/>
        </w:rPr>
        <w:fldChar w:fldCharType="end"/>
      </w:r>
    </w:p>
    <w:p w14:paraId="0DB52131" w14:textId="77777777" w:rsidR="008F55DA" w:rsidRDefault="008F55DA">
      <w:pPr>
        <w:pStyle w:val="Obsah4"/>
        <w:rPr>
          <w:rFonts w:asciiTheme="minorHAnsi" w:eastAsiaTheme="minorEastAsia" w:hAnsiTheme="minorHAnsi" w:cstheme="minorBidi"/>
          <w:b w:val="0"/>
          <w:i w:val="0"/>
          <w:noProof/>
          <w:sz w:val="22"/>
          <w:szCs w:val="22"/>
        </w:rPr>
      </w:pPr>
      <w:r>
        <w:rPr>
          <w:noProof/>
        </w:rPr>
        <w:t>C.VI.1.10</w:t>
      </w:r>
      <w:r>
        <w:rPr>
          <w:rFonts w:asciiTheme="minorHAnsi" w:eastAsiaTheme="minorEastAsia" w:hAnsiTheme="minorHAnsi" w:cstheme="minorBidi"/>
          <w:b w:val="0"/>
          <w:i w:val="0"/>
          <w:noProof/>
          <w:sz w:val="22"/>
          <w:szCs w:val="22"/>
        </w:rPr>
        <w:tab/>
      </w:r>
      <w:r>
        <w:rPr>
          <w:noProof/>
        </w:rPr>
        <w:t>Komunitární programy - NAEP</w:t>
      </w:r>
      <w:r>
        <w:rPr>
          <w:noProof/>
        </w:rPr>
        <w:tab/>
      </w:r>
      <w:r>
        <w:rPr>
          <w:noProof/>
        </w:rPr>
        <w:fldChar w:fldCharType="begin"/>
      </w:r>
      <w:r>
        <w:rPr>
          <w:noProof/>
        </w:rPr>
        <w:instrText xml:space="preserve"> PAGEREF _Toc5968882 \h </w:instrText>
      </w:r>
      <w:r>
        <w:rPr>
          <w:noProof/>
        </w:rPr>
      </w:r>
      <w:r>
        <w:rPr>
          <w:noProof/>
        </w:rPr>
        <w:fldChar w:fldCharType="separate"/>
      </w:r>
      <w:r w:rsidR="00C04B69">
        <w:rPr>
          <w:noProof/>
        </w:rPr>
        <w:t>93</w:t>
      </w:r>
      <w:r>
        <w:rPr>
          <w:noProof/>
        </w:rPr>
        <w:fldChar w:fldCharType="end"/>
      </w:r>
    </w:p>
    <w:p w14:paraId="78C7032E" w14:textId="77777777" w:rsidR="008F55DA" w:rsidRDefault="008F55DA">
      <w:pPr>
        <w:pStyle w:val="Obsah4"/>
        <w:rPr>
          <w:rFonts w:asciiTheme="minorHAnsi" w:eastAsiaTheme="minorEastAsia" w:hAnsiTheme="minorHAnsi" w:cstheme="minorBidi"/>
          <w:b w:val="0"/>
          <w:i w:val="0"/>
          <w:noProof/>
          <w:sz w:val="22"/>
          <w:szCs w:val="22"/>
        </w:rPr>
      </w:pPr>
      <w:r>
        <w:rPr>
          <w:noProof/>
        </w:rPr>
        <w:t>C.VI.1.11</w:t>
      </w:r>
      <w:r>
        <w:rPr>
          <w:rFonts w:asciiTheme="minorHAnsi" w:eastAsiaTheme="minorEastAsia" w:hAnsiTheme="minorHAnsi" w:cstheme="minorBidi"/>
          <w:b w:val="0"/>
          <w:i w:val="0"/>
          <w:noProof/>
          <w:sz w:val="22"/>
          <w:szCs w:val="22"/>
        </w:rPr>
        <w:tab/>
      </w:r>
      <w:r>
        <w:rPr>
          <w:noProof/>
        </w:rPr>
        <w:t>Společné úkoly</w:t>
      </w:r>
      <w:r>
        <w:rPr>
          <w:noProof/>
        </w:rPr>
        <w:tab/>
      </w:r>
      <w:r>
        <w:rPr>
          <w:noProof/>
        </w:rPr>
        <w:fldChar w:fldCharType="begin"/>
      </w:r>
      <w:r>
        <w:rPr>
          <w:noProof/>
        </w:rPr>
        <w:instrText xml:space="preserve"> PAGEREF _Toc5968883 \h </w:instrText>
      </w:r>
      <w:r>
        <w:rPr>
          <w:noProof/>
        </w:rPr>
      </w:r>
      <w:r>
        <w:rPr>
          <w:noProof/>
        </w:rPr>
        <w:fldChar w:fldCharType="separate"/>
      </w:r>
      <w:r w:rsidR="00C04B69">
        <w:rPr>
          <w:noProof/>
        </w:rPr>
        <w:t>93</w:t>
      </w:r>
      <w:r>
        <w:rPr>
          <w:noProof/>
        </w:rPr>
        <w:fldChar w:fldCharType="end"/>
      </w:r>
    </w:p>
    <w:p w14:paraId="05D1E643" w14:textId="77777777" w:rsidR="008F55DA" w:rsidRDefault="008F55DA">
      <w:pPr>
        <w:pStyle w:val="Obsah4"/>
        <w:rPr>
          <w:rFonts w:asciiTheme="minorHAnsi" w:eastAsiaTheme="minorEastAsia" w:hAnsiTheme="minorHAnsi" w:cstheme="minorBidi"/>
          <w:b w:val="0"/>
          <w:i w:val="0"/>
          <w:noProof/>
          <w:sz w:val="22"/>
          <w:szCs w:val="22"/>
        </w:rPr>
      </w:pPr>
      <w:r>
        <w:rPr>
          <w:noProof/>
        </w:rPr>
        <w:t>C.VI.1.12</w:t>
      </w:r>
      <w:r>
        <w:rPr>
          <w:rFonts w:asciiTheme="minorHAnsi" w:eastAsiaTheme="minorEastAsia" w:hAnsiTheme="minorHAnsi" w:cstheme="minorBidi"/>
          <w:b w:val="0"/>
          <w:i w:val="0"/>
          <w:noProof/>
          <w:sz w:val="22"/>
          <w:szCs w:val="22"/>
        </w:rPr>
        <w:tab/>
      </w:r>
      <w:r>
        <w:rPr>
          <w:noProof/>
        </w:rPr>
        <w:t>Výnosy OPŘO</w:t>
      </w:r>
      <w:r>
        <w:rPr>
          <w:noProof/>
        </w:rPr>
        <w:tab/>
      </w:r>
      <w:r>
        <w:rPr>
          <w:noProof/>
        </w:rPr>
        <w:fldChar w:fldCharType="begin"/>
      </w:r>
      <w:r>
        <w:rPr>
          <w:noProof/>
        </w:rPr>
        <w:instrText xml:space="preserve"> PAGEREF _Toc5968884 \h </w:instrText>
      </w:r>
      <w:r>
        <w:rPr>
          <w:noProof/>
        </w:rPr>
      </w:r>
      <w:r>
        <w:rPr>
          <w:noProof/>
        </w:rPr>
        <w:fldChar w:fldCharType="separate"/>
      </w:r>
      <w:r w:rsidR="00C04B69">
        <w:rPr>
          <w:noProof/>
        </w:rPr>
        <w:t>94</w:t>
      </w:r>
      <w:r>
        <w:rPr>
          <w:noProof/>
        </w:rPr>
        <w:fldChar w:fldCharType="end"/>
      </w:r>
    </w:p>
    <w:p w14:paraId="607B5734" w14:textId="77777777" w:rsidR="008F55DA" w:rsidRDefault="008F55DA">
      <w:pPr>
        <w:pStyle w:val="Obsah3"/>
        <w:rPr>
          <w:rFonts w:asciiTheme="minorHAnsi" w:eastAsiaTheme="minorEastAsia" w:hAnsiTheme="minorHAnsi" w:cstheme="minorBidi"/>
          <w:b w:val="0"/>
          <w:noProof/>
          <w:sz w:val="22"/>
          <w:szCs w:val="22"/>
        </w:rPr>
      </w:pPr>
      <w:r>
        <w:rPr>
          <w:noProof/>
        </w:rPr>
        <w:t>C.VI.2</w:t>
      </w:r>
      <w:r>
        <w:rPr>
          <w:rFonts w:asciiTheme="minorHAnsi" w:eastAsiaTheme="minorEastAsia" w:hAnsiTheme="minorHAnsi" w:cstheme="minorBidi"/>
          <w:b w:val="0"/>
          <w:noProof/>
          <w:sz w:val="22"/>
          <w:szCs w:val="22"/>
        </w:rPr>
        <w:tab/>
      </w:r>
      <w:r>
        <w:rPr>
          <w:noProof/>
        </w:rPr>
        <w:t>Státní správa (ústřední orgán MŠMT a Česká školní inspekce) bez programů spolufinancovaných EU/FM</w:t>
      </w:r>
      <w:r>
        <w:rPr>
          <w:noProof/>
        </w:rPr>
        <w:tab/>
      </w:r>
      <w:r>
        <w:rPr>
          <w:noProof/>
        </w:rPr>
        <w:fldChar w:fldCharType="begin"/>
      </w:r>
      <w:r>
        <w:rPr>
          <w:noProof/>
        </w:rPr>
        <w:instrText xml:space="preserve"> PAGEREF _Toc5968885 \h </w:instrText>
      </w:r>
      <w:r>
        <w:rPr>
          <w:noProof/>
        </w:rPr>
      </w:r>
      <w:r>
        <w:rPr>
          <w:noProof/>
        </w:rPr>
        <w:fldChar w:fldCharType="separate"/>
      </w:r>
      <w:r w:rsidR="00C04B69">
        <w:rPr>
          <w:noProof/>
        </w:rPr>
        <w:t>94</w:t>
      </w:r>
      <w:r>
        <w:rPr>
          <w:noProof/>
        </w:rPr>
        <w:fldChar w:fldCharType="end"/>
      </w:r>
    </w:p>
    <w:p w14:paraId="76CD4EF0" w14:textId="77777777" w:rsidR="008F55DA" w:rsidRDefault="008F55DA">
      <w:pPr>
        <w:pStyle w:val="Obsah4"/>
        <w:rPr>
          <w:rFonts w:asciiTheme="minorHAnsi" w:eastAsiaTheme="minorEastAsia" w:hAnsiTheme="minorHAnsi" w:cstheme="minorBidi"/>
          <w:b w:val="0"/>
          <w:i w:val="0"/>
          <w:noProof/>
          <w:sz w:val="22"/>
          <w:szCs w:val="22"/>
        </w:rPr>
      </w:pPr>
      <w:r>
        <w:rPr>
          <w:noProof/>
        </w:rPr>
        <w:t>C.VI.2.1</w:t>
      </w:r>
      <w:r>
        <w:rPr>
          <w:rFonts w:asciiTheme="minorHAnsi" w:eastAsiaTheme="minorEastAsia" w:hAnsiTheme="minorHAnsi" w:cstheme="minorBidi"/>
          <w:b w:val="0"/>
          <w:i w:val="0"/>
          <w:noProof/>
          <w:sz w:val="22"/>
          <w:szCs w:val="22"/>
        </w:rPr>
        <w:tab/>
      </w:r>
      <w:r>
        <w:rPr>
          <w:noProof/>
        </w:rPr>
        <w:t>Rozpočet běžných výdajů pro státní správu</w:t>
      </w:r>
      <w:r>
        <w:rPr>
          <w:noProof/>
        </w:rPr>
        <w:tab/>
      </w:r>
      <w:r>
        <w:rPr>
          <w:noProof/>
        </w:rPr>
        <w:fldChar w:fldCharType="begin"/>
      </w:r>
      <w:r>
        <w:rPr>
          <w:noProof/>
        </w:rPr>
        <w:instrText xml:space="preserve"> PAGEREF _Toc5968886 \h </w:instrText>
      </w:r>
      <w:r>
        <w:rPr>
          <w:noProof/>
        </w:rPr>
      </w:r>
      <w:r>
        <w:rPr>
          <w:noProof/>
        </w:rPr>
        <w:fldChar w:fldCharType="separate"/>
      </w:r>
      <w:r w:rsidR="00C04B69">
        <w:rPr>
          <w:noProof/>
        </w:rPr>
        <w:t>94</w:t>
      </w:r>
      <w:r>
        <w:rPr>
          <w:noProof/>
        </w:rPr>
        <w:fldChar w:fldCharType="end"/>
      </w:r>
    </w:p>
    <w:p w14:paraId="3D5A405A" w14:textId="77777777" w:rsidR="008F55DA" w:rsidRDefault="008F55DA">
      <w:pPr>
        <w:pStyle w:val="Obsah4"/>
        <w:rPr>
          <w:rFonts w:asciiTheme="minorHAnsi" w:eastAsiaTheme="minorEastAsia" w:hAnsiTheme="minorHAnsi" w:cstheme="minorBidi"/>
          <w:b w:val="0"/>
          <w:i w:val="0"/>
          <w:noProof/>
          <w:sz w:val="22"/>
          <w:szCs w:val="22"/>
        </w:rPr>
      </w:pPr>
      <w:r>
        <w:rPr>
          <w:noProof/>
        </w:rPr>
        <w:t>C.VI.2.2</w:t>
      </w:r>
      <w:r>
        <w:rPr>
          <w:rFonts w:asciiTheme="minorHAnsi" w:eastAsiaTheme="minorEastAsia" w:hAnsiTheme="minorHAnsi" w:cstheme="minorBidi"/>
          <w:b w:val="0"/>
          <w:i w:val="0"/>
          <w:noProof/>
          <w:sz w:val="22"/>
          <w:szCs w:val="22"/>
        </w:rPr>
        <w:tab/>
      </w:r>
      <w:r>
        <w:rPr>
          <w:noProof/>
        </w:rPr>
        <w:t>Výdaje na programové financování</w:t>
      </w:r>
      <w:r>
        <w:rPr>
          <w:noProof/>
        </w:rPr>
        <w:tab/>
      </w:r>
      <w:r>
        <w:rPr>
          <w:noProof/>
        </w:rPr>
        <w:fldChar w:fldCharType="begin"/>
      </w:r>
      <w:r>
        <w:rPr>
          <w:noProof/>
        </w:rPr>
        <w:instrText xml:space="preserve"> PAGEREF _Toc5968887 \h </w:instrText>
      </w:r>
      <w:r>
        <w:rPr>
          <w:noProof/>
        </w:rPr>
      </w:r>
      <w:r>
        <w:rPr>
          <w:noProof/>
        </w:rPr>
        <w:fldChar w:fldCharType="separate"/>
      </w:r>
      <w:r w:rsidR="00C04B69">
        <w:rPr>
          <w:noProof/>
        </w:rPr>
        <w:t>95</w:t>
      </w:r>
      <w:r>
        <w:rPr>
          <w:noProof/>
        </w:rPr>
        <w:fldChar w:fldCharType="end"/>
      </w:r>
    </w:p>
    <w:p w14:paraId="4A639D94" w14:textId="77777777" w:rsidR="008F55DA" w:rsidRDefault="008F55DA">
      <w:pPr>
        <w:pStyle w:val="Obsah3"/>
        <w:rPr>
          <w:rFonts w:asciiTheme="minorHAnsi" w:eastAsiaTheme="minorEastAsia" w:hAnsiTheme="minorHAnsi" w:cstheme="minorBidi"/>
          <w:b w:val="0"/>
          <w:noProof/>
          <w:sz w:val="22"/>
          <w:szCs w:val="22"/>
        </w:rPr>
      </w:pPr>
      <w:r>
        <w:rPr>
          <w:noProof/>
        </w:rPr>
        <w:t>C.VI.3</w:t>
      </w:r>
      <w:r>
        <w:rPr>
          <w:rFonts w:asciiTheme="minorHAnsi" w:eastAsiaTheme="minorEastAsia" w:hAnsiTheme="minorHAnsi" w:cstheme="minorBidi"/>
          <w:b w:val="0"/>
          <w:noProof/>
          <w:sz w:val="22"/>
          <w:szCs w:val="22"/>
        </w:rPr>
        <w:tab/>
      </w:r>
      <w:r>
        <w:rPr>
          <w:noProof/>
        </w:rPr>
        <w:t>Zahraniční rozvojová spolupráce</w:t>
      </w:r>
      <w:r>
        <w:rPr>
          <w:noProof/>
        </w:rPr>
        <w:tab/>
      </w:r>
      <w:r>
        <w:rPr>
          <w:noProof/>
        </w:rPr>
        <w:fldChar w:fldCharType="begin"/>
      </w:r>
      <w:r>
        <w:rPr>
          <w:noProof/>
        </w:rPr>
        <w:instrText xml:space="preserve"> PAGEREF _Toc5968888 \h </w:instrText>
      </w:r>
      <w:r>
        <w:rPr>
          <w:noProof/>
        </w:rPr>
      </w:r>
      <w:r>
        <w:rPr>
          <w:noProof/>
        </w:rPr>
        <w:fldChar w:fldCharType="separate"/>
      </w:r>
      <w:r w:rsidR="00C04B69">
        <w:rPr>
          <w:noProof/>
        </w:rPr>
        <w:t>99</w:t>
      </w:r>
      <w:r>
        <w:rPr>
          <w:noProof/>
        </w:rPr>
        <w:fldChar w:fldCharType="end"/>
      </w:r>
    </w:p>
    <w:p w14:paraId="6AA10B48" w14:textId="77777777" w:rsidR="008F55DA" w:rsidRDefault="008F55DA">
      <w:pPr>
        <w:pStyle w:val="Obsah3"/>
        <w:rPr>
          <w:rFonts w:asciiTheme="minorHAnsi" w:eastAsiaTheme="minorEastAsia" w:hAnsiTheme="minorHAnsi" w:cstheme="minorBidi"/>
          <w:b w:val="0"/>
          <w:noProof/>
          <w:sz w:val="22"/>
          <w:szCs w:val="22"/>
        </w:rPr>
      </w:pPr>
      <w:r>
        <w:rPr>
          <w:noProof/>
        </w:rPr>
        <w:t>C.VI.4</w:t>
      </w:r>
      <w:r>
        <w:rPr>
          <w:rFonts w:asciiTheme="minorHAnsi" w:eastAsiaTheme="minorEastAsia" w:hAnsiTheme="minorHAnsi" w:cstheme="minorBidi"/>
          <w:b w:val="0"/>
          <w:noProof/>
          <w:sz w:val="22"/>
          <w:szCs w:val="22"/>
        </w:rPr>
        <w:tab/>
      </w:r>
      <w:r>
        <w:rPr>
          <w:noProof/>
        </w:rPr>
        <w:t>Podpora vzdělávání národnostních menšin a multikulturní výchovy</w:t>
      </w:r>
      <w:r>
        <w:rPr>
          <w:noProof/>
        </w:rPr>
        <w:tab/>
      </w:r>
      <w:r>
        <w:rPr>
          <w:noProof/>
        </w:rPr>
        <w:fldChar w:fldCharType="begin"/>
      </w:r>
      <w:r>
        <w:rPr>
          <w:noProof/>
        </w:rPr>
        <w:instrText xml:space="preserve"> PAGEREF _Toc5968889 \h </w:instrText>
      </w:r>
      <w:r>
        <w:rPr>
          <w:noProof/>
        </w:rPr>
      </w:r>
      <w:r>
        <w:rPr>
          <w:noProof/>
        </w:rPr>
        <w:fldChar w:fldCharType="separate"/>
      </w:r>
      <w:r w:rsidR="00C04B69">
        <w:rPr>
          <w:noProof/>
        </w:rPr>
        <w:t>99</w:t>
      </w:r>
      <w:r>
        <w:rPr>
          <w:noProof/>
        </w:rPr>
        <w:fldChar w:fldCharType="end"/>
      </w:r>
    </w:p>
    <w:p w14:paraId="3F3AC52A" w14:textId="77777777" w:rsidR="008F55DA" w:rsidRDefault="008F55DA">
      <w:pPr>
        <w:pStyle w:val="Obsah3"/>
        <w:rPr>
          <w:rFonts w:asciiTheme="minorHAnsi" w:eastAsiaTheme="minorEastAsia" w:hAnsiTheme="minorHAnsi" w:cstheme="minorBidi"/>
          <w:b w:val="0"/>
          <w:noProof/>
          <w:sz w:val="22"/>
          <w:szCs w:val="22"/>
        </w:rPr>
      </w:pPr>
      <w:r>
        <w:rPr>
          <w:noProof/>
        </w:rPr>
        <w:t>C.VI.5</w:t>
      </w:r>
      <w:r>
        <w:rPr>
          <w:rFonts w:asciiTheme="minorHAnsi" w:eastAsiaTheme="minorEastAsia" w:hAnsiTheme="minorHAnsi" w:cstheme="minorBidi"/>
          <w:b w:val="0"/>
          <w:noProof/>
          <w:sz w:val="22"/>
          <w:szCs w:val="22"/>
        </w:rPr>
        <w:tab/>
      </w:r>
      <w:r>
        <w:rPr>
          <w:noProof/>
        </w:rPr>
        <w:t>Program sociální prevence a prevence kriminality</w:t>
      </w:r>
      <w:r>
        <w:rPr>
          <w:noProof/>
        </w:rPr>
        <w:tab/>
      </w:r>
      <w:r>
        <w:rPr>
          <w:noProof/>
        </w:rPr>
        <w:fldChar w:fldCharType="begin"/>
      </w:r>
      <w:r>
        <w:rPr>
          <w:noProof/>
        </w:rPr>
        <w:instrText xml:space="preserve"> PAGEREF _Toc5968890 \h </w:instrText>
      </w:r>
      <w:r>
        <w:rPr>
          <w:noProof/>
        </w:rPr>
      </w:r>
      <w:r>
        <w:rPr>
          <w:noProof/>
        </w:rPr>
        <w:fldChar w:fldCharType="separate"/>
      </w:r>
      <w:r w:rsidR="00C04B69">
        <w:rPr>
          <w:noProof/>
        </w:rPr>
        <w:t>99</w:t>
      </w:r>
      <w:r>
        <w:rPr>
          <w:noProof/>
        </w:rPr>
        <w:fldChar w:fldCharType="end"/>
      </w:r>
    </w:p>
    <w:p w14:paraId="4CAAA756" w14:textId="77777777" w:rsidR="008F55DA" w:rsidRDefault="008F55DA">
      <w:pPr>
        <w:pStyle w:val="Obsah3"/>
        <w:rPr>
          <w:rFonts w:asciiTheme="minorHAnsi" w:eastAsiaTheme="minorEastAsia" w:hAnsiTheme="minorHAnsi" w:cstheme="minorBidi"/>
          <w:b w:val="0"/>
          <w:noProof/>
          <w:sz w:val="22"/>
          <w:szCs w:val="22"/>
        </w:rPr>
      </w:pPr>
      <w:r>
        <w:rPr>
          <w:noProof/>
        </w:rPr>
        <w:t>C.VI.6</w:t>
      </w:r>
      <w:r>
        <w:rPr>
          <w:rFonts w:asciiTheme="minorHAnsi" w:eastAsiaTheme="minorEastAsia" w:hAnsiTheme="minorHAnsi" w:cstheme="minorBidi"/>
          <w:b w:val="0"/>
          <w:noProof/>
          <w:sz w:val="22"/>
          <w:szCs w:val="22"/>
        </w:rPr>
        <w:tab/>
      </w:r>
      <w:r>
        <w:rPr>
          <w:noProof/>
        </w:rPr>
        <w:t>Program protidrogové politiky</w:t>
      </w:r>
      <w:r>
        <w:rPr>
          <w:noProof/>
        </w:rPr>
        <w:tab/>
      </w:r>
      <w:r>
        <w:rPr>
          <w:noProof/>
        </w:rPr>
        <w:fldChar w:fldCharType="begin"/>
      </w:r>
      <w:r>
        <w:rPr>
          <w:noProof/>
        </w:rPr>
        <w:instrText xml:space="preserve"> PAGEREF _Toc5968891 \h </w:instrText>
      </w:r>
      <w:r>
        <w:rPr>
          <w:noProof/>
        </w:rPr>
      </w:r>
      <w:r>
        <w:rPr>
          <w:noProof/>
        </w:rPr>
        <w:fldChar w:fldCharType="separate"/>
      </w:r>
      <w:r w:rsidR="00C04B69">
        <w:rPr>
          <w:noProof/>
        </w:rPr>
        <w:t>100</w:t>
      </w:r>
      <w:r>
        <w:rPr>
          <w:noProof/>
        </w:rPr>
        <w:fldChar w:fldCharType="end"/>
      </w:r>
    </w:p>
    <w:p w14:paraId="49E2683B" w14:textId="77777777" w:rsidR="008F55DA" w:rsidRDefault="008F55DA">
      <w:pPr>
        <w:pStyle w:val="Obsah3"/>
        <w:rPr>
          <w:rFonts w:asciiTheme="minorHAnsi" w:eastAsiaTheme="minorEastAsia" w:hAnsiTheme="minorHAnsi" w:cstheme="minorBidi"/>
          <w:b w:val="0"/>
          <w:noProof/>
          <w:sz w:val="22"/>
          <w:szCs w:val="22"/>
        </w:rPr>
      </w:pPr>
      <w:r>
        <w:rPr>
          <w:noProof/>
        </w:rPr>
        <w:t>C.VI.7</w:t>
      </w:r>
      <w:r>
        <w:rPr>
          <w:rFonts w:asciiTheme="minorHAnsi" w:eastAsiaTheme="minorEastAsia" w:hAnsiTheme="minorHAnsi" w:cstheme="minorBidi"/>
          <w:b w:val="0"/>
          <w:noProof/>
          <w:sz w:val="22"/>
          <w:szCs w:val="22"/>
        </w:rPr>
        <w:tab/>
      </w:r>
      <w:r>
        <w:rPr>
          <w:noProof/>
        </w:rPr>
        <w:t>Program integrace příslušníků romské komunity</w:t>
      </w:r>
      <w:r>
        <w:rPr>
          <w:noProof/>
        </w:rPr>
        <w:tab/>
      </w:r>
      <w:r>
        <w:rPr>
          <w:noProof/>
        </w:rPr>
        <w:fldChar w:fldCharType="begin"/>
      </w:r>
      <w:r>
        <w:rPr>
          <w:noProof/>
        </w:rPr>
        <w:instrText xml:space="preserve"> PAGEREF _Toc5968892 \h </w:instrText>
      </w:r>
      <w:r>
        <w:rPr>
          <w:noProof/>
        </w:rPr>
      </w:r>
      <w:r>
        <w:rPr>
          <w:noProof/>
        </w:rPr>
        <w:fldChar w:fldCharType="separate"/>
      </w:r>
      <w:r w:rsidR="00C04B69">
        <w:rPr>
          <w:noProof/>
        </w:rPr>
        <w:t>100</w:t>
      </w:r>
      <w:r>
        <w:rPr>
          <w:noProof/>
        </w:rPr>
        <w:fldChar w:fldCharType="end"/>
      </w:r>
    </w:p>
    <w:p w14:paraId="0DC57F0C" w14:textId="77777777" w:rsidR="008F55DA" w:rsidRDefault="008F55DA">
      <w:pPr>
        <w:pStyle w:val="Obsah1"/>
        <w:rPr>
          <w:rFonts w:asciiTheme="minorHAnsi" w:eastAsiaTheme="minorEastAsia" w:hAnsiTheme="minorHAnsi" w:cstheme="minorBidi"/>
          <w:b w:val="0"/>
          <w:bCs w:val="0"/>
          <w:caps w:val="0"/>
          <w:noProof/>
          <w:sz w:val="22"/>
          <w:szCs w:val="22"/>
        </w:rPr>
      </w:pPr>
      <w:r>
        <w:rPr>
          <w:noProof/>
        </w:rPr>
        <w:t>D</w:t>
      </w:r>
      <w:r>
        <w:rPr>
          <w:rFonts w:asciiTheme="minorHAnsi" w:eastAsiaTheme="minorEastAsia" w:hAnsiTheme="minorHAnsi" w:cstheme="minorBidi"/>
          <w:b w:val="0"/>
          <w:bCs w:val="0"/>
          <w:caps w:val="0"/>
          <w:noProof/>
          <w:sz w:val="22"/>
          <w:szCs w:val="22"/>
        </w:rPr>
        <w:tab/>
      </w:r>
      <w:r>
        <w:rPr>
          <w:noProof/>
        </w:rPr>
        <w:t>Souhrnná rekapitulace výdajů na programové financování</w:t>
      </w:r>
      <w:r>
        <w:rPr>
          <w:noProof/>
        </w:rPr>
        <w:tab/>
      </w:r>
      <w:r>
        <w:rPr>
          <w:noProof/>
        </w:rPr>
        <w:fldChar w:fldCharType="begin"/>
      </w:r>
      <w:r>
        <w:rPr>
          <w:noProof/>
        </w:rPr>
        <w:instrText xml:space="preserve"> PAGEREF _Toc5968893 \h </w:instrText>
      </w:r>
      <w:r>
        <w:rPr>
          <w:noProof/>
        </w:rPr>
      </w:r>
      <w:r>
        <w:rPr>
          <w:noProof/>
        </w:rPr>
        <w:fldChar w:fldCharType="separate"/>
      </w:r>
      <w:r w:rsidR="00C04B69">
        <w:rPr>
          <w:noProof/>
        </w:rPr>
        <w:t>103</w:t>
      </w:r>
      <w:r>
        <w:rPr>
          <w:noProof/>
        </w:rPr>
        <w:fldChar w:fldCharType="end"/>
      </w:r>
    </w:p>
    <w:p w14:paraId="6CA79A24" w14:textId="77777777" w:rsidR="008F55DA" w:rsidRDefault="008F55DA">
      <w:pPr>
        <w:pStyle w:val="Obsah2"/>
        <w:rPr>
          <w:rFonts w:asciiTheme="minorHAnsi" w:eastAsiaTheme="minorEastAsia" w:hAnsiTheme="minorHAnsi" w:cstheme="minorBidi"/>
          <w:b w:val="0"/>
          <w:bCs w:val="0"/>
          <w:noProof/>
          <w:szCs w:val="22"/>
        </w:rPr>
      </w:pPr>
      <w:r>
        <w:rPr>
          <w:noProof/>
        </w:rPr>
        <w:t>D.I</w:t>
      </w:r>
      <w:r>
        <w:rPr>
          <w:rFonts w:asciiTheme="minorHAnsi" w:eastAsiaTheme="minorEastAsia" w:hAnsiTheme="minorHAnsi" w:cstheme="minorBidi"/>
          <w:b w:val="0"/>
          <w:bCs w:val="0"/>
          <w:noProof/>
          <w:szCs w:val="22"/>
        </w:rPr>
        <w:tab/>
      </w:r>
      <w:r>
        <w:rPr>
          <w:noProof/>
        </w:rPr>
        <w:t>Výdaje na financování dlouhodobého majetku</w:t>
      </w:r>
      <w:r>
        <w:rPr>
          <w:noProof/>
        </w:rPr>
        <w:tab/>
      </w:r>
      <w:r>
        <w:rPr>
          <w:noProof/>
        </w:rPr>
        <w:fldChar w:fldCharType="begin"/>
      </w:r>
      <w:r>
        <w:rPr>
          <w:noProof/>
        </w:rPr>
        <w:instrText xml:space="preserve"> PAGEREF _Toc5968894 \h </w:instrText>
      </w:r>
      <w:r>
        <w:rPr>
          <w:noProof/>
        </w:rPr>
      </w:r>
      <w:r>
        <w:rPr>
          <w:noProof/>
        </w:rPr>
        <w:fldChar w:fldCharType="separate"/>
      </w:r>
      <w:r w:rsidR="00C04B69">
        <w:rPr>
          <w:noProof/>
        </w:rPr>
        <w:t>104</w:t>
      </w:r>
      <w:r>
        <w:rPr>
          <w:noProof/>
        </w:rPr>
        <w:fldChar w:fldCharType="end"/>
      </w:r>
    </w:p>
    <w:p w14:paraId="74D14C6A" w14:textId="77777777" w:rsidR="008F55DA" w:rsidRDefault="008F55DA">
      <w:pPr>
        <w:pStyle w:val="Obsah2"/>
        <w:rPr>
          <w:rFonts w:asciiTheme="minorHAnsi" w:eastAsiaTheme="minorEastAsia" w:hAnsiTheme="minorHAnsi" w:cstheme="minorBidi"/>
          <w:b w:val="0"/>
          <w:bCs w:val="0"/>
          <w:noProof/>
          <w:szCs w:val="22"/>
        </w:rPr>
      </w:pPr>
      <w:r>
        <w:rPr>
          <w:noProof/>
        </w:rPr>
        <w:t>D.II</w:t>
      </w:r>
      <w:r>
        <w:rPr>
          <w:rFonts w:asciiTheme="minorHAnsi" w:eastAsiaTheme="minorEastAsia" w:hAnsiTheme="minorHAnsi" w:cstheme="minorBidi"/>
          <w:b w:val="0"/>
          <w:bCs w:val="0"/>
          <w:noProof/>
          <w:szCs w:val="22"/>
        </w:rPr>
        <w:tab/>
      </w:r>
      <w:r>
        <w:rPr>
          <w:noProof/>
        </w:rPr>
        <w:t>Charakteristika jednotlivých programů</w:t>
      </w:r>
      <w:r>
        <w:rPr>
          <w:noProof/>
        </w:rPr>
        <w:tab/>
      </w:r>
      <w:r>
        <w:rPr>
          <w:noProof/>
        </w:rPr>
        <w:fldChar w:fldCharType="begin"/>
      </w:r>
      <w:r>
        <w:rPr>
          <w:noProof/>
        </w:rPr>
        <w:instrText xml:space="preserve"> PAGEREF _Toc5968895 \h </w:instrText>
      </w:r>
      <w:r>
        <w:rPr>
          <w:noProof/>
        </w:rPr>
      </w:r>
      <w:r>
        <w:rPr>
          <w:noProof/>
        </w:rPr>
        <w:fldChar w:fldCharType="separate"/>
      </w:r>
      <w:r w:rsidR="00C04B69">
        <w:rPr>
          <w:noProof/>
        </w:rPr>
        <w:t>105</w:t>
      </w:r>
      <w:r>
        <w:rPr>
          <w:noProof/>
        </w:rPr>
        <w:fldChar w:fldCharType="end"/>
      </w:r>
    </w:p>
    <w:p w14:paraId="1C6D69BC" w14:textId="77777777" w:rsidR="008F55DA" w:rsidRDefault="008F55DA">
      <w:pPr>
        <w:pStyle w:val="Obsah2"/>
        <w:rPr>
          <w:rFonts w:asciiTheme="minorHAnsi" w:eastAsiaTheme="minorEastAsia" w:hAnsiTheme="minorHAnsi" w:cstheme="minorBidi"/>
          <w:b w:val="0"/>
          <w:bCs w:val="0"/>
          <w:noProof/>
          <w:szCs w:val="22"/>
        </w:rPr>
      </w:pPr>
      <w:r>
        <w:rPr>
          <w:noProof/>
        </w:rPr>
        <w:t>D.III</w:t>
      </w:r>
      <w:r>
        <w:rPr>
          <w:rFonts w:asciiTheme="minorHAnsi" w:eastAsiaTheme="minorEastAsia" w:hAnsiTheme="minorHAnsi" w:cstheme="minorBidi"/>
          <w:b w:val="0"/>
          <w:bCs w:val="0"/>
          <w:noProof/>
          <w:szCs w:val="22"/>
        </w:rPr>
        <w:tab/>
      </w:r>
      <w:r>
        <w:rPr>
          <w:noProof/>
        </w:rPr>
        <w:t>Reprodukce majetku pro státní správu, PŘO a OPŘO</w:t>
      </w:r>
      <w:r>
        <w:rPr>
          <w:noProof/>
        </w:rPr>
        <w:tab/>
      </w:r>
      <w:r>
        <w:rPr>
          <w:noProof/>
        </w:rPr>
        <w:fldChar w:fldCharType="begin"/>
      </w:r>
      <w:r>
        <w:rPr>
          <w:noProof/>
        </w:rPr>
        <w:instrText xml:space="preserve"> PAGEREF _Toc5968896 \h </w:instrText>
      </w:r>
      <w:r>
        <w:rPr>
          <w:noProof/>
        </w:rPr>
      </w:r>
      <w:r>
        <w:rPr>
          <w:noProof/>
        </w:rPr>
        <w:fldChar w:fldCharType="separate"/>
      </w:r>
      <w:r w:rsidR="00C04B69">
        <w:rPr>
          <w:noProof/>
        </w:rPr>
        <w:t>107</w:t>
      </w:r>
      <w:r>
        <w:rPr>
          <w:noProof/>
        </w:rPr>
        <w:fldChar w:fldCharType="end"/>
      </w:r>
    </w:p>
    <w:p w14:paraId="2C7E0214" w14:textId="77777777" w:rsidR="008F55DA" w:rsidRDefault="008F55DA">
      <w:pPr>
        <w:pStyle w:val="Obsah2"/>
        <w:rPr>
          <w:rFonts w:asciiTheme="minorHAnsi" w:eastAsiaTheme="minorEastAsia" w:hAnsiTheme="minorHAnsi" w:cstheme="minorBidi"/>
          <w:b w:val="0"/>
          <w:bCs w:val="0"/>
          <w:noProof/>
          <w:szCs w:val="22"/>
        </w:rPr>
      </w:pPr>
      <w:r>
        <w:rPr>
          <w:noProof/>
        </w:rPr>
        <w:t>D.IV</w:t>
      </w:r>
      <w:r>
        <w:rPr>
          <w:rFonts w:asciiTheme="minorHAnsi" w:eastAsiaTheme="minorEastAsia" w:hAnsiTheme="minorHAnsi" w:cstheme="minorBidi"/>
          <w:b w:val="0"/>
          <w:bCs w:val="0"/>
          <w:noProof/>
          <w:szCs w:val="22"/>
        </w:rPr>
        <w:tab/>
      </w:r>
      <w:r>
        <w:rPr>
          <w:noProof/>
        </w:rPr>
        <w:t>Reprodukce majetku veřejných vysokých škol</w:t>
      </w:r>
      <w:r>
        <w:rPr>
          <w:noProof/>
        </w:rPr>
        <w:tab/>
      </w:r>
      <w:r>
        <w:rPr>
          <w:noProof/>
        </w:rPr>
        <w:fldChar w:fldCharType="begin"/>
      </w:r>
      <w:r>
        <w:rPr>
          <w:noProof/>
        </w:rPr>
        <w:instrText xml:space="preserve"> PAGEREF _Toc5968897 \h </w:instrText>
      </w:r>
      <w:r>
        <w:rPr>
          <w:noProof/>
        </w:rPr>
      </w:r>
      <w:r>
        <w:rPr>
          <w:noProof/>
        </w:rPr>
        <w:fldChar w:fldCharType="separate"/>
      </w:r>
      <w:r w:rsidR="00C04B69">
        <w:rPr>
          <w:noProof/>
        </w:rPr>
        <w:t>107</w:t>
      </w:r>
      <w:r>
        <w:rPr>
          <w:noProof/>
        </w:rPr>
        <w:fldChar w:fldCharType="end"/>
      </w:r>
    </w:p>
    <w:p w14:paraId="79227641" w14:textId="77777777" w:rsidR="008F55DA" w:rsidRDefault="008F55DA">
      <w:pPr>
        <w:pStyle w:val="Obsah2"/>
        <w:rPr>
          <w:rFonts w:asciiTheme="minorHAnsi" w:eastAsiaTheme="minorEastAsia" w:hAnsiTheme="minorHAnsi" w:cstheme="minorBidi"/>
          <w:b w:val="0"/>
          <w:bCs w:val="0"/>
          <w:noProof/>
          <w:szCs w:val="22"/>
        </w:rPr>
      </w:pPr>
      <w:r>
        <w:rPr>
          <w:noProof/>
        </w:rPr>
        <w:t>D.V</w:t>
      </w:r>
      <w:r>
        <w:rPr>
          <w:rFonts w:asciiTheme="minorHAnsi" w:eastAsiaTheme="minorEastAsia" w:hAnsiTheme="minorHAnsi" w:cstheme="minorBidi"/>
          <w:b w:val="0"/>
          <w:bCs w:val="0"/>
          <w:noProof/>
          <w:szCs w:val="22"/>
        </w:rPr>
        <w:tab/>
      </w:r>
      <w:r>
        <w:rPr>
          <w:noProof/>
        </w:rPr>
        <w:t>Reprodukce majetku v oblasti sportu</w:t>
      </w:r>
      <w:r>
        <w:rPr>
          <w:noProof/>
        </w:rPr>
        <w:tab/>
      </w:r>
      <w:r>
        <w:rPr>
          <w:noProof/>
        </w:rPr>
        <w:fldChar w:fldCharType="begin"/>
      </w:r>
      <w:r>
        <w:rPr>
          <w:noProof/>
        </w:rPr>
        <w:instrText xml:space="preserve"> PAGEREF _Toc5968898 \h </w:instrText>
      </w:r>
      <w:r>
        <w:rPr>
          <w:noProof/>
        </w:rPr>
      </w:r>
      <w:r>
        <w:rPr>
          <w:noProof/>
        </w:rPr>
        <w:fldChar w:fldCharType="separate"/>
      </w:r>
      <w:r w:rsidR="00C04B69">
        <w:rPr>
          <w:noProof/>
        </w:rPr>
        <w:t>108</w:t>
      </w:r>
      <w:r>
        <w:rPr>
          <w:noProof/>
        </w:rPr>
        <w:fldChar w:fldCharType="end"/>
      </w:r>
    </w:p>
    <w:p w14:paraId="3A1F9646" w14:textId="77777777" w:rsidR="008F55DA" w:rsidRDefault="008F55DA">
      <w:pPr>
        <w:pStyle w:val="Obsah2"/>
        <w:rPr>
          <w:rFonts w:asciiTheme="minorHAnsi" w:eastAsiaTheme="minorEastAsia" w:hAnsiTheme="minorHAnsi" w:cstheme="minorBidi"/>
          <w:b w:val="0"/>
          <w:bCs w:val="0"/>
          <w:noProof/>
          <w:szCs w:val="22"/>
        </w:rPr>
      </w:pPr>
      <w:r>
        <w:rPr>
          <w:noProof/>
        </w:rPr>
        <w:t>D.VI</w:t>
      </w:r>
      <w:r>
        <w:rPr>
          <w:rFonts w:asciiTheme="minorHAnsi" w:eastAsiaTheme="minorEastAsia" w:hAnsiTheme="minorHAnsi" w:cstheme="minorBidi"/>
          <w:b w:val="0"/>
          <w:bCs w:val="0"/>
          <w:noProof/>
          <w:szCs w:val="22"/>
        </w:rPr>
        <w:tab/>
      </w:r>
      <w:r>
        <w:rPr>
          <w:noProof/>
        </w:rPr>
        <w:t>Reprodukce majetku v oblasti mládeže</w:t>
      </w:r>
      <w:r>
        <w:rPr>
          <w:noProof/>
        </w:rPr>
        <w:tab/>
      </w:r>
      <w:r>
        <w:rPr>
          <w:noProof/>
        </w:rPr>
        <w:fldChar w:fldCharType="begin"/>
      </w:r>
      <w:r>
        <w:rPr>
          <w:noProof/>
        </w:rPr>
        <w:instrText xml:space="preserve"> PAGEREF _Toc5968899 \h </w:instrText>
      </w:r>
      <w:r>
        <w:rPr>
          <w:noProof/>
        </w:rPr>
      </w:r>
      <w:r>
        <w:rPr>
          <w:noProof/>
        </w:rPr>
        <w:fldChar w:fldCharType="separate"/>
      </w:r>
      <w:r w:rsidR="00C04B69">
        <w:rPr>
          <w:noProof/>
        </w:rPr>
        <w:t>108</w:t>
      </w:r>
      <w:r>
        <w:rPr>
          <w:noProof/>
        </w:rPr>
        <w:fldChar w:fldCharType="end"/>
      </w:r>
    </w:p>
    <w:p w14:paraId="68D4BC3E" w14:textId="77777777" w:rsidR="008F55DA" w:rsidRDefault="008F55DA">
      <w:pPr>
        <w:pStyle w:val="Obsah1"/>
        <w:rPr>
          <w:rFonts w:asciiTheme="minorHAnsi" w:eastAsiaTheme="minorEastAsia" w:hAnsiTheme="minorHAnsi" w:cstheme="minorBidi"/>
          <w:b w:val="0"/>
          <w:bCs w:val="0"/>
          <w:caps w:val="0"/>
          <w:noProof/>
          <w:sz w:val="22"/>
          <w:szCs w:val="22"/>
        </w:rPr>
      </w:pPr>
      <w:r>
        <w:rPr>
          <w:noProof/>
        </w:rPr>
        <w:t>E</w:t>
      </w:r>
      <w:r>
        <w:rPr>
          <w:rFonts w:asciiTheme="minorHAnsi" w:eastAsiaTheme="minorEastAsia" w:hAnsiTheme="minorHAnsi" w:cstheme="minorBidi"/>
          <w:b w:val="0"/>
          <w:bCs w:val="0"/>
          <w:caps w:val="0"/>
          <w:noProof/>
          <w:sz w:val="22"/>
          <w:szCs w:val="22"/>
        </w:rPr>
        <w:tab/>
      </w:r>
      <w:r>
        <w:rPr>
          <w:noProof/>
        </w:rPr>
        <w:t>Souhrnná rekapitulace výdajů na programy spolufinancované z rozpočtu EU a související výdaje včetně VVI</w:t>
      </w:r>
      <w:r>
        <w:rPr>
          <w:noProof/>
        </w:rPr>
        <w:tab/>
      </w:r>
      <w:r>
        <w:rPr>
          <w:noProof/>
        </w:rPr>
        <w:fldChar w:fldCharType="begin"/>
      </w:r>
      <w:r>
        <w:rPr>
          <w:noProof/>
        </w:rPr>
        <w:instrText xml:space="preserve"> PAGEREF _Toc5968900 \h </w:instrText>
      </w:r>
      <w:r>
        <w:rPr>
          <w:noProof/>
        </w:rPr>
      </w:r>
      <w:r>
        <w:rPr>
          <w:noProof/>
        </w:rPr>
        <w:fldChar w:fldCharType="separate"/>
      </w:r>
      <w:r w:rsidR="00C04B69">
        <w:rPr>
          <w:noProof/>
        </w:rPr>
        <w:t>109</w:t>
      </w:r>
      <w:r>
        <w:rPr>
          <w:noProof/>
        </w:rPr>
        <w:fldChar w:fldCharType="end"/>
      </w:r>
    </w:p>
    <w:p w14:paraId="18B5414A" w14:textId="77777777" w:rsidR="00C069EF" w:rsidRPr="00853611" w:rsidRDefault="00D42341" w:rsidP="000B0061">
      <w:pPr>
        <w:tabs>
          <w:tab w:val="left" w:pos="9072"/>
        </w:tabs>
        <w:rPr>
          <w:rFonts w:ascii="Cambria" w:hAnsi="Cambria"/>
          <w:color w:val="548DD4"/>
          <w:szCs w:val="24"/>
          <w:highlight w:val="yellow"/>
        </w:rPr>
      </w:pPr>
      <w:r w:rsidRPr="00853611">
        <w:rPr>
          <w:rFonts w:ascii="Cambria" w:hAnsi="Cambria"/>
          <w:color w:val="548DD4"/>
          <w:szCs w:val="24"/>
          <w:highlight w:val="yellow"/>
        </w:rPr>
        <w:fldChar w:fldCharType="end"/>
      </w:r>
    </w:p>
    <w:p w14:paraId="7C9668DB" w14:textId="77777777" w:rsidR="0003525E" w:rsidRPr="00911311" w:rsidRDefault="001840A2" w:rsidP="000B0061">
      <w:pPr>
        <w:tabs>
          <w:tab w:val="left" w:pos="9072"/>
        </w:tabs>
        <w:rPr>
          <w:b/>
          <w:szCs w:val="24"/>
        </w:rPr>
      </w:pPr>
      <w:r w:rsidRPr="00853611">
        <w:rPr>
          <w:rFonts w:ascii="Cambria" w:hAnsi="Cambria"/>
          <w:color w:val="548DD4"/>
          <w:szCs w:val="24"/>
          <w:highlight w:val="yellow"/>
        </w:rPr>
        <w:br w:type="page"/>
      </w:r>
      <w:r w:rsidR="0003525E" w:rsidRPr="00911311">
        <w:rPr>
          <w:b/>
          <w:szCs w:val="24"/>
        </w:rPr>
        <w:lastRenderedPageBreak/>
        <w:t>Seznam tabulek v textu:</w:t>
      </w:r>
    </w:p>
    <w:p w14:paraId="31418382" w14:textId="77777777" w:rsidR="0003525E" w:rsidRPr="00853611" w:rsidRDefault="0003525E" w:rsidP="000B0061">
      <w:pPr>
        <w:tabs>
          <w:tab w:val="left" w:pos="9072"/>
        </w:tabs>
        <w:rPr>
          <w:rFonts w:ascii="Cambria" w:hAnsi="Cambria"/>
          <w:color w:val="548DD4"/>
          <w:szCs w:val="24"/>
          <w:highlight w:val="yellow"/>
        </w:rPr>
      </w:pPr>
    </w:p>
    <w:p w14:paraId="68E998B9" w14:textId="77777777" w:rsidR="006531DE" w:rsidRDefault="0003525E">
      <w:pPr>
        <w:pStyle w:val="Seznamobrzk"/>
        <w:tabs>
          <w:tab w:val="right" w:leader="dot" w:pos="9060"/>
        </w:tabs>
        <w:rPr>
          <w:rFonts w:asciiTheme="minorHAnsi" w:eastAsiaTheme="minorEastAsia" w:hAnsiTheme="minorHAnsi" w:cstheme="minorBidi"/>
          <w:noProof/>
          <w:sz w:val="22"/>
          <w:szCs w:val="22"/>
        </w:rPr>
      </w:pPr>
      <w:r w:rsidRPr="00853611">
        <w:rPr>
          <w:i/>
          <w:highlight w:val="yellow"/>
        </w:rPr>
        <w:fldChar w:fldCharType="begin"/>
      </w:r>
      <w:r w:rsidRPr="00853611">
        <w:rPr>
          <w:i/>
          <w:highlight w:val="yellow"/>
        </w:rPr>
        <w:instrText xml:space="preserve"> TOC \h \z \c "Tabulka" </w:instrText>
      </w:r>
      <w:r w:rsidRPr="00853611">
        <w:rPr>
          <w:i/>
          <w:highlight w:val="yellow"/>
        </w:rPr>
        <w:fldChar w:fldCharType="separate"/>
      </w:r>
      <w:hyperlink w:anchor="_Toc5965618" w:history="1">
        <w:r w:rsidR="006531DE" w:rsidRPr="00E6223D">
          <w:rPr>
            <w:rStyle w:val="Hypertextovodkaz"/>
            <w:noProof/>
          </w:rPr>
          <w:t>Tabulka A</w:t>
        </w:r>
        <w:r w:rsidR="006531DE" w:rsidRPr="00E6223D">
          <w:rPr>
            <w:rStyle w:val="Hypertextovodkaz"/>
            <w:noProof/>
          </w:rPr>
          <w:noBreakHyphen/>
          <w:t>1: parametry kapitoly MŠMT – východiska v Kč</w:t>
        </w:r>
        <w:r w:rsidR="006531DE">
          <w:rPr>
            <w:noProof/>
            <w:webHidden/>
          </w:rPr>
          <w:tab/>
        </w:r>
        <w:r w:rsidR="006531DE">
          <w:rPr>
            <w:noProof/>
            <w:webHidden/>
          </w:rPr>
          <w:fldChar w:fldCharType="begin"/>
        </w:r>
        <w:r w:rsidR="006531DE">
          <w:rPr>
            <w:noProof/>
            <w:webHidden/>
          </w:rPr>
          <w:instrText xml:space="preserve"> PAGEREF _Toc5965618 \h </w:instrText>
        </w:r>
        <w:r w:rsidR="006531DE">
          <w:rPr>
            <w:noProof/>
            <w:webHidden/>
          </w:rPr>
        </w:r>
        <w:r w:rsidR="006531DE">
          <w:rPr>
            <w:noProof/>
            <w:webHidden/>
          </w:rPr>
          <w:fldChar w:fldCharType="separate"/>
        </w:r>
        <w:r w:rsidR="00C04B69">
          <w:rPr>
            <w:noProof/>
            <w:webHidden/>
          </w:rPr>
          <w:t>1</w:t>
        </w:r>
        <w:r w:rsidR="006531DE">
          <w:rPr>
            <w:noProof/>
            <w:webHidden/>
          </w:rPr>
          <w:fldChar w:fldCharType="end"/>
        </w:r>
      </w:hyperlink>
    </w:p>
    <w:p w14:paraId="6494DC81"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19" w:history="1">
        <w:r w:rsidR="006531DE" w:rsidRPr="00E6223D">
          <w:rPr>
            <w:rStyle w:val="Hypertextovodkaz"/>
            <w:noProof/>
          </w:rPr>
          <w:t>Tabulka A</w:t>
        </w:r>
        <w:r w:rsidR="006531DE" w:rsidRPr="00E6223D">
          <w:rPr>
            <w:rStyle w:val="Hypertextovodkaz"/>
            <w:noProof/>
          </w:rPr>
          <w:noBreakHyphen/>
          <w:t>2: Závazné parametry kapitoly MŠMT – rozpočet podle vlády ČR v Kč</w:t>
        </w:r>
        <w:r w:rsidR="006531DE">
          <w:rPr>
            <w:noProof/>
            <w:webHidden/>
          </w:rPr>
          <w:tab/>
        </w:r>
        <w:r w:rsidR="006531DE">
          <w:rPr>
            <w:noProof/>
            <w:webHidden/>
          </w:rPr>
          <w:fldChar w:fldCharType="begin"/>
        </w:r>
        <w:r w:rsidR="006531DE">
          <w:rPr>
            <w:noProof/>
            <w:webHidden/>
          </w:rPr>
          <w:instrText xml:space="preserve"> PAGEREF _Toc5965619 \h </w:instrText>
        </w:r>
        <w:r w:rsidR="006531DE">
          <w:rPr>
            <w:noProof/>
            <w:webHidden/>
          </w:rPr>
        </w:r>
        <w:r w:rsidR="006531DE">
          <w:rPr>
            <w:noProof/>
            <w:webHidden/>
          </w:rPr>
          <w:fldChar w:fldCharType="separate"/>
        </w:r>
        <w:r w:rsidR="00C04B69">
          <w:rPr>
            <w:noProof/>
            <w:webHidden/>
          </w:rPr>
          <w:t>2</w:t>
        </w:r>
        <w:r w:rsidR="006531DE">
          <w:rPr>
            <w:noProof/>
            <w:webHidden/>
          </w:rPr>
          <w:fldChar w:fldCharType="end"/>
        </w:r>
      </w:hyperlink>
    </w:p>
    <w:p w14:paraId="3DDC1EE6"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0" w:history="1">
        <w:r w:rsidR="006531DE" w:rsidRPr="00E6223D">
          <w:rPr>
            <w:rStyle w:val="Hypertextovodkaz"/>
            <w:noProof/>
          </w:rPr>
          <w:t>Tabulka A</w:t>
        </w:r>
        <w:r w:rsidR="006531DE" w:rsidRPr="00E6223D">
          <w:rPr>
            <w:rStyle w:val="Hypertextovodkaz"/>
            <w:noProof/>
          </w:rPr>
          <w:noBreakHyphen/>
          <w:t>3: Specifické závazné ukazatele na rok 2019</w:t>
        </w:r>
        <w:r w:rsidR="006531DE">
          <w:rPr>
            <w:noProof/>
            <w:webHidden/>
          </w:rPr>
          <w:tab/>
        </w:r>
        <w:r w:rsidR="006531DE">
          <w:rPr>
            <w:noProof/>
            <w:webHidden/>
          </w:rPr>
          <w:fldChar w:fldCharType="begin"/>
        </w:r>
        <w:r w:rsidR="006531DE">
          <w:rPr>
            <w:noProof/>
            <w:webHidden/>
          </w:rPr>
          <w:instrText xml:space="preserve"> PAGEREF _Toc5965620 \h </w:instrText>
        </w:r>
        <w:r w:rsidR="006531DE">
          <w:rPr>
            <w:noProof/>
            <w:webHidden/>
          </w:rPr>
        </w:r>
        <w:r w:rsidR="006531DE">
          <w:rPr>
            <w:noProof/>
            <w:webHidden/>
          </w:rPr>
          <w:fldChar w:fldCharType="separate"/>
        </w:r>
        <w:r w:rsidR="00C04B69">
          <w:rPr>
            <w:noProof/>
            <w:webHidden/>
          </w:rPr>
          <w:t>8</w:t>
        </w:r>
        <w:r w:rsidR="006531DE">
          <w:rPr>
            <w:noProof/>
            <w:webHidden/>
          </w:rPr>
          <w:fldChar w:fldCharType="end"/>
        </w:r>
      </w:hyperlink>
    </w:p>
    <w:p w14:paraId="409A35D2"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1" w:history="1">
        <w:r w:rsidR="006531DE" w:rsidRPr="00E6223D">
          <w:rPr>
            <w:rStyle w:val="Hypertextovodkaz"/>
            <w:noProof/>
          </w:rPr>
          <w:t>Tabulka B</w:t>
        </w:r>
        <w:r w:rsidR="006531DE" w:rsidRPr="00E6223D">
          <w:rPr>
            <w:rStyle w:val="Hypertextovodkaz"/>
            <w:noProof/>
          </w:rPr>
          <w:noBreakHyphen/>
          <w:t>1: Členění OBV dle ukazatelů</w:t>
        </w:r>
        <w:r w:rsidR="006531DE">
          <w:rPr>
            <w:noProof/>
            <w:webHidden/>
          </w:rPr>
          <w:tab/>
        </w:r>
        <w:r w:rsidR="006531DE">
          <w:rPr>
            <w:noProof/>
            <w:webHidden/>
          </w:rPr>
          <w:fldChar w:fldCharType="begin"/>
        </w:r>
        <w:r w:rsidR="006531DE">
          <w:rPr>
            <w:noProof/>
            <w:webHidden/>
          </w:rPr>
          <w:instrText xml:space="preserve"> PAGEREF _Toc5965621 \h </w:instrText>
        </w:r>
        <w:r w:rsidR="006531DE">
          <w:rPr>
            <w:noProof/>
            <w:webHidden/>
          </w:rPr>
        </w:r>
        <w:r w:rsidR="006531DE">
          <w:rPr>
            <w:noProof/>
            <w:webHidden/>
          </w:rPr>
          <w:fldChar w:fldCharType="separate"/>
        </w:r>
        <w:r w:rsidR="00C04B69">
          <w:rPr>
            <w:noProof/>
            <w:webHidden/>
          </w:rPr>
          <w:t>15</w:t>
        </w:r>
        <w:r w:rsidR="006531DE">
          <w:rPr>
            <w:noProof/>
            <w:webHidden/>
          </w:rPr>
          <w:fldChar w:fldCharType="end"/>
        </w:r>
      </w:hyperlink>
    </w:p>
    <w:p w14:paraId="770F9213"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2" w:history="1">
        <w:r w:rsidR="006531DE" w:rsidRPr="00E6223D">
          <w:rPr>
            <w:rStyle w:val="Hypertextovodkaz"/>
            <w:noProof/>
          </w:rPr>
          <w:t>Tabulka C</w:t>
        </w:r>
        <w:r w:rsidR="006531DE" w:rsidRPr="00E6223D">
          <w:rPr>
            <w:rStyle w:val="Hypertextovodkaz"/>
            <w:noProof/>
          </w:rPr>
          <w:noBreakHyphen/>
          <w:t>1: Porovnání upraveného rozpočtu VŠ</w:t>
        </w:r>
        <w:r w:rsidR="006531DE">
          <w:rPr>
            <w:noProof/>
            <w:webHidden/>
          </w:rPr>
          <w:tab/>
        </w:r>
        <w:r w:rsidR="006531DE">
          <w:rPr>
            <w:noProof/>
            <w:webHidden/>
          </w:rPr>
          <w:fldChar w:fldCharType="begin"/>
        </w:r>
        <w:r w:rsidR="006531DE">
          <w:rPr>
            <w:noProof/>
            <w:webHidden/>
          </w:rPr>
          <w:instrText xml:space="preserve"> PAGEREF _Toc5965622 \h </w:instrText>
        </w:r>
        <w:r w:rsidR="006531DE">
          <w:rPr>
            <w:noProof/>
            <w:webHidden/>
          </w:rPr>
        </w:r>
        <w:r w:rsidR="006531DE">
          <w:rPr>
            <w:noProof/>
            <w:webHidden/>
          </w:rPr>
          <w:fldChar w:fldCharType="separate"/>
        </w:r>
        <w:r w:rsidR="00C04B69">
          <w:rPr>
            <w:noProof/>
            <w:webHidden/>
          </w:rPr>
          <w:t>22</w:t>
        </w:r>
        <w:r w:rsidR="006531DE">
          <w:rPr>
            <w:noProof/>
            <w:webHidden/>
          </w:rPr>
          <w:fldChar w:fldCharType="end"/>
        </w:r>
      </w:hyperlink>
    </w:p>
    <w:p w14:paraId="2B63EC79"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3" w:history="1">
        <w:r w:rsidR="006531DE" w:rsidRPr="00E6223D">
          <w:rPr>
            <w:rStyle w:val="Hypertextovodkaz"/>
            <w:noProof/>
          </w:rPr>
          <w:t>Tabulka C</w:t>
        </w:r>
        <w:r w:rsidR="006531DE" w:rsidRPr="00E6223D">
          <w:rPr>
            <w:rStyle w:val="Hypertextovodkaz"/>
            <w:noProof/>
          </w:rPr>
          <w:noBreakHyphen/>
          <w:t>2: Výdaje na VVI bez EU</w:t>
        </w:r>
        <w:r w:rsidR="006531DE">
          <w:rPr>
            <w:noProof/>
            <w:webHidden/>
          </w:rPr>
          <w:tab/>
        </w:r>
        <w:r w:rsidR="006531DE">
          <w:rPr>
            <w:noProof/>
            <w:webHidden/>
          </w:rPr>
          <w:fldChar w:fldCharType="begin"/>
        </w:r>
        <w:r w:rsidR="006531DE">
          <w:rPr>
            <w:noProof/>
            <w:webHidden/>
          </w:rPr>
          <w:instrText xml:space="preserve"> PAGEREF _Toc5965623 \h </w:instrText>
        </w:r>
        <w:r w:rsidR="006531DE">
          <w:rPr>
            <w:noProof/>
            <w:webHidden/>
          </w:rPr>
        </w:r>
        <w:r w:rsidR="006531DE">
          <w:rPr>
            <w:noProof/>
            <w:webHidden/>
          </w:rPr>
          <w:fldChar w:fldCharType="separate"/>
        </w:r>
        <w:r w:rsidR="00C04B69">
          <w:rPr>
            <w:noProof/>
            <w:webHidden/>
          </w:rPr>
          <w:t>23</w:t>
        </w:r>
        <w:r w:rsidR="006531DE">
          <w:rPr>
            <w:noProof/>
            <w:webHidden/>
          </w:rPr>
          <w:fldChar w:fldCharType="end"/>
        </w:r>
      </w:hyperlink>
    </w:p>
    <w:p w14:paraId="3373A451"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4" w:history="1">
        <w:r w:rsidR="006531DE" w:rsidRPr="00E6223D">
          <w:rPr>
            <w:rStyle w:val="Hypertextovodkaz"/>
            <w:noProof/>
          </w:rPr>
          <w:t>Tabulka C</w:t>
        </w:r>
        <w:r w:rsidR="006531DE" w:rsidRPr="00E6223D">
          <w:rPr>
            <w:rStyle w:val="Hypertextovodkaz"/>
            <w:noProof/>
          </w:rPr>
          <w:noBreakHyphen/>
          <w:t>3: Výdaje na VVI bez výdajů na OP VVV</w:t>
        </w:r>
        <w:r w:rsidR="006531DE">
          <w:rPr>
            <w:noProof/>
            <w:webHidden/>
          </w:rPr>
          <w:tab/>
        </w:r>
        <w:r w:rsidR="006531DE">
          <w:rPr>
            <w:noProof/>
            <w:webHidden/>
          </w:rPr>
          <w:fldChar w:fldCharType="begin"/>
        </w:r>
        <w:r w:rsidR="006531DE">
          <w:rPr>
            <w:noProof/>
            <w:webHidden/>
          </w:rPr>
          <w:instrText xml:space="preserve"> PAGEREF _Toc5965624 \h </w:instrText>
        </w:r>
        <w:r w:rsidR="006531DE">
          <w:rPr>
            <w:noProof/>
            <w:webHidden/>
          </w:rPr>
        </w:r>
        <w:r w:rsidR="006531DE">
          <w:rPr>
            <w:noProof/>
            <w:webHidden/>
          </w:rPr>
          <w:fldChar w:fldCharType="separate"/>
        </w:r>
        <w:r w:rsidR="00C04B69">
          <w:rPr>
            <w:noProof/>
            <w:webHidden/>
          </w:rPr>
          <w:t>24</w:t>
        </w:r>
        <w:r w:rsidR="006531DE">
          <w:rPr>
            <w:noProof/>
            <w:webHidden/>
          </w:rPr>
          <w:fldChar w:fldCharType="end"/>
        </w:r>
      </w:hyperlink>
    </w:p>
    <w:p w14:paraId="76738067"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5" w:history="1">
        <w:r w:rsidR="006531DE" w:rsidRPr="00E6223D">
          <w:rPr>
            <w:rStyle w:val="Hypertextovodkaz"/>
            <w:noProof/>
          </w:rPr>
          <w:t>Tabulka C</w:t>
        </w:r>
        <w:r w:rsidR="006531DE" w:rsidRPr="00E6223D">
          <w:rPr>
            <w:rStyle w:val="Hypertextovodkaz"/>
            <w:noProof/>
          </w:rPr>
          <w:noBreakHyphen/>
          <w:t>4: Příjemci - institucionální podpora</w:t>
        </w:r>
        <w:r w:rsidR="006531DE">
          <w:rPr>
            <w:noProof/>
            <w:webHidden/>
          </w:rPr>
          <w:tab/>
        </w:r>
        <w:r w:rsidR="006531DE">
          <w:rPr>
            <w:noProof/>
            <w:webHidden/>
          </w:rPr>
          <w:fldChar w:fldCharType="begin"/>
        </w:r>
        <w:r w:rsidR="006531DE">
          <w:rPr>
            <w:noProof/>
            <w:webHidden/>
          </w:rPr>
          <w:instrText xml:space="preserve"> PAGEREF _Toc5965625 \h </w:instrText>
        </w:r>
        <w:r w:rsidR="006531DE">
          <w:rPr>
            <w:noProof/>
            <w:webHidden/>
          </w:rPr>
        </w:r>
        <w:r w:rsidR="006531DE">
          <w:rPr>
            <w:noProof/>
            <w:webHidden/>
          </w:rPr>
          <w:fldChar w:fldCharType="separate"/>
        </w:r>
        <w:r w:rsidR="00C04B69">
          <w:rPr>
            <w:noProof/>
            <w:webHidden/>
          </w:rPr>
          <w:t>25</w:t>
        </w:r>
        <w:r w:rsidR="006531DE">
          <w:rPr>
            <w:noProof/>
            <w:webHidden/>
          </w:rPr>
          <w:fldChar w:fldCharType="end"/>
        </w:r>
      </w:hyperlink>
    </w:p>
    <w:p w14:paraId="4811EC79"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6" w:history="1">
        <w:r w:rsidR="006531DE" w:rsidRPr="00E6223D">
          <w:rPr>
            <w:rStyle w:val="Hypertextovodkaz"/>
            <w:noProof/>
          </w:rPr>
          <w:t>Tabulka C</w:t>
        </w:r>
        <w:r w:rsidR="006531DE" w:rsidRPr="00E6223D">
          <w:rPr>
            <w:rStyle w:val="Hypertextovodkaz"/>
            <w:noProof/>
          </w:rPr>
          <w:noBreakHyphen/>
          <w:t>5: Účelová podpora VVI - Programy</w:t>
        </w:r>
        <w:r w:rsidR="006531DE">
          <w:rPr>
            <w:noProof/>
            <w:webHidden/>
          </w:rPr>
          <w:tab/>
        </w:r>
        <w:r w:rsidR="006531DE">
          <w:rPr>
            <w:noProof/>
            <w:webHidden/>
          </w:rPr>
          <w:fldChar w:fldCharType="begin"/>
        </w:r>
        <w:r w:rsidR="006531DE">
          <w:rPr>
            <w:noProof/>
            <w:webHidden/>
          </w:rPr>
          <w:instrText xml:space="preserve"> PAGEREF _Toc5965626 \h </w:instrText>
        </w:r>
        <w:r w:rsidR="006531DE">
          <w:rPr>
            <w:noProof/>
            <w:webHidden/>
          </w:rPr>
        </w:r>
        <w:r w:rsidR="006531DE">
          <w:rPr>
            <w:noProof/>
            <w:webHidden/>
          </w:rPr>
          <w:fldChar w:fldCharType="separate"/>
        </w:r>
        <w:r w:rsidR="00C04B69">
          <w:rPr>
            <w:noProof/>
            <w:webHidden/>
          </w:rPr>
          <w:t>27</w:t>
        </w:r>
        <w:r w:rsidR="006531DE">
          <w:rPr>
            <w:noProof/>
            <w:webHidden/>
          </w:rPr>
          <w:fldChar w:fldCharType="end"/>
        </w:r>
      </w:hyperlink>
    </w:p>
    <w:p w14:paraId="72A9BDF0"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7" w:history="1">
        <w:r w:rsidR="006531DE" w:rsidRPr="00E6223D">
          <w:rPr>
            <w:rStyle w:val="Hypertextovodkaz"/>
            <w:noProof/>
          </w:rPr>
          <w:t>Tabulka C</w:t>
        </w:r>
        <w:r w:rsidR="006531DE" w:rsidRPr="00E6223D">
          <w:rPr>
            <w:rStyle w:val="Hypertextovodkaz"/>
            <w:noProof/>
          </w:rPr>
          <w:noBreakHyphen/>
          <w:t>6: Příjemci – Specifický vysokoškolský výzkum</w:t>
        </w:r>
        <w:r w:rsidR="006531DE">
          <w:rPr>
            <w:noProof/>
            <w:webHidden/>
          </w:rPr>
          <w:tab/>
        </w:r>
        <w:r w:rsidR="006531DE">
          <w:rPr>
            <w:noProof/>
            <w:webHidden/>
          </w:rPr>
          <w:fldChar w:fldCharType="begin"/>
        </w:r>
        <w:r w:rsidR="006531DE">
          <w:rPr>
            <w:noProof/>
            <w:webHidden/>
          </w:rPr>
          <w:instrText xml:space="preserve"> PAGEREF _Toc5965627 \h </w:instrText>
        </w:r>
        <w:r w:rsidR="006531DE">
          <w:rPr>
            <w:noProof/>
            <w:webHidden/>
          </w:rPr>
        </w:r>
        <w:r w:rsidR="006531DE">
          <w:rPr>
            <w:noProof/>
            <w:webHidden/>
          </w:rPr>
          <w:fldChar w:fldCharType="separate"/>
        </w:r>
        <w:r w:rsidR="00C04B69">
          <w:rPr>
            <w:noProof/>
            <w:webHidden/>
          </w:rPr>
          <w:t>28</w:t>
        </w:r>
        <w:r w:rsidR="006531DE">
          <w:rPr>
            <w:noProof/>
            <w:webHidden/>
          </w:rPr>
          <w:fldChar w:fldCharType="end"/>
        </w:r>
      </w:hyperlink>
    </w:p>
    <w:p w14:paraId="74E8942C"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8" w:history="1">
        <w:r w:rsidR="006531DE" w:rsidRPr="00E6223D">
          <w:rPr>
            <w:rStyle w:val="Hypertextovodkaz"/>
            <w:noProof/>
          </w:rPr>
          <w:t>Tabulka C</w:t>
        </w:r>
        <w:r w:rsidR="006531DE" w:rsidRPr="00E6223D">
          <w:rPr>
            <w:rStyle w:val="Hypertextovodkaz"/>
            <w:noProof/>
          </w:rPr>
          <w:noBreakHyphen/>
          <w:t>7: Příjemci – Specifický vysokoškolský výzkum</w:t>
        </w:r>
        <w:r w:rsidR="006531DE">
          <w:rPr>
            <w:noProof/>
            <w:webHidden/>
          </w:rPr>
          <w:tab/>
        </w:r>
        <w:r w:rsidR="006531DE">
          <w:rPr>
            <w:noProof/>
            <w:webHidden/>
          </w:rPr>
          <w:fldChar w:fldCharType="begin"/>
        </w:r>
        <w:r w:rsidR="006531DE">
          <w:rPr>
            <w:noProof/>
            <w:webHidden/>
          </w:rPr>
          <w:instrText xml:space="preserve"> PAGEREF _Toc5965628 \h </w:instrText>
        </w:r>
        <w:r w:rsidR="006531DE">
          <w:rPr>
            <w:noProof/>
            <w:webHidden/>
          </w:rPr>
        </w:r>
        <w:r w:rsidR="006531DE">
          <w:rPr>
            <w:noProof/>
            <w:webHidden/>
          </w:rPr>
          <w:fldChar w:fldCharType="separate"/>
        </w:r>
        <w:r w:rsidR="00C04B69">
          <w:rPr>
            <w:noProof/>
            <w:webHidden/>
          </w:rPr>
          <w:t>29</w:t>
        </w:r>
        <w:r w:rsidR="006531DE">
          <w:rPr>
            <w:noProof/>
            <w:webHidden/>
          </w:rPr>
          <w:fldChar w:fldCharType="end"/>
        </w:r>
      </w:hyperlink>
    </w:p>
    <w:p w14:paraId="19896315"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29" w:history="1">
        <w:r w:rsidR="006531DE" w:rsidRPr="00E6223D">
          <w:rPr>
            <w:rStyle w:val="Hypertextovodkaz"/>
            <w:noProof/>
          </w:rPr>
          <w:t>Tabulka C</w:t>
        </w:r>
        <w:r w:rsidR="006531DE" w:rsidRPr="00E6223D">
          <w:rPr>
            <w:rStyle w:val="Hypertextovodkaz"/>
            <w:noProof/>
          </w:rPr>
          <w:noBreakHyphen/>
          <w:t>8: Podrobná struktura rozpočtu RgŠ</w:t>
        </w:r>
        <w:r w:rsidR="006531DE">
          <w:rPr>
            <w:noProof/>
            <w:webHidden/>
          </w:rPr>
          <w:tab/>
        </w:r>
        <w:r w:rsidR="006531DE">
          <w:rPr>
            <w:noProof/>
            <w:webHidden/>
          </w:rPr>
          <w:fldChar w:fldCharType="begin"/>
        </w:r>
        <w:r w:rsidR="006531DE">
          <w:rPr>
            <w:noProof/>
            <w:webHidden/>
          </w:rPr>
          <w:instrText xml:space="preserve"> PAGEREF _Toc5965629 \h </w:instrText>
        </w:r>
        <w:r w:rsidR="006531DE">
          <w:rPr>
            <w:noProof/>
            <w:webHidden/>
          </w:rPr>
        </w:r>
        <w:r w:rsidR="006531DE">
          <w:rPr>
            <w:noProof/>
            <w:webHidden/>
          </w:rPr>
          <w:fldChar w:fldCharType="separate"/>
        </w:r>
        <w:r w:rsidR="00C04B69">
          <w:rPr>
            <w:noProof/>
            <w:webHidden/>
          </w:rPr>
          <w:t>32</w:t>
        </w:r>
        <w:r w:rsidR="006531DE">
          <w:rPr>
            <w:noProof/>
            <w:webHidden/>
          </w:rPr>
          <w:fldChar w:fldCharType="end"/>
        </w:r>
      </w:hyperlink>
    </w:p>
    <w:p w14:paraId="46AAE349"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0" w:history="1">
        <w:r w:rsidR="006531DE" w:rsidRPr="00E6223D">
          <w:rPr>
            <w:rStyle w:val="Hypertextovodkaz"/>
            <w:noProof/>
          </w:rPr>
          <w:t>Tabulka C</w:t>
        </w:r>
        <w:r w:rsidR="006531DE" w:rsidRPr="00E6223D">
          <w:rPr>
            <w:rStyle w:val="Hypertextovodkaz"/>
            <w:noProof/>
          </w:rPr>
          <w:noBreakHyphen/>
          <w:t>9: Podrobná struktura rozpočtu RgŠ po úpravě</w:t>
        </w:r>
        <w:r w:rsidR="006531DE">
          <w:rPr>
            <w:noProof/>
            <w:webHidden/>
          </w:rPr>
          <w:tab/>
        </w:r>
        <w:r w:rsidR="006531DE">
          <w:rPr>
            <w:noProof/>
            <w:webHidden/>
          </w:rPr>
          <w:fldChar w:fldCharType="begin"/>
        </w:r>
        <w:r w:rsidR="006531DE">
          <w:rPr>
            <w:noProof/>
            <w:webHidden/>
          </w:rPr>
          <w:instrText xml:space="preserve"> PAGEREF _Toc5965630 \h </w:instrText>
        </w:r>
        <w:r w:rsidR="006531DE">
          <w:rPr>
            <w:noProof/>
            <w:webHidden/>
          </w:rPr>
        </w:r>
        <w:r w:rsidR="006531DE">
          <w:rPr>
            <w:noProof/>
            <w:webHidden/>
          </w:rPr>
          <w:fldChar w:fldCharType="separate"/>
        </w:r>
        <w:r w:rsidR="00C04B69">
          <w:rPr>
            <w:noProof/>
            <w:webHidden/>
          </w:rPr>
          <w:t>32</w:t>
        </w:r>
        <w:r w:rsidR="006531DE">
          <w:rPr>
            <w:noProof/>
            <w:webHidden/>
          </w:rPr>
          <w:fldChar w:fldCharType="end"/>
        </w:r>
      </w:hyperlink>
    </w:p>
    <w:p w14:paraId="24DE4C60"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1" w:history="1">
        <w:r w:rsidR="006531DE" w:rsidRPr="00E6223D">
          <w:rPr>
            <w:rStyle w:val="Hypertextovodkaz"/>
            <w:noProof/>
          </w:rPr>
          <w:t>Tabulka C</w:t>
        </w:r>
        <w:r w:rsidR="006531DE" w:rsidRPr="00E6223D">
          <w:rPr>
            <w:rStyle w:val="Hypertextovodkaz"/>
            <w:noProof/>
          </w:rPr>
          <w:noBreakHyphen/>
          <w:t>10: Rozpočtové zdroje RgŠ schváleného státního rozpočtu na rok 2019</w:t>
        </w:r>
        <w:r w:rsidR="006531DE">
          <w:rPr>
            <w:noProof/>
            <w:webHidden/>
          </w:rPr>
          <w:tab/>
        </w:r>
        <w:r w:rsidR="006531DE">
          <w:rPr>
            <w:noProof/>
            <w:webHidden/>
          </w:rPr>
          <w:fldChar w:fldCharType="begin"/>
        </w:r>
        <w:r w:rsidR="006531DE">
          <w:rPr>
            <w:noProof/>
            <w:webHidden/>
          </w:rPr>
          <w:instrText xml:space="preserve"> PAGEREF _Toc5965631 \h </w:instrText>
        </w:r>
        <w:r w:rsidR="006531DE">
          <w:rPr>
            <w:noProof/>
            <w:webHidden/>
          </w:rPr>
        </w:r>
        <w:r w:rsidR="006531DE">
          <w:rPr>
            <w:noProof/>
            <w:webHidden/>
          </w:rPr>
          <w:fldChar w:fldCharType="separate"/>
        </w:r>
        <w:r w:rsidR="00C04B69">
          <w:rPr>
            <w:noProof/>
            <w:webHidden/>
          </w:rPr>
          <w:t>35</w:t>
        </w:r>
        <w:r w:rsidR="006531DE">
          <w:rPr>
            <w:noProof/>
            <w:webHidden/>
          </w:rPr>
          <w:fldChar w:fldCharType="end"/>
        </w:r>
      </w:hyperlink>
    </w:p>
    <w:p w14:paraId="7F24C514"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2" w:history="1">
        <w:r w:rsidR="006531DE" w:rsidRPr="00E6223D">
          <w:rPr>
            <w:rStyle w:val="Hypertextovodkaz"/>
            <w:noProof/>
          </w:rPr>
          <w:t>Tabulka C</w:t>
        </w:r>
        <w:r w:rsidR="006531DE" w:rsidRPr="00E6223D">
          <w:rPr>
            <w:rStyle w:val="Hypertextovodkaz"/>
            <w:noProof/>
          </w:rPr>
          <w:noBreakHyphen/>
          <w:t>11: Rozpočtové zdroje RgŠ ÚSC vyčleněné v roce 2019 na RP:</w:t>
        </w:r>
        <w:r w:rsidR="006531DE">
          <w:rPr>
            <w:noProof/>
            <w:webHidden/>
          </w:rPr>
          <w:tab/>
        </w:r>
        <w:r w:rsidR="006531DE">
          <w:rPr>
            <w:noProof/>
            <w:webHidden/>
          </w:rPr>
          <w:fldChar w:fldCharType="begin"/>
        </w:r>
        <w:r w:rsidR="006531DE">
          <w:rPr>
            <w:noProof/>
            <w:webHidden/>
          </w:rPr>
          <w:instrText xml:space="preserve"> PAGEREF _Toc5965632 \h </w:instrText>
        </w:r>
        <w:r w:rsidR="006531DE">
          <w:rPr>
            <w:noProof/>
            <w:webHidden/>
          </w:rPr>
        </w:r>
        <w:r w:rsidR="006531DE">
          <w:rPr>
            <w:noProof/>
            <w:webHidden/>
          </w:rPr>
          <w:fldChar w:fldCharType="separate"/>
        </w:r>
        <w:r w:rsidR="00C04B69">
          <w:rPr>
            <w:noProof/>
            <w:webHidden/>
          </w:rPr>
          <w:t>35</w:t>
        </w:r>
        <w:r w:rsidR="006531DE">
          <w:rPr>
            <w:noProof/>
            <w:webHidden/>
          </w:rPr>
          <w:fldChar w:fldCharType="end"/>
        </w:r>
      </w:hyperlink>
    </w:p>
    <w:p w14:paraId="40A99809"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3" w:history="1">
        <w:r w:rsidR="006531DE" w:rsidRPr="00E6223D">
          <w:rPr>
            <w:rStyle w:val="Hypertextovodkaz"/>
            <w:noProof/>
          </w:rPr>
          <w:t>Tabulka C</w:t>
        </w:r>
        <w:r w:rsidR="006531DE" w:rsidRPr="00E6223D">
          <w:rPr>
            <w:rStyle w:val="Hypertextovodkaz"/>
            <w:noProof/>
          </w:rPr>
          <w:noBreakHyphen/>
          <w:t>12: Úprava rozpočtových zdrojů na RP:</w:t>
        </w:r>
        <w:r w:rsidR="006531DE">
          <w:rPr>
            <w:noProof/>
            <w:webHidden/>
          </w:rPr>
          <w:tab/>
        </w:r>
        <w:r w:rsidR="006531DE">
          <w:rPr>
            <w:noProof/>
            <w:webHidden/>
          </w:rPr>
          <w:fldChar w:fldCharType="begin"/>
        </w:r>
        <w:r w:rsidR="006531DE">
          <w:rPr>
            <w:noProof/>
            <w:webHidden/>
          </w:rPr>
          <w:instrText xml:space="preserve"> PAGEREF _Toc5965633 \h </w:instrText>
        </w:r>
        <w:r w:rsidR="006531DE">
          <w:rPr>
            <w:noProof/>
            <w:webHidden/>
          </w:rPr>
        </w:r>
        <w:r w:rsidR="006531DE">
          <w:rPr>
            <w:noProof/>
            <w:webHidden/>
          </w:rPr>
          <w:fldChar w:fldCharType="separate"/>
        </w:r>
        <w:r w:rsidR="00C04B69">
          <w:rPr>
            <w:noProof/>
            <w:webHidden/>
          </w:rPr>
          <w:t>35</w:t>
        </w:r>
        <w:r w:rsidR="006531DE">
          <w:rPr>
            <w:noProof/>
            <w:webHidden/>
          </w:rPr>
          <w:fldChar w:fldCharType="end"/>
        </w:r>
      </w:hyperlink>
    </w:p>
    <w:p w14:paraId="453A7034"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4" w:history="1">
        <w:r w:rsidR="006531DE" w:rsidRPr="00E6223D">
          <w:rPr>
            <w:rStyle w:val="Hypertextovodkaz"/>
            <w:noProof/>
          </w:rPr>
          <w:t>Tabulka C</w:t>
        </w:r>
        <w:r w:rsidR="006531DE" w:rsidRPr="00E6223D">
          <w:rPr>
            <w:rStyle w:val="Hypertextovodkaz"/>
            <w:noProof/>
          </w:rPr>
          <w:noBreakHyphen/>
          <w:t>13: Pro normativní financování RgŠ ÚSC v roce 2019 (včetně podpůrných opatření a rozpočtové rezervy) tedy zůstávají disponibilní rozpočtové zdroje ve výši:</w:t>
        </w:r>
        <w:r w:rsidR="006531DE">
          <w:rPr>
            <w:noProof/>
            <w:webHidden/>
          </w:rPr>
          <w:tab/>
        </w:r>
        <w:r w:rsidR="006531DE">
          <w:rPr>
            <w:noProof/>
            <w:webHidden/>
          </w:rPr>
          <w:fldChar w:fldCharType="begin"/>
        </w:r>
        <w:r w:rsidR="006531DE">
          <w:rPr>
            <w:noProof/>
            <w:webHidden/>
          </w:rPr>
          <w:instrText xml:space="preserve"> PAGEREF _Toc5965634 \h </w:instrText>
        </w:r>
        <w:r w:rsidR="006531DE">
          <w:rPr>
            <w:noProof/>
            <w:webHidden/>
          </w:rPr>
        </w:r>
        <w:r w:rsidR="006531DE">
          <w:rPr>
            <w:noProof/>
            <w:webHidden/>
          </w:rPr>
          <w:fldChar w:fldCharType="separate"/>
        </w:r>
        <w:r w:rsidR="00C04B69">
          <w:rPr>
            <w:noProof/>
            <w:webHidden/>
          </w:rPr>
          <w:t>35</w:t>
        </w:r>
        <w:r w:rsidR="006531DE">
          <w:rPr>
            <w:noProof/>
            <w:webHidden/>
          </w:rPr>
          <w:fldChar w:fldCharType="end"/>
        </w:r>
      </w:hyperlink>
    </w:p>
    <w:p w14:paraId="6DEF5A0C"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5" w:history="1">
        <w:r w:rsidR="006531DE" w:rsidRPr="00E6223D">
          <w:rPr>
            <w:rStyle w:val="Hypertextovodkaz"/>
            <w:noProof/>
          </w:rPr>
          <w:t>Tabulka C</w:t>
        </w:r>
        <w:r w:rsidR="006531DE" w:rsidRPr="00E6223D">
          <w:rPr>
            <w:rStyle w:val="Hypertextovodkaz"/>
            <w:noProof/>
          </w:rPr>
          <w:noBreakHyphen/>
          <w:t>14: Republikové normativy pro rok 2019</w:t>
        </w:r>
        <w:r w:rsidR="006531DE">
          <w:rPr>
            <w:noProof/>
            <w:webHidden/>
          </w:rPr>
          <w:tab/>
        </w:r>
        <w:r w:rsidR="006531DE">
          <w:rPr>
            <w:noProof/>
            <w:webHidden/>
          </w:rPr>
          <w:fldChar w:fldCharType="begin"/>
        </w:r>
        <w:r w:rsidR="006531DE">
          <w:rPr>
            <w:noProof/>
            <w:webHidden/>
          </w:rPr>
          <w:instrText xml:space="preserve"> PAGEREF _Toc5965635 \h </w:instrText>
        </w:r>
        <w:r w:rsidR="006531DE">
          <w:rPr>
            <w:noProof/>
            <w:webHidden/>
          </w:rPr>
        </w:r>
        <w:r w:rsidR="006531DE">
          <w:rPr>
            <w:noProof/>
            <w:webHidden/>
          </w:rPr>
          <w:fldChar w:fldCharType="separate"/>
        </w:r>
        <w:r w:rsidR="00C04B69">
          <w:rPr>
            <w:noProof/>
            <w:webHidden/>
          </w:rPr>
          <w:t>41</w:t>
        </w:r>
        <w:r w:rsidR="006531DE">
          <w:rPr>
            <w:noProof/>
            <w:webHidden/>
          </w:rPr>
          <w:fldChar w:fldCharType="end"/>
        </w:r>
      </w:hyperlink>
    </w:p>
    <w:p w14:paraId="125E726D"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6" w:history="1">
        <w:r w:rsidR="006531DE" w:rsidRPr="00E6223D">
          <w:rPr>
            <w:rStyle w:val="Hypertextovodkaz"/>
            <w:noProof/>
          </w:rPr>
          <w:t>Tabulka C</w:t>
        </w:r>
        <w:r w:rsidR="006531DE" w:rsidRPr="00E6223D">
          <w:rPr>
            <w:rStyle w:val="Hypertextovodkaz"/>
            <w:noProof/>
          </w:rPr>
          <w:noBreakHyphen/>
          <w:t>15: Normativní rozpis rozpočtu RgŠ ÚSC na rok 2019</w:t>
        </w:r>
        <w:r w:rsidR="006531DE">
          <w:rPr>
            <w:noProof/>
            <w:webHidden/>
          </w:rPr>
          <w:tab/>
        </w:r>
        <w:r w:rsidR="006531DE">
          <w:rPr>
            <w:noProof/>
            <w:webHidden/>
          </w:rPr>
          <w:fldChar w:fldCharType="begin"/>
        </w:r>
        <w:r w:rsidR="006531DE">
          <w:rPr>
            <w:noProof/>
            <w:webHidden/>
          </w:rPr>
          <w:instrText xml:space="preserve"> PAGEREF _Toc5965636 \h </w:instrText>
        </w:r>
        <w:r w:rsidR="006531DE">
          <w:rPr>
            <w:noProof/>
            <w:webHidden/>
          </w:rPr>
        </w:r>
        <w:r w:rsidR="006531DE">
          <w:rPr>
            <w:noProof/>
            <w:webHidden/>
          </w:rPr>
          <w:fldChar w:fldCharType="separate"/>
        </w:r>
        <w:r w:rsidR="00C04B69">
          <w:rPr>
            <w:noProof/>
            <w:webHidden/>
          </w:rPr>
          <w:t>42</w:t>
        </w:r>
        <w:r w:rsidR="006531DE">
          <w:rPr>
            <w:noProof/>
            <w:webHidden/>
          </w:rPr>
          <w:fldChar w:fldCharType="end"/>
        </w:r>
      </w:hyperlink>
    </w:p>
    <w:p w14:paraId="4C588102"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7" w:history="1">
        <w:r w:rsidR="006531DE" w:rsidRPr="00E6223D">
          <w:rPr>
            <w:rStyle w:val="Hypertextovodkaz"/>
            <w:noProof/>
          </w:rPr>
          <w:t>Tabulka C</w:t>
        </w:r>
        <w:r w:rsidR="006531DE" w:rsidRPr="00E6223D">
          <w:rPr>
            <w:rStyle w:val="Hypertextovodkaz"/>
            <w:noProof/>
          </w:rPr>
          <w:noBreakHyphen/>
          <w:t>16: Po normativním roz</w:t>
        </w:r>
        <w:bookmarkStart w:id="3" w:name="_GoBack"/>
        <w:bookmarkEnd w:id="3"/>
        <w:r w:rsidR="006531DE" w:rsidRPr="00E6223D">
          <w:rPr>
            <w:rStyle w:val="Hypertextovodkaz"/>
            <w:noProof/>
          </w:rPr>
          <w:t>pisu rozpočtu není rozepsáno</w:t>
        </w:r>
        <w:r w:rsidR="006531DE">
          <w:rPr>
            <w:noProof/>
            <w:webHidden/>
          </w:rPr>
          <w:tab/>
        </w:r>
        <w:r w:rsidR="006531DE">
          <w:rPr>
            <w:noProof/>
            <w:webHidden/>
          </w:rPr>
          <w:fldChar w:fldCharType="begin"/>
        </w:r>
        <w:r w:rsidR="006531DE">
          <w:rPr>
            <w:noProof/>
            <w:webHidden/>
          </w:rPr>
          <w:instrText xml:space="preserve"> PAGEREF _Toc5965637 \h </w:instrText>
        </w:r>
        <w:r w:rsidR="006531DE">
          <w:rPr>
            <w:noProof/>
            <w:webHidden/>
          </w:rPr>
        </w:r>
        <w:r w:rsidR="006531DE">
          <w:rPr>
            <w:noProof/>
            <w:webHidden/>
          </w:rPr>
          <w:fldChar w:fldCharType="separate"/>
        </w:r>
        <w:r w:rsidR="00C04B69">
          <w:rPr>
            <w:noProof/>
            <w:webHidden/>
          </w:rPr>
          <w:t>42</w:t>
        </w:r>
        <w:r w:rsidR="006531DE">
          <w:rPr>
            <w:noProof/>
            <w:webHidden/>
          </w:rPr>
          <w:fldChar w:fldCharType="end"/>
        </w:r>
      </w:hyperlink>
    </w:p>
    <w:p w14:paraId="7A5A1984"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8" w:history="1">
        <w:r w:rsidR="006531DE" w:rsidRPr="006531DE">
          <w:rPr>
            <w:rStyle w:val="Hypertextovodkaz"/>
            <w:noProof/>
          </w:rPr>
          <w:t>Tabulka C</w:t>
        </w:r>
        <w:r w:rsidR="006531DE" w:rsidRPr="006531DE">
          <w:rPr>
            <w:rStyle w:val="Hypertextovodkaz"/>
            <w:noProof/>
          </w:rPr>
          <w:noBreakHyphen/>
          <w:t>17: Po normativním rozpisu rozpočtu a úpravě rozpisu rozpočtu není rozepsáno (celková rozpočtová rezerva RgŠ):</w:t>
        </w:r>
        <w:r w:rsidR="006531DE">
          <w:rPr>
            <w:noProof/>
            <w:webHidden/>
          </w:rPr>
          <w:tab/>
        </w:r>
        <w:r w:rsidR="006531DE">
          <w:rPr>
            <w:noProof/>
            <w:webHidden/>
          </w:rPr>
          <w:fldChar w:fldCharType="begin"/>
        </w:r>
        <w:r w:rsidR="006531DE">
          <w:rPr>
            <w:noProof/>
            <w:webHidden/>
          </w:rPr>
          <w:instrText xml:space="preserve"> PAGEREF _Toc5965638 \h </w:instrText>
        </w:r>
        <w:r w:rsidR="006531DE">
          <w:rPr>
            <w:noProof/>
            <w:webHidden/>
          </w:rPr>
        </w:r>
        <w:r w:rsidR="006531DE">
          <w:rPr>
            <w:noProof/>
            <w:webHidden/>
          </w:rPr>
          <w:fldChar w:fldCharType="separate"/>
        </w:r>
        <w:r w:rsidR="00C04B69">
          <w:rPr>
            <w:noProof/>
            <w:webHidden/>
          </w:rPr>
          <w:t>44</w:t>
        </w:r>
        <w:r w:rsidR="006531DE">
          <w:rPr>
            <w:noProof/>
            <w:webHidden/>
          </w:rPr>
          <w:fldChar w:fldCharType="end"/>
        </w:r>
      </w:hyperlink>
    </w:p>
    <w:p w14:paraId="6D91DD74"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39" w:history="1">
        <w:r w:rsidR="006531DE" w:rsidRPr="00E6223D">
          <w:rPr>
            <w:rStyle w:val="Hypertextovodkaz"/>
            <w:noProof/>
          </w:rPr>
          <w:t>Tabulka C</w:t>
        </w:r>
        <w:r w:rsidR="006531DE" w:rsidRPr="00E6223D">
          <w:rPr>
            <w:rStyle w:val="Hypertextovodkaz"/>
            <w:noProof/>
          </w:rPr>
          <w:noBreakHyphen/>
          <w:t>18: Výdaje na programy spolufinancované EU mimo VVI</w:t>
        </w:r>
        <w:r w:rsidR="006531DE">
          <w:rPr>
            <w:noProof/>
            <w:webHidden/>
          </w:rPr>
          <w:tab/>
        </w:r>
        <w:r w:rsidR="006531DE">
          <w:rPr>
            <w:noProof/>
            <w:webHidden/>
          </w:rPr>
          <w:fldChar w:fldCharType="begin"/>
        </w:r>
        <w:r w:rsidR="006531DE">
          <w:rPr>
            <w:noProof/>
            <w:webHidden/>
          </w:rPr>
          <w:instrText xml:space="preserve"> PAGEREF _Toc5965639 \h </w:instrText>
        </w:r>
        <w:r w:rsidR="006531DE">
          <w:rPr>
            <w:noProof/>
            <w:webHidden/>
          </w:rPr>
        </w:r>
        <w:r w:rsidR="006531DE">
          <w:rPr>
            <w:noProof/>
            <w:webHidden/>
          </w:rPr>
          <w:fldChar w:fldCharType="separate"/>
        </w:r>
        <w:r w:rsidR="00C04B69">
          <w:rPr>
            <w:noProof/>
            <w:webHidden/>
          </w:rPr>
          <w:t>69</w:t>
        </w:r>
        <w:r w:rsidR="006531DE">
          <w:rPr>
            <w:noProof/>
            <w:webHidden/>
          </w:rPr>
          <w:fldChar w:fldCharType="end"/>
        </w:r>
      </w:hyperlink>
    </w:p>
    <w:p w14:paraId="0FE998C4"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0" w:history="1">
        <w:r w:rsidR="006531DE" w:rsidRPr="00E6223D">
          <w:rPr>
            <w:rStyle w:val="Hypertextovodkaz"/>
            <w:noProof/>
          </w:rPr>
          <w:t>Tabulka C</w:t>
        </w:r>
        <w:r w:rsidR="006531DE" w:rsidRPr="00E6223D">
          <w:rPr>
            <w:rStyle w:val="Hypertextovodkaz"/>
            <w:noProof/>
          </w:rPr>
          <w:noBreakHyphen/>
          <w:t>19: Příjmy OP VVV mimo VVI</w:t>
        </w:r>
        <w:r w:rsidR="006531DE">
          <w:rPr>
            <w:noProof/>
            <w:webHidden/>
          </w:rPr>
          <w:tab/>
        </w:r>
        <w:r w:rsidR="006531DE">
          <w:rPr>
            <w:noProof/>
            <w:webHidden/>
          </w:rPr>
          <w:fldChar w:fldCharType="begin"/>
        </w:r>
        <w:r w:rsidR="006531DE">
          <w:rPr>
            <w:noProof/>
            <w:webHidden/>
          </w:rPr>
          <w:instrText xml:space="preserve"> PAGEREF _Toc5965640 \h </w:instrText>
        </w:r>
        <w:r w:rsidR="006531DE">
          <w:rPr>
            <w:noProof/>
            <w:webHidden/>
          </w:rPr>
        </w:r>
        <w:r w:rsidR="006531DE">
          <w:rPr>
            <w:noProof/>
            <w:webHidden/>
          </w:rPr>
          <w:fldChar w:fldCharType="separate"/>
        </w:r>
        <w:r w:rsidR="00C04B69">
          <w:rPr>
            <w:noProof/>
            <w:webHidden/>
          </w:rPr>
          <w:t>70</w:t>
        </w:r>
        <w:r w:rsidR="006531DE">
          <w:rPr>
            <w:noProof/>
            <w:webHidden/>
          </w:rPr>
          <w:fldChar w:fldCharType="end"/>
        </w:r>
      </w:hyperlink>
    </w:p>
    <w:p w14:paraId="0F9640CB"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1" w:history="1">
        <w:r w:rsidR="006531DE" w:rsidRPr="00E6223D">
          <w:rPr>
            <w:rStyle w:val="Hypertextovodkaz"/>
            <w:noProof/>
          </w:rPr>
          <w:t>Tabulka C</w:t>
        </w:r>
        <w:r w:rsidR="006531DE" w:rsidRPr="00E6223D">
          <w:rPr>
            <w:rStyle w:val="Hypertextovodkaz"/>
            <w:noProof/>
          </w:rPr>
          <w:noBreakHyphen/>
          <w:t>20: Rozpočet OP VVV mimo VVI</w:t>
        </w:r>
        <w:r w:rsidR="006531DE">
          <w:rPr>
            <w:noProof/>
            <w:webHidden/>
          </w:rPr>
          <w:tab/>
        </w:r>
        <w:r w:rsidR="006531DE">
          <w:rPr>
            <w:noProof/>
            <w:webHidden/>
          </w:rPr>
          <w:fldChar w:fldCharType="begin"/>
        </w:r>
        <w:r w:rsidR="006531DE">
          <w:rPr>
            <w:noProof/>
            <w:webHidden/>
          </w:rPr>
          <w:instrText xml:space="preserve"> PAGEREF _Toc5965641 \h </w:instrText>
        </w:r>
        <w:r w:rsidR="006531DE">
          <w:rPr>
            <w:noProof/>
            <w:webHidden/>
          </w:rPr>
        </w:r>
        <w:r w:rsidR="006531DE">
          <w:rPr>
            <w:noProof/>
            <w:webHidden/>
          </w:rPr>
          <w:fldChar w:fldCharType="separate"/>
        </w:r>
        <w:r w:rsidR="00C04B69">
          <w:rPr>
            <w:noProof/>
            <w:webHidden/>
          </w:rPr>
          <w:t>72</w:t>
        </w:r>
        <w:r w:rsidR="006531DE">
          <w:rPr>
            <w:noProof/>
            <w:webHidden/>
          </w:rPr>
          <w:fldChar w:fldCharType="end"/>
        </w:r>
      </w:hyperlink>
    </w:p>
    <w:p w14:paraId="124057F5"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2" w:history="1">
        <w:r w:rsidR="006531DE" w:rsidRPr="00E6223D">
          <w:rPr>
            <w:rStyle w:val="Hypertextovodkaz"/>
            <w:noProof/>
          </w:rPr>
          <w:t>Tabulka C</w:t>
        </w:r>
        <w:r w:rsidR="006531DE" w:rsidRPr="00E6223D">
          <w:rPr>
            <w:rStyle w:val="Hypertextovodkaz"/>
            <w:noProof/>
          </w:rPr>
          <w:noBreakHyphen/>
          <w:t>21: Rozpočet státní správy (v Kč)</w:t>
        </w:r>
        <w:r w:rsidR="006531DE">
          <w:rPr>
            <w:noProof/>
            <w:webHidden/>
          </w:rPr>
          <w:tab/>
        </w:r>
        <w:r w:rsidR="006531DE">
          <w:rPr>
            <w:noProof/>
            <w:webHidden/>
          </w:rPr>
          <w:fldChar w:fldCharType="begin"/>
        </w:r>
        <w:r w:rsidR="006531DE">
          <w:rPr>
            <w:noProof/>
            <w:webHidden/>
          </w:rPr>
          <w:instrText xml:space="preserve"> PAGEREF _Toc5965642 \h </w:instrText>
        </w:r>
        <w:r w:rsidR="006531DE">
          <w:rPr>
            <w:noProof/>
            <w:webHidden/>
          </w:rPr>
        </w:r>
        <w:r w:rsidR="006531DE">
          <w:rPr>
            <w:noProof/>
            <w:webHidden/>
          </w:rPr>
          <w:fldChar w:fldCharType="separate"/>
        </w:r>
        <w:r w:rsidR="00C04B69">
          <w:rPr>
            <w:noProof/>
            <w:webHidden/>
          </w:rPr>
          <w:t>96</w:t>
        </w:r>
        <w:r w:rsidR="006531DE">
          <w:rPr>
            <w:noProof/>
            <w:webHidden/>
          </w:rPr>
          <w:fldChar w:fldCharType="end"/>
        </w:r>
      </w:hyperlink>
    </w:p>
    <w:p w14:paraId="497B0BEC"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3" w:history="1">
        <w:r w:rsidR="006531DE" w:rsidRPr="00E6223D">
          <w:rPr>
            <w:rStyle w:val="Hypertextovodkaz"/>
            <w:noProof/>
          </w:rPr>
          <w:t>Tabulka D</w:t>
        </w:r>
        <w:r w:rsidR="006531DE" w:rsidRPr="00E6223D">
          <w:rPr>
            <w:rStyle w:val="Hypertextovodkaz"/>
            <w:noProof/>
          </w:rPr>
          <w:noBreakHyphen/>
          <w:t>1: Struktura programového financování MŠMT na rok 2019 (v Kč)</w:t>
        </w:r>
        <w:r w:rsidR="006531DE">
          <w:rPr>
            <w:noProof/>
            <w:webHidden/>
          </w:rPr>
          <w:tab/>
        </w:r>
        <w:r w:rsidR="006531DE">
          <w:rPr>
            <w:noProof/>
            <w:webHidden/>
          </w:rPr>
          <w:fldChar w:fldCharType="begin"/>
        </w:r>
        <w:r w:rsidR="006531DE">
          <w:rPr>
            <w:noProof/>
            <w:webHidden/>
          </w:rPr>
          <w:instrText xml:space="preserve"> PAGEREF _Toc5965643 \h </w:instrText>
        </w:r>
        <w:r w:rsidR="006531DE">
          <w:rPr>
            <w:noProof/>
            <w:webHidden/>
          </w:rPr>
        </w:r>
        <w:r w:rsidR="006531DE">
          <w:rPr>
            <w:noProof/>
            <w:webHidden/>
          </w:rPr>
          <w:fldChar w:fldCharType="separate"/>
        </w:r>
        <w:r w:rsidR="00C04B69">
          <w:rPr>
            <w:noProof/>
            <w:webHidden/>
          </w:rPr>
          <w:t>103</w:t>
        </w:r>
        <w:r w:rsidR="006531DE">
          <w:rPr>
            <w:noProof/>
            <w:webHidden/>
          </w:rPr>
          <w:fldChar w:fldCharType="end"/>
        </w:r>
      </w:hyperlink>
    </w:p>
    <w:p w14:paraId="1085463D"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4" w:history="1">
        <w:r w:rsidR="006531DE" w:rsidRPr="00E6223D">
          <w:rPr>
            <w:rStyle w:val="Hypertextovodkaz"/>
            <w:noProof/>
          </w:rPr>
          <w:t>Tabulka D</w:t>
        </w:r>
        <w:r w:rsidR="006531DE" w:rsidRPr="00E6223D">
          <w:rPr>
            <w:rStyle w:val="Hypertextovodkaz"/>
            <w:noProof/>
          </w:rPr>
          <w:noBreakHyphen/>
          <w:t>2: Přehled výdajů na programové financování reprodukce majetku v letech 2011 - 2018</w:t>
        </w:r>
        <w:r w:rsidR="006531DE">
          <w:rPr>
            <w:noProof/>
            <w:webHidden/>
          </w:rPr>
          <w:tab/>
        </w:r>
        <w:r w:rsidR="006531DE">
          <w:rPr>
            <w:noProof/>
            <w:webHidden/>
          </w:rPr>
          <w:fldChar w:fldCharType="begin"/>
        </w:r>
        <w:r w:rsidR="006531DE">
          <w:rPr>
            <w:noProof/>
            <w:webHidden/>
          </w:rPr>
          <w:instrText xml:space="preserve"> PAGEREF _Toc5965644 \h </w:instrText>
        </w:r>
        <w:r w:rsidR="006531DE">
          <w:rPr>
            <w:noProof/>
            <w:webHidden/>
          </w:rPr>
        </w:r>
        <w:r w:rsidR="006531DE">
          <w:rPr>
            <w:noProof/>
            <w:webHidden/>
          </w:rPr>
          <w:fldChar w:fldCharType="separate"/>
        </w:r>
        <w:r w:rsidR="00C04B69">
          <w:rPr>
            <w:noProof/>
            <w:webHidden/>
          </w:rPr>
          <w:t>104</w:t>
        </w:r>
        <w:r w:rsidR="006531DE">
          <w:rPr>
            <w:noProof/>
            <w:webHidden/>
          </w:rPr>
          <w:fldChar w:fldCharType="end"/>
        </w:r>
      </w:hyperlink>
    </w:p>
    <w:p w14:paraId="63E43C0B"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5" w:history="1">
        <w:r w:rsidR="006531DE" w:rsidRPr="00E6223D">
          <w:rPr>
            <w:rStyle w:val="Hypertextovodkaz"/>
            <w:noProof/>
          </w:rPr>
          <w:t>Tabulka D</w:t>
        </w:r>
        <w:r w:rsidR="006531DE" w:rsidRPr="00E6223D">
          <w:rPr>
            <w:rStyle w:val="Hypertextovodkaz"/>
            <w:noProof/>
          </w:rPr>
          <w:noBreakHyphen/>
          <w:t>3: Závazné ukazatele programového financování kapitoly MŠMT na rok 2019</w:t>
        </w:r>
        <w:r w:rsidR="006531DE">
          <w:rPr>
            <w:noProof/>
            <w:webHidden/>
          </w:rPr>
          <w:tab/>
        </w:r>
        <w:r w:rsidR="006531DE">
          <w:rPr>
            <w:noProof/>
            <w:webHidden/>
          </w:rPr>
          <w:fldChar w:fldCharType="begin"/>
        </w:r>
        <w:r w:rsidR="006531DE">
          <w:rPr>
            <w:noProof/>
            <w:webHidden/>
          </w:rPr>
          <w:instrText xml:space="preserve"> PAGEREF _Toc5965645 \h </w:instrText>
        </w:r>
        <w:r w:rsidR="006531DE">
          <w:rPr>
            <w:noProof/>
            <w:webHidden/>
          </w:rPr>
        </w:r>
        <w:r w:rsidR="006531DE">
          <w:rPr>
            <w:noProof/>
            <w:webHidden/>
          </w:rPr>
          <w:fldChar w:fldCharType="separate"/>
        </w:r>
        <w:r w:rsidR="00C04B69">
          <w:rPr>
            <w:noProof/>
            <w:webHidden/>
          </w:rPr>
          <w:t>104</w:t>
        </w:r>
        <w:r w:rsidR="006531DE">
          <w:rPr>
            <w:noProof/>
            <w:webHidden/>
          </w:rPr>
          <w:fldChar w:fldCharType="end"/>
        </w:r>
      </w:hyperlink>
    </w:p>
    <w:p w14:paraId="45E06071" w14:textId="77777777" w:rsidR="006531DE" w:rsidRDefault="003D012B">
      <w:pPr>
        <w:pStyle w:val="Seznamobrzk"/>
        <w:tabs>
          <w:tab w:val="right" w:leader="dot" w:pos="9060"/>
        </w:tabs>
        <w:rPr>
          <w:rFonts w:asciiTheme="minorHAnsi" w:eastAsiaTheme="minorEastAsia" w:hAnsiTheme="minorHAnsi" w:cstheme="minorBidi"/>
          <w:noProof/>
          <w:sz w:val="22"/>
          <w:szCs w:val="22"/>
        </w:rPr>
      </w:pPr>
      <w:hyperlink w:anchor="_Toc5965646" w:history="1">
        <w:r w:rsidR="006531DE" w:rsidRPr="00E6223D">
          <w:rPr>
            <w:rStyle w:val="Hypertextovodkaz"/>
            <w:noProof/>
          </w:rPr>
          <w:t>Tabulka E</w:t>
        </w:r>
        <w:r w:rsidR="006531DE" w:rsidRPr="00E6223D">
          <w:rPr>
            <w:rStyle w:val="Hypertextovodkaz"/>
            <w:noProof/>
          </w:rPr>
          <w:noBreakHyphen/>
          <w:t>1: Souhrnná rekapitulace spolufinancovaných programů (v Kč)</w:t>
        </w:r>
        <w:r w:rsidR="006531DE">
          <w:rPr>
            <w:noProof/>
            <w:webHidden/>
          </w:rPr>
          <w:tab/>
        </w:r>
        <w:r w:rsidR="006531DE">
          <w:rPr>
            <w:noProof/>
            <w:webHidden/>
          </w:rPr>
          <w:fldChar w:fldCharType="begin"/>
        </w:r>
        <w:r w:rsidR="006531DE">
          <w:rPr>
            <w:noProof/>
            <w:webHidden/>
          </w:rPr>
          <w:instrText xml:space="preserve"> PAGEREF _Toc5965646 \h </w:instrText>
        </w:r>
        <w:r w:rsidR="006531DE">
          <w:rPr>
            <w:noProof/>
            <w:webHidden/>
          </w:rPr>
        </w:r>
        <w:r w:rsidR="006531DE">
          <w:rPr>
            <w:noProof/>
            <w:webHidden/>
          </w:rPr>
          <w:fldChar w:fldCharType="separate"/>
        </w:r>
        <w:r w:rsidR="00C04B69">
          <w:rPr>
            <w:noProof/>
            <w:webHidden/>
          </w:rPr>
          <w:t>109</w:t>
        </w:r>
        <w:r w:rsidR="006531DE">
          <w:rPr>
            <w:noProof/>
            <w:webHidden/>
          </w:rPr>
          <w:fldChar w:fldCharType="end"/>
        </w:r>
      </w:hyperlink>
    </w:p>
    <w:p w14:paraId="048E09F7" w14:textId="77777777" w:rsidR="0003525E" w:rsidRPr="00853611" w:rsidRDefault="0003525E" w:rsidP="00AB461B">
      <w:pPr>
        <w:tabs>
          <w:tab w:val="left" w:pos="1560"/>
          <w:tab w:val="left" w:pos="1701"/>
          <w:tab w:val="left" w:pos="9072"/>
        </w:tabs>
        <w:rPr>
          <w:i/>
          <w:highlight w:val="yellow"/>
        </w:rPr>
      </w:pPr>
      <w:r w:rsidRPr="00853611">
        <w:rPr>
          <w:i/>
          <w:highlight w:val="yellow"/>
        </w:rPr>
        <w:fldChar w:fldCharType="end"/>
      </w:r>
    </w:p>
    <w:p w14:paraId="5821008D" w14:textId="77777777" w:rsidR="000419FA" w:rsidRPr="00853611" w:rsidRDefault="000419FA" w:rsidP="00AB461B">
      <w:pPr>
        <w:tabs>
          <w:tab w:val="left" w:pos="1560"/>
          <w:tab w:val="left" w:pos="1701"/>
          <w:tab w:val="left" w:pos="9072"/>
        </w:tabs>
        <w:rPr>
          <w:i/>
          <w:highlight w:val="yellow"/>
        </w:rPr>
      </w:pPr>
    </w:p>
    <w:p w14:paraId="051F076E" w14:textId="77777777" w:rsidR="000419FA" w:rsidRPr="00853611" w:rsidRDefault="000419FA" w:rsidP="00AB461B">
      <w:pPr>
        <w:tabs>
          <w:tab w:val="left" w:pos="1560"/>
          <w:tab w:val="left" w:pos="1701"/>
          <w:tab w:val="left" w:pos="9072"/>
        </w:tabs>
        <w:rPr>
          <w:i/>
          <w:highlight w:val="yellow"/>
        </w:rPr>
      </w:pPr>
    </w:p>
    <w:p w14:paraId="126CB126" w14:textId="77777777" w:rsidR="000419FA" w:rsidRPr="00853611" w:rsidRDefault="000419FA" w:rsidP="00AB461B">
      <w:pPr>
        <w:tabs>
          <w:tab w:val="left" w:pos="1560"/>
          <w:tab w:val="left" w:pos="1701"/>
          <w:tab w:val="left" w:pos="9072"/>
        </w:tabs>
        <w:rPr>
          <w:i/>
          <w:highlight w:val="yellow"/>
        </w:rPr>
      </w:pPr>
    </w:p>
    <w:p w14:paraId="6ED4BC65" w14:textId="77777777" w:rsidR="00FE24BA" w:rsidRPr="00853611" w:rsidRDefault="00FE24BA" w:rsidP="00AB461B">
      <w:pPr>
        <w:tabs>
          <w:tab w:val="left" w:pos="1560"/>
          <w:tab w:val="left" w:pos="1701"/>
          <w:tab w:val="left" w:pos="9072"/>
        </w:tabs>
        <w:rPr>
          <w:i/>
          <w:highlight w:val="yellow"/>
        </w:rPr>
      </w:pPr>
    </w:p>
    <w:p w14:paraId="724C545E" w14:textId="77777777" w:rsidR="009F1AE1" w:rsidRPr="00853611" w:rsidRDefault="00FE24BA" w:rsidP="00AB461B">
      <w:pPr>
        <w:tabs>
          <w:tab w:val="left" w:pos="1560"/>
          <w:tab w:val="left" w:pos="1701"/>
          <w:tab w:val="left" w:pos="9072"/>
        </w:tabs>
        <w:rPr>
          <w:i/>
          <w:highlight w:val="yellow"/>
        </w:rPr>
        <w:sectPr w:rsidR="009F1AE1" w:rsidRPr="00853611" w:rsidSect="003B4B8F">
          <w:footerReference w:type="default" r:id="rId9"/>
          <w:footnotePr>
            <w:pos w:val="beneathText"/>
          </w:footnotePr>
          <w:pgSz w:w="11906" w:h="16838"/>
          <w:pgMar w:top="1418" w:right="1418" w:bottom="1418" w:left="1418" w:header="709" w:footer="709" w:gutter="0"/>
          <w:pgNumType w:start="1"/>
          <w:cols w:space="708"/>
        </w:sectPr>
      </w:pPr>
      <w:r w:rsidRPr="00853611">
        <w:rPr>
          <w:i/>
          <w:highlight w:val="yellow"/>
        </w:rPr>
        <w:br w:type="page"/>
      </w:r>
    </w:p>
    <w:p w14:paraId="754D86B7" w14:textId="77777777" w:rsidR="00853611" w:rsidRPr="00686BE8" w:rsidRDefault="00853611" w:rsidP="00853611">
      <w:pPr>
        <w:pStyle w:val="KS1"/>
        <w:ind w:firstLine="0"/>
      </w:pPr>
      <w:bookmarkStart w:id="4" w:name="_Toc303687000"/>
      <w:bookmarkStart w:id="5" w:name="_Toc304544683"/>
      <w:bookmarkStart w:id="6" w:name="_Toc304783937"/>
      <w:bookmarkStart w:id="7" w:name="_Toc369163191"/>
      <w:bookmarkStart w:id="8" w:name="_Toc146689786"/>
      <w:r w:rsidRPr="00686BE8">
        <w:lastRenderedPageBreak/>
        <w:t>Rozpočet kapitoly 333 – Ministerstvo školství, mládeže a tělovýchovy na rok 201</w:t>
      </w:r>
      <w:r>
        <w:t>9</w:t>
      </w:r>
      <w:r w:rsidRPr="00686BE8">
        <w:t xml:space="preserve"> </w:t>
      </w:r>
      <w:bookmarkEnd w:id="4"/>
      <w:bookmarkEnd w:id="5"/>
      <w:bookmarkEnd w:id="6"/>
      <w:bookmarkEnd w:id="7"/>
      <w:r w:rsidRPr="00686BE8">
        <w:t>a rozdělení závazných ukazatelů mezi jednotlivé školské úseky</w:t>
      </w:r>
    </w:p>
    <w:p w14:paraId="3A362253" w14:textId="77777777" w:rsidR="00853611" w:rsidRPr="00B70F0B" w:rsidRDefault="00853611" w:rsidP="00853611">
      <w:pPr>
        <w:pStyle w:val="Text"/>
        <w:rPr>
          <w:highlight w:val="yellow"/>
        </w:rPr>
      </w:pPr>
    </w:p>
    <w:p w14:paraId="49CFB021" w14:textId="77777777" w:rsidR="00853611" w:rsidRPr="00C019D8" w:rsidRDefault="00853611" w:rsidP="00853611">
      <w:pPr>
        <w:pStyle w:val="Nadpis1"/>
      </w:pPr>
      <w:bookmarkStart w:id="9" w:name="_Toc5968805"/>
      <w:r w:rsidRPr="00C019D8">
        <w:t>Kapitola 333 – Ministerstvo školství, mládeže a tělovýchovy celkem</w:t>
      </w:r>
      <w:bookmarkEnd w:id="9"/>
    </w:p>
    <w:p w14:paraId="3FA4C3FF" w14:textId="77777777" w:rsidR="00853611" w:rsidRPr="00C019D8" w:rsidRDefault="00853611" w:rsidP="00B26388">
      <w:pPr>
        <w:pStyle w:val="KS3"/>
        <w:numPr>
          <w:ilvl w:val="0"/>
          <w:numId w:val="0"/>
        </w:numPr>
        <w:ind w:left="709"/>
      </w:pPr>
      <w:bookmarkStart w:id="10" w:name="_Toc194990722"/>
    </w:p>
    <w:p w14:paraId="2EFFD798" w14:textId="77777777" w:rsidR="00853611" w:rsidRPr="00C019D8" w:rsidRDefault="00853611" w:rsidP="00853611">
      <w:pPr>
        <w:pStyle w:val="Nadpis2"/>
      </w:pPr>
      <w:bookmarkStart w:id="11" w:name="_Toc369163193"/>
      <w:bookmarkStart w:id="12" w:name="_Toc5968806"/>
      <w:r w:rsidRPr="00C019D8">
        <w:t>Východiska ke stanovení rozpočtu</w:t>
      </w:r>
      <w:bookmarkEnd w:id="10"/>
      <w:bookmarkEnd w:id="11"/>
      <w:bookmarkEnd w:id="12"/>
    </w:p>
    <w:p w14:paraId="27FEA069" w14:textId="77777777" w:rsidR="00853611" w:rsidRPr="00C019D8" w:rsidRDefault="00853611" w:rsidP="00853611">
      <w:pPr>
        <w:ind w:firstLine="708"/>
        <w:rPr>
          <w:color w:val="548DD4"/>
          <w:szCs w:val="24"/>
        </w:rPr>
      </w:pPr>
    </w:p>
    <w:p w14:paraId="6E5CACD7" w14:textId="77777777" w:rsidR="00853611" w:rsidRDefault="00853611" w:rsidP="00853611">
      <w:pPr>
        <w:pStyle w:val="Text"/>
        <w:spacing w:before="0" w:after="0"/>
      </w:pPr>
      <w:bookmarkStart w:id="13" w:name="_Toc178579769"/>
      <w:bookmarkStart w:id="14" w:name="_Toc194990729"/>
      <w:r>
        <w:t>Zákonem č. 336/2018 Sb., o státním rozpočtu České republiky na rok 2019 (dále jen „zákon o státním rozpočtu na rok 2019“), byl dne 19</w:t>
      </w:r>
      <w:r w:rsidRPr="000C66BF">
        <w:t>. prosince</w:t>
      </w:r>
      <w:r>
        <w:t xml:space="preserve"> 2018 schválen rozpočet kapitoly 333 Ministerstvo školství, mládeže a tělovýchovy (dále jen „MŠMT“). Návrh tohoto zákona předložila Poslanecké sněmovně Parlamentu ČR (dále jen „PSP ČR“) k projednání vláda na základě svého usnesení </w:t>
      </w:r>
      <w:r w:rsidRPr="009F7EA5">
        <w:t xml:space="preserve">ze dne </w:t>
      </w:r>
      <w:r>
        <w:t>19</w:t>
      </w:r>
      <w:r w:rsidRPr="000E0979">
        <w:t>. září 201</w:t>
      </w:r>
      <w:r>
        <w:t>8</w:t>
      </w:r>
      <w:r w:rsidRPr="009F7EA5">
        <w:t xml:space="preserve"> </w:t>
      </w:r>
      <w:r>
        <w:t>č. 588,</w:t>
      </w:r>
      <w:r w:rsidRPr="00F5338F">
        <w:t xml:space="preserve"> </w:t>
      </w:r>
      <w:r>
        <w:t>k návrhu zákona o státním rozpočtu na rok 2019 a k návrhům střednědobého výhledu státního rozpočtu ČR na léta 2020 a 2021. PSP ČR svým usnesením č. 420 vládní návrh zákona o státním rozpočtu ČR na rok 2019 schválila. Zároveň PSP ČR přijala doprovodné usnesení č. 421, kterým podpořila: navyšování výdajů kapitoly MŠMT tak, aby činily nejpozději v roce 2025 alespoň 5 % HDP; navyšování kapitoly využívat prioritně pro předvídatelné a transparentní financování regionálního školství a také veřejných vysokých škol; reformu financování regionálního školství s cílem zajistit stabilitu vzdělávací soustavy a zvyšování kvality vzdělávání.</w:t>
      </w:r>
    </w:p>
    <w:p w14:paraId="745FA5FE" w14:textId="77777777" w:rsidR="00853611" w:rsidRPr="007F2435" w:rsidRDefault="00853611" w:rsidP="00853611">
      <w:pPr>
        <w:pStyle w:val="Text"/>
      </w:pPr>
      <w:r>
        <w:t>V průběhu přípravy</w:t>
      </w:r>
      <w:r w:rsidRPr="00E55FE7">
        <w:t xml:space="preserve"> rozpočtu na rok 201</w:t>
      </w:r>
      <w:r>
        <w:t>9</w:t>
      </w:r>
      <w:r w:rsidRPr="00E55FE7">
        <w:t xml:space="preserve"> a střednědobého výhledu na roky 20</w:t>
      </w:r>
      <w:r>
        <w:t>20</w:t>
      </w:r>
      <w:r w:rsidRPr="00E55FE7">
        <w:t xml:space="preserve"> </w:t>
      </w:r>
      <w:r>
        <w:t>a 2</w:t>
      </w:r>
      <w:r w:rsidRPr="00E55FE7">
        <w:t>0</w:t>
      </w:r>
      <w:r>
        <w:t>21 MŠMT pracovalo</w:t>
      </w:r>
      <w:r w:rsidRPr="00E55FE7">
        <w:t xml:space="preserve"> s </w:t>
      </w:r>
      <w:r>
        <w:t>následujícími</w:t>
      </w:r>
      <w:r w:rsidRPr="00E55FE7">
        <w:t xml:space="preserve"> </w:t>
      </w:r>
      <w:r w:rsidRPr="00E55FE7">
        <w:rPr>
          <w:b/>
        </w:rPr>
        <w:t>východisky</w:t>
      </w:r>
      <w:r>
        <w:t>.</w:t>
      </w:r>
    </w:p>
    <w:p w14:paraId="14700513" w14:textId="02C0147E" w:rsidR="00853611" w:rsidRPr="00F73A5D" w:rsidRDefault="00853611" w:rsidP="00853611">
      <w:pPr>
        <w:pStyle w:val="Text"/>
        <w:rPr>
          <w:rFonts w:eastAsia="Calibri"/>
          <w:lang w:eastAsia="en-US"/>
        </w:rPr>
      </w:pPr>
      <w:r w:rsidRPr="00F73A5D">
        <w:rPr>
          <w:rFonts w:eastAsia="Calibri"/>
          <w:lang w:eastAsia="en-US"/>
        </w:rPr>
        <w:t xml:space="preserve">Vláda České republiky dne </w:t>
      </w:r>
      <w:r>
        <w:t>19</w:t>
      </w:r>
      <w:r w:rsidRPr="00F73A5D">
        <w:t>. června 201</w:t>
      </w:r>
      <w:r>
        <w:t>8</w:t>
      </w:r>
      <w:r w:rsidRPr="00F73A5D">
        <w:t xml:space="preserve"> svým usnesením č. </w:t>
      </w:r>
      <w:r>
        <w:t>379</w:t>
      </w:r>
      <w:r w:rsidRPr="00F73A5D">
        <w:rPr>
          <w:rFonts w:eastAsia="Calibri"/>
          <w:lang w:eastAsia="en-US"/>
        </w:rPr>
        <w:t xml:space="preserve"> </w:t>
      </w:r>
      <w:r>
        <w:t>k </w:t>
      </w:r>
      <w:r w:rsidRPr="00D55153">
        <w:t xml:space="preserve">přípravě </w:t>
      </w:r>
      <w:r>
        <w:t>státního</w:t>
      </w:r>
      <w:r w:rsidRPr="00D55153">
        <w:t xml:space="preserve"> r</w:t>
      </w:r>
      <w:r>
        <w:t xml:space="preserve">ozpočtu České republiky na rok </w:t>
      </w:r>
      <w:r w:rsidRPr="00D55153">
        <w:t>201</w:t>
      </w:r>
      <w:r>
        <w:t>9 a </w:t>
      </w:r>
      <w:r w:rsidRPr="00D55153">
        <w:t>střednědobého výhledu na léta 20</w:t>
      </w:r>
      <w:r>
        <w:t>20</w:t>
      </w:r>
      <w:r w:rsidRPr="00D55153">
        <w:t xml:space="preserve"> a 20</w:t>
      </w:r>
      <w:r>
        <w:t>21</w:t>
      </w:r>
      <w:r w:rsidRPr="00D55153">
        <w:t xml:space="preserve"> </w:t>
      </w:r>
      <w:r>
        <w:t xml:space="preserve">(dále jen „usnesení vlády č. 379/2018“) </w:t>
      </w:r>
      <w:r w:rsidRPr="00F73A5D">
        <w:rPr>
          <w:rFonts w:eastAsia="Calibri"/>
          <w:lang w:eastAsia="en-US"/>
        </w:rPr>
        <w:t>rozhodla o závazných parame</w:t>
      </w:r>
      <w:r>
        <w:rPr>
          <w:rFonts w:eastAsia="Calibri"/>
          <w:lang w:eastAsia="en-US"/>
        </w:rPr>
        <w:t>trech pro kapitolu MŠMT ve</w:t>
      </w:r>
      <w:r w:rsidR="00FD3D4F">
        <w:rPr>
          <w:rFonts w:eastAsia="Calibri"/>
          <w:lang w:eastAsia="en-US"/>
        </w:rPr>
        <w:t> </w:t>
      </w:r>
      <w:r>
        <w:rPr>
          <w:rFonts w:eastAsia="Calibri"/>
          <w:lang w:eastAsia="en-US"/>
        </w:rPr>
        <w:t>výši:</w:t>
      </w:r>
    </w:p>
    <w:p w14:paraId="287F70DC" w14:textId="77777777" w:rsidR="00853611" w:rsidRDefault="00853611" w:rsidP="00853611">
      <w:pPr>
        <w:pStyle w:val="Titulek"/>
        <w:keepNext/>
      </w:pPr>
      <w:bookmarkStart w:id="15" w:name="_Toc398898214"/>
    </w:p>
    <w:p w14:paraId="3C198249" w14:textId="77777777" w:rsidR="00636DE9" w:rsidRDefault="00636DE9" w:rsidP="00636DE9">
      <w:pPr>
        <w:pStyle w:val="Titulek"/>
        <w:keepNext/>
      </w:pPr>
      <w:bookmarkStart w:id="16" w:name="_Toc5965618"/>
      <w:bookmarkEnd w:id="15"/>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A</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w:t>
      </w:r>
      <w:r w:rsidR="005F53B0">
        <w:rPr>
          <w:noProof/>
        </w:rPr>
        <w:fldChar w:fldCharType="end"/>
      </w:r>
      <w:r>
        <w:t>: parametry kapitoly MŠMT – východiska v Kč</w:t>
      </w:r>
      <w:bookmarkEnd w:id="16"/>
    </w:p>
    <w:tbl>
      <w:tblPr>
        <w:tblW w:w="6237" w:type="dxa"/>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1842"/>
      </w:tblGrid>
      <w:tr w:rsidR="00853611" w:rsidRPr="004F72B3" w14:paraId="1EDC4DD5" w14:textId="77777777" w:rsidTr="008678CF">
        <w:tc>
          <w:tcPr>
            <w:tcW w:w="4395" w:type="dxa"/>
            <w:shd w:val="clear" w:color="auto" w:fill="auto"/>
          </w:tcPr>
          <w:p w14:paraId="39A8069B" w14:textId="77777777" w:rsidR="00853611" w:rsidRPr="004B41D8" w:rsidRDefault="00853611" w:rsidP="008678CF">
            <w:pPr>
              <w:rPr>
                <w:b/>
                <w:color w:val="000000"/>
                <w:sz w:val="20"/>
              </w:rPr>
            </w:pPr>
            <w:r w:rsidRPr="004B41D8">
              <w:rPr>
                <w:b/>
                <w:color w:val="000000"/>
                <w:sz w:val="20"/>
              </w:rPr>
              <w:t>Rok</w:t>
            </w:r>
          </w:p>
        </w:tc>
        <w:tc>
          <w:tcPr>
            <w:tcW w:w="1842" w:type="dxa"/>
            <w:shd w:val="clear" w:color="auto" w:fill="auto"/>
          </w:tcPr>
          <w:p w14:paraId="7E124B36" w14:textId="77777777" w:rsidR="00853611" w:rsidRPr="004B41D8" w:rsidRDefault="00853611" w:rsidP="008678CF">
            <w:pPr>
              <w:jc w:val="center"/>
              <w:rPr>
                <w:b/>
                <w:color w:val="000000"/>
                <w:sz w:val="20"/>
              </w:rPr>
            </w:pPr>
            <w:r w:rsidRPr="004B41D8">
              <w:rPr>
                <w:b/>
                <w:color w:val="000000"/>
                <w:sz w:val="20"/>
              </w:rPr>
              <w:t>201</w:t>
            </w:r>
            <w:r>
              <w:rPr>
                <w:b/>
                <w:color w:val="000000"/>
                <w:sz w:val="20"/>
              </w:rPr>
              <w:t>9</w:t>
            </w:r>
          </w:p>
        </w:tc>
      </w:tr>
      <w:tr w:rsidR="00853611" w:rsidRPr="00A14277" w14:paraId="5DE5CF42" w14:textId="77777777" w:rsidTr="008678CF">
        <w:tc>
          <w:tcPr>
            <w:tcW w:w="4395" w:type="dxa"/>
          </w:tcPr>
          <w:p w14:paraId="04A2978F" w14:textId="77777777" w:rsidR="00853611" w:rsidRPr="004B41D8" w:rsidRDefault="00853611" w:rsidP="008678CF">
            <w:pPr>
              <w:rPr>
                <w:b/>
                <w:i/>
                <w:color w:val="000000"/>
                <w:sz w:val="20"/>
              </w:rPr>
            </w:pPr>
            <w:r w:rsidRPr="004B41D8">
              <w:rPr>
                <w:b/>
                <w:i/>
                <w:color w:val="000000"/>
                <w:sz w:val="20"/>
              </w:rPr>
              <w:t>celkové příjmy kapitoly</w:t>
            </w:r>
          </w:p>
        </w:tc>
        <w:tc>
          <w:tcPr>
            <w:tcW w:w="1842" w:type="dxa"/>
          </w:tcPr>
          <w:p w14:paraId="6C9CFEBF" w14:textId="77777777" w:rsidR="00853611" w:rsidRPr="004B41D8" w:rsidRDefault="00853611" w:rsidP="008678CF">
            <w:pPr>
              <w:jc w:val="right"/>
              <w:rPr>
                <w:b/>
                <w:i/>
                <w:color w:val="000000"/>
                <w:sz w:val="20"/>
              </w:rPr>
            </w:pPr>
            <w:r>
              <w:rPr>
                <w:b/>
                <w:i/>
                <w:color w:val="000000"/>
                <w:sz w:val="20"/>
              </w:rPr>
              <w:t>10 151 242 744</w:t>
            </w:r>
          </w:p>
        </w:tc>
      </w:tr>
      <w:tr w:rsidR="00853611" w:rsidRPr="00A14277" w14:paraId="2DEEBD04" w14:textId="77777777" w:rsidTr="008678CF">
        <w:tc>
          <w:tcPr>
            <w:tcW w:w="4395" w:type="dxa"/>
          </w:tcPr>
          <w:p w14:paraId="544D0A24" w14:textId="77777777" w:rsidR="00853611" w:rsidRPr="004B41D8" w:rsidRDefault="00853611" w:rsidP="008678CF">
            <w:pPr>
              <w:rPr>
                <w:i/>
                <w:color w:val="000000"/>
                <w:sz w:val="20"/>
              </w:rPr>
            </w:pPr>
            <w:r w:rsidRPr="004B41D8">
              <w:rPr>
                <w:i/>
                <w:color w:val="000000"/>
                <w:sz w:val="20"/>
              </w:rPr>
              <w:t xml:space="preserve">z toho: </w:t>
            </w:r>
            <w:r w:rsidRPr="004B41D8">
              <w:rPr>
                <w:b/>
                <w:i/>
                <w:color w:val="000000"/>
                <w:sz w:val="20"/>
              </w:rPr>
              <w:t>příjmy z rozpočtu EU</w:t>
            </w:r>
          </w:p>
        </w:tc>
        <w:tc>
          <w:tcPr>
            <w:tcW w:w="1842" w:type="dxa"/>
          </w:tcPr>
          <w:p w14:paraId="2A8AE7E3" w14:textId="77777777" w:rsidR="00853611" w:rsidRPr="004B41D8" w:rsidRDefault="00853611" w:rsidP="008678CF">
            <w:pPr>
              <w:jc w:val="right"/>
              <w:rPr>
                <w:b/>
                <w:i/>
                <w:color w:val="000000"/>
                <w:sz w:val="20"/>
              </w:rPr>
            </w:pPr>
            <w:r>
              <w:rPr>
                <w:b/>
                <w:i/>
                <w:color w:val="000000"/>
                <w:sz w:val="20"/>
              </w:rPr>
              <w:t>10 058 486 744</w:t>
            </w:r>
          </w:p>
        </w:tc>
      </w:tr>
      <w:tr w:rsidR="00853611" w:rsidRPr="00A14277" w14:paraId="3F82B8DF" w14:textId="77777777" w:rsidTr="008678CF">
        <w:tc>
          <w:tcPr>
            <w:tcW w:w="4395" w:type="dxa"/>
          </w:tcPr>
          <w:p w14:paraId="3AD61C38" w14:textId="77777777" w:rsidR="00853611" w:rsidRPr="004B41D8" w:rsidRDefault="00853611" w:rsidP="008678CF">
            <w:pPr>
              <w:rPr>
                <w:b/>
                <w:i/>
                <w:color w:val="000000"/>
                <w:sz w:val="20"/>
              </w:rPr>
            </w:pPr>
            <w:r w:rsidRPr="004B41D8">
              <w:rPr>
                <w:b/>
                <w:i/>
                <w:color w:val="000000"/>
                <w:sz w:val="20"/>
              </w:rPr>
              <w:t xml:space="preserve">            příjmy z rozpočtu FM</w:t>
            </w:r>
          </w:p>
        </w:tc>
        <w:tc>
          <w:tcPr>
            <w:tcW w:w="1842" w:type="dxa"/>
          </w:tcPr>
          <w:p w14:paraId="43055B0C" w14:textId="77777777" w:rsidR="00853611" w:rsidRPr="004B41D8" w:rsidRDefault="00853611" w:rsidP="008678CF">
            <w:pPr>
              <w:jc w:val="right"/>
              <w:rPr>
                <w:b/>
                <w:i/>
                <w:color w:val="000000"/>
                <w:sz w:val="20"/>
              </w:rPr>
            </w:pPr>
            <w:r>
              <w:rPr>
                <w:b/>
                <w:i/>
                <w:color w:val="000000"/>
                <w:sz w:val="20"/>
              </w:rPr>
              <w:t>0</w:t>
            </w:r>
          </w:p>
        </w:tc>
      </w:tr>
      <w:tr w:rsidR="00853611" w:rsidRPr="00A14277" w14:paraId="0FEEF789" w14:textId="77777777" w:rsidTr="008678CF">
        <w:tc>
          <w:tcPr>
            <w:tcW w:w="4395" w:type="dxa"/>
          </w:tcPr>
          <w:p w14:paraId="14FB10DD" w14:textId="77777777" w:rsidR="00853611" w:rsidRPr="004B41D8" w:rsidRDefault="00853611" w:rsidP="008678CF">
            <w:pPr>
              <w:rPr>
                <w:b/>
                <w:i/>
                <w:color w:val="000000"/>
                <w:sz w:val="20"/>
              </w:rPr>
            </w:pPr>
            <w:r w:rsidRPr="004B41D8">
              <w:rPr>
                <w:b/>
                <w:i/>
                <w:color w:val="000000"/>
                <w:sz w:val="20"/>
              </w:rPr>
              <w:t xml:space="preserve">            </w:t>
            </w:r>
            <w:r>
              <w:rPr>
                <w:b/>
                <w:i/>
                <w:color w:val="000000"/>
                <w:sz w:val="20"/>
              </w:rPr>
              <w:t>daňové příjmy</w:t>
            </w:r>
          </w:p>
        </w:tc>
        <w:tc>
          <w:tcPr>
            <w:tcW w:w="1842" w:type="dxa"/>
          </w:tcPr>
          <w:p w14:paraId="7EC2BD8E" w14:textId="77777777" w:rsidR="00853611" w:rsidRPr="004B41D8" w:rsidRDefault="00853611" w:rsidP="008678CF">
            <w:pPr>
              <w:jc w:val="right"/>
              <w:rPr>
                <w:b/>
                <w:i/>
                <w:color w:val="000000"/>
                <w:sz w:val="20"/>
              </w:rPr>
            </w:pPr>
            <w:r>
              <w:rPr>
                <w:b/>
                <w:i/>
                <w:color w:val="000000"/>
                <w:sz w:val="20"/>
              </w:rPr>
              <w:t>700 000</w:t>
            </w:r>
          </w:p>
        </w:tc>
      </w:tr>
      <w:tr w:rsidR="00853611" w:rsidRPr="00A14277" w14:paraId="578E5BAF" w14:textId="77777777" w:rsidTr="008678CF">
        <w:tc>
          <w:tcPr>
            <w:tcW w:w="4395" w:type="dxa"/>
          </w:tcPr>
          <w:p w14:paraId="5D9AFB7D" w14:textId="77777777" w:rsidR="00853611" w:rsidRPr="004B41D8" w:rsidRDefault="00853611" w:rsidP="008678CF">
            <w:pPr>
              <w:rPr>
                <w:b/>
                <w:i/>
                <w:color w:val="000000"/>
                <w:sz w:val="20"/>
              </w:rPr>
            </w:pPr>
            <w:r w:rsidRPr="004B41D8">
              <w:rPr>
                <w:b/>
                <w:i/>
                <w:color w:val="000000"/>
                <w:sz w:val="20"/>
              </w:rPr>
              <w:t>celkové výdaje kapitoly</w:t>
            </w:r>
          </w:p>
        </w:tc>
        <w:tc>
          <w:tcPr>
            <w:tcW w:w="1842" w:type="dxa"/>
          </w:tcPr>
          <w:p w14:paraId="1DAED782" w14:textId="77777777" w:rsidR="00853611" w:rsidRPr="004B41D8" w:rsidRDefault="00853611" w:rsidP="008678CF">
            <w:pPr>
              <w:jc w:val="right"/>
              <w:rPr>
                <w:b/>
                <w:i/>
                <w:color w:val="000000"/>
                <w:sz w:val="20"/>
              </w:rPr>
            </w:pPr>
            <w:r>
              <w:rPr>
                <w:b/>
                <w:i/>
                <w:color w:val="000000"/>
                <w:sz w:val="20"/>
              </w:rPr>
              <w:t>204 722 166 345</w:t>
            </w:r>
            <w:r w:rsidRPr="004B41D8">
              <w:rPr>
                <w:b/>
                <w:i/>
                <w:color w:val="000000"/>
                <w:sz w:val="20"/>
              </w:rPr>
              <w:t xml:space="preserve"> </w:t>
            </w:r>
          </w:p>
        </w:tc>
      </w:tr>
      <w:tr w:rsidR="00853611" w:rsidRPr="00872B97" w14:paraId="4C3EF4F1" w14:textId="77777777" w:rsidTr="008678CF">
        <w:tc>
          <w:tcPr>
            <w:tcW w:w="4395" w:type="dxa"/>
          </w:tcPr>
          <w:p w14:paraId="0B603107" w14:textId="77777777" w:rsidR="00853611" w:rsidRPr="004B41D8" w:rsidRDefault="00853611" w:rsidP="008678CF">
            <w:pPr>
              <w:rPr>
                <w:i/>
                <w:color w:val="000000"/>
                <w:sz w:val="20"/>
              </w:rPr>
            </w:pPr>
            <w:r w:rsidRPr="004B41D8">
              <w:rPr>
                <w:i/>
                <w:color w:val="000000"/>
                <w:sz w:val="20"/>
              </w:rPr>
              <w:t>z toho:</w:t>
            </w:r>
          </w:p>
          <w:p w14:paraId="044594F7"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EU</w:t>
            </w:r>
          </w:p>
          <w:p w14:paraId="7C707CC7"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finančních mechanismů</w:t>
            </w:r>
          </w:p>
          <w:p w14:paraId="026FCF37"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na výzkum, vývoj a inovace</w:t>
            </w:r>
          </w:p>
          <w:p w14:paraId="166D1A45"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i/>
                <w:color w:val="000000"/>
                <w:sz w:val="20"/>
              </w:rPr>
              <w:t>z toho:</w:t>
            </w:r>
            <w:r w:rsidRPr="004B41D8">
              <w:rPr>
                <w:b/>
                <w:i/>
                <w:color w:val="000000"/>
                <w:sz w:val="20"/>
              </w:rPr>
              <w:t xml:space="preserve"> výdaje kryté příjmy z rozpočtu EU </w:t>
            </w:r>
          </w:p>
        </w:tc>
        <w:tc>
          <w:tcPr>
            <w:tcW w:w="1842" w:type="dxa"/>
          </w:tcPr>
          <w:p w14:paraId="72957FC3" w14:textId="77777777" w:rsidR="00853611" w:rsidRPr="004B41D8" w:rsidRDefault="00853611" w:rsidP="008678CF">
            <w:pPr>
              <w:jc w:val="right"/>
              <w:rPr>
                <w:b/>
                <w:i/>
                <w:color w:val="000000"/>
                <w:sz w:val="20"/>
              </w:rPr>
            </w:pPr>
          </w:p>
          <w:p w14:paraId="6C53639C" w14:textId="77777777" w:rsidR="00853611" w:rsidRPr="004B41D8" w:rsidRDefault="00853611" w:rsidP="008678CF">
            <w:pPr>
              <w:jc w:val="right"/>
              <w:rPr>
                <w:b/>
                <w:i/>
                <w:color w:val="000000"/>
                <w:sz w:val="20"/>
              </w:rPr>
            </w:pPr>
            <w:r>
              <w:rPr>
                <w:b/>
                <w:i/>
                <w:color w:val="000000"/>
                <w:sz w:val="20"/>
              </w:rPr>
              <w:t>10 058 486 744</w:t>
            </w:r>
          </w:p>
          <w:p w14:paraId="5621369B" w14:textId="77777777" w:rsidR="00853611" w:rsidRPr="004B41D8" w:rsidRDefault="00853611" w:rsidP="008678CF">
            <w:pPr>
              <w:jc w:val="right"/>
              <w:rPr>
                <w:b/>
                <w:i/>
                <w:color w:val="000000"/>
                <w:sz w:val="20"/>
              </w:rPr>
            </w:pPr>
          </w:p>
          <w:p w14:paraId="5338B78B" w14:textId="77777777" w:rsidR="00853611" w:rsidRPr="004B41D8" w:rsidRDefault="00853611" w:rsidP="008678CF">
            <w:pPr>
              <w:jc w:val="right"/>
              <w:rPr>
                <w:b/>
                <w:i/>
                <w:color w:val="000000"/>
                <w:sz w:val="20"/>
              </w:rPr>
            </w:pPr>
            <w:r>
              <w:rPr>
                <w:b/>
                <w:i/>
                <w:color w:val="000000"/>
                <w:sz w:val="20"/>
              </w:rPr>
              <w:t>0</w:t>
            </w:r>
          </w:p>
          <w:p w14:paraId="41E6242A" w14:textId="77777777" w:rsidR="00853611" w:rsidRPr="004B41D8" w:rsidRDefault="00853611" w:rsidP="008678CF">
            <w:pPr>
              <w:jc w:val="right"/>
              <w:rPr>
                <w:b/>
                <w:i/>
                <w:color w:val="000000"/>
                <w:sz w:val="20"/>
              </w:rPr>
            </w:pPr>
            <w:r>
              <w:rPr>
                <w:b/>
                <w:i/>
                <w:color w:val="000000"/>
                <w:sz w:val="20"/>
              </w:rPr>
              <w:t>19 734 339 959</w:t>
            </w:r>
          </w:p>
          <w:p w14:paraId="350642D7" w14:textId="77777777" w:rsidR="00853611" w:rsidRPr="004B41D8" w:rsidRDefault="00853611" w:rsidP="008678CF">
            <w:pPr>
              <w:jc w:val="right"/>
              <w:rPr>
                <w:b/>
                <w:i/>
                <w:color w:val="000000"/>
                <w:sz w:val="20"/>
              </w:rPr>
            </w:pPr>
            <w:r>
              <w:rPr>
                <w:b/>
                <w:i/>
                <w:color w:val="000000"/>
                <w:sz w:val="20"/>
              </w:rPr>
              <w:t>5 120 465 500</w:t>
            </w:r>
          </w:p>
        </w:tc>
      </w:tr>
      <w:tr w:rsidR="00853611" w:rsidRPr="00782DF5" w14:paraId="50AF5914" w14:textId="77777777" w:rsidTr="008678CF">
        <w:tc>
          <w:tcPr>
            <w:tcW w:w="4395" w:type="dxa"/>
            <w:tcBorders>
              <w:top w:val="single" w:sz="4" w:space="0" w:color="auto"/>
              <w:left w:val="single" w:sz="4" w:space="0" w:color="auto"/>
              <w:bottom w:val="single" w:sz="4" w:space="0" w:color="auto"/>
              <w:right w:val="single" w:sz="4" w:space="0" w:color="auto"/>
            </w:tcBorders>
          </w:tcPr>
          <w:p w14:paraId="26479C4A"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sz w:val="20"/>
              </w:rPr>
              <w:t>výdaje na zahraniční rozvojovou spolupráci</w:t>
            </w:r>
          </w:p>
        </w:tc>
        <w:tc>
          <w:tcPr>
            <w:tcW w:w="1842" w:type="dxa"/>
            <w:tcBorders>
              <w:top w:val="single" w:sz="4" w:space="0" w:color="auto"/>
              <w:left w:val="single" w:sz="4" w:space="0" w:color="auto"/>
              <w:bottom w:val="single" w:sz="4" w:space="0" w:color="auto"/>
              <w:right w:val="single" w:sz="4" w:space="0" w:color="auto"/>
            </w:tcBorders>
          </w:tcPr>
          <w:p w14:paraId="24439B73" w14:textId="77777777" w:rsidR="00853611" w:rsidRPr="004B41D8" w:rsidRDefault="00853611" w:rsidP="008678CF">
            <w:pPr>
              <w:jc w:val="right"/>
              <w:rPr>
                <w:b/>
                <w:i/>
                <w:sz w:val="20"/>
              </w:rPr>
            </w:pPr>
            <w:r w:rsidRPr="004B41D8">
              <w:rPr>
                <w:b/>
                <w:i/>
                <w:sz w:val="20"/>
              </w:rPr>
              <w:t>11</w:t>
            </w:r>
            <w:r>
              <w:rPr>
                <w:b/>
                <w:i/>
                <w:sz w:val="20"/>
              </w:rPr>
              <w:t>5</w:t>
            </w:r>
            <w:r w:rsidRPr="004B41D8">
              <w:rPr>
                <w:b/>
                <w:i/>
                <w:sz w:val="20"/>
              </w:rPr>
              <w:t> 000 000</w:t>
            </w:r>
          </w:p>
        </w:tc>
      </w:tr>
      <w:tr w:rsidR="00853611" w:rsidRPr="00872B97" w14:paraId="470256CF" w14:textId="77777777" w:rsidTr="008678CF">
        <w:tc>
          <w:tcPr>
            <w:tcW w:w="4395" w:type="dxa"/>
            <w:tcBorders>
              <w:top w:val="single" w:sz="4" w:space="0" w:color="auto"/>
              <w:left w:val="single" w:sz="4" w:space="0" w:color="auto"/>
              <w:bottom w:val="single" w:sz="4" w:space="0" w:color="auto"/>
              <w:right w:val="single" w:sz="4" w:space="0" w:color="auto"/>
            </w:tcBorders>
          </w:tcPr>
          <w:p w14:paraId="71F926FC"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u w:val="single"/>
              </w:rPr>
            </w:pPr>
            <w:r w:rsidRPr="004B41D8">
              <w:rPr>
                <w:b/>
                <w:i/>
                <w:color w:val="000000"/>
                <w:sz w:val="20"/>
              </w:rPr>
              <w:t xml:space="preserve">limit výdajů na platy a ostatní platby za provedenou práci (dále jen „OPPP“) </w:t>
            </w:r>
            <w:r w:rsidRPr="004B41D8">
              <w:rPr>
                <w:rStyle w:val="Znakapoznpodarou"/>
                <w:b/>
                <w:i/>
                <w:color w:val="000000"/>
                <w:sz w:val="20"/>
              </w:rPr>
              <w:footnoteReference w:id="1"/>
            </w:r>
          </w:p>
        </w:tc>
        <w:tc>
          <w:tcPr>
            <w:tcW w:w="1842" w:type="dxa"/>
            <w:tcBorders>
              <w:top w:val="single" w:sz="4" w:space="0" w:color="auto"/>
              <w:left w:val="single" w:sz="4" w:space="0" w:color="auto"/>
              <w:bottom w:val="single" w:sz="4" w:space="0" w:color="auto"/>
              <w:right w:val="single" w:sz="4" w:space="0" w:color="auto"/>
            </w:tcBorders>
          </w:tcPr>
          <w:p w14:paraId="7E597FC3" w14:textId="77777777" w:rsidR="00853611" w:rsidRPr="004B41D8" w:rsidRDefault="00853611" w:rsidP="008678CF">
            <w:pPr>
              <w:jc w:val="right"/>
              <w:rPr>
                <w:b/>
                <w:i/>
                <w:sz w:val="20"/>
              </w:rPr>
            </w:pPr>
          </w:p>
          <w:p w14:paraId="4A876389" w14:textId="77777777" w:rsidR="00853611" w:rsidRPr="004B41D8" w:rsidRDefault="00853611" w:rsidP="008678CF">
            <w:pPr>
              <w:jc w:val="right"/>
              <w:rPr>
                <w:b/>
                <w:i/>
                <w:color w:val="000000"/>
                <w:sz w:val="20"/>
              </w:rPr>
            </w:pPr>
            <w:r>
              <w:rPr>
                <w:b/>
                <w:i/>
                <w:sz w:val="20"/>
              </w:rPr>
              <w:t>98 407 417 095</w:t>
            </w:r>
          </w:p>
        </w:tc>
      </w:tr>
    </w:tbl>
    <w:p w14:paraId="3FC92D73" w14:textId="77777777" w:rsidR="00853611" w:rsidRDefault="00853611" w:rsidP="00853611">
      <w:pPr>
        <w:pStyle w:val="Text"/>
      </w:pPr>
    </w:p>
    <w:p w14:paraId="23E15DFC" w14:textId="21FF9B94" w:rsidR="00853611" w:rsidRDefault="00853611" w:rsidP="00853611">
      <w:pPr>
        <w:pStyle w:val="Text"/>
      </w:pPr>
      <w:r w:rsidRPr="002C6209">
        <w:t>Tyto závazné parametry byly rozepsány do školských úseků, závazných ukazatelů, rozpočtové skladby a rozpracovány do rozpočtové dokumentace po</w:t>
      </w:r>
      <w:r>
        <w:t xml:space="preserve">dle vyhlášky </w:t>
      </w:r>
      <w:r>
        <w:lastRenderedPageBreak/>
        <w:t>č. 133/2013 </w:t>
      </w:r>
      <w:r w:rsidRPr="002C6209">
        <w:t xml:space="preserve">Sb., kterou se stanoví rozsah a struktura výdajů </w:t>
      </w:r>
      <w:r>
        <w:t>pro vypracování návrhu zákona o </w:t>
      </w:r>
      <w:r w:rsidRPr="002C6209">
        <w:t>státním rozpočtu a termíny jejich předkládání</w:t>
      </w:r>
      <w:r w:rsidR="00AE5706">
        <w:t>, ve znění pozdějších předpisů</w:t>
      </w:r>
      <w:r w:rsidRPr="002C6209">
        <w:t>. Podle doplňujících pokynů byl návrh rozpočtu kapitoly MŠMT odevzdán na Ministerstvo financí (dále jen „MF“).</w:t>
      </w:r>
    </w:p>
    <w:p w14:paraId="17DF51C9" w14:textId="477630B1" w:rsidR="00853611" w:rsidRPr="002C6209" w:rsidRDefault="00853611" w:rsidP="00853611">
      <w:pPr>
        <w:pStyle w:val="Text"/>
      </w:pPr>
      <w:r>
        <w:rPr>
          <w:rFonts w:eastAsia="Calibri"/>
          <w:lang w:eastAsia="en-US"/>
        </w:rPr>
        <w:t>Limit výdajů na platy a OPPP (vč. OON) nebyl stanoven ve výši, která by měla odpovídat promítaným vlivům. V této fázi MF nerozpracovalo vlivy s dopadem do platů, OPPP (vč. OON) a počtu zaměstnanců organizačních složek státu (dále jen „OSS“) a příspěvkových organizací (dále jen „PO“). Výše uveden</w:t>
      </w:r>
      <w:r w:rsidR="00FD3D4F">
        <w:rPr>
          <w:rFonts w:eastAsia="Calibri"/>
          <w:lang w:eastAsia="en-US"/>
        </w:rPr>
        <w:t>ý limit nezohledňoval dopady do </w:t>
      </w:r>
      <w:r>
        <w:rPr>
          <w:rFonts w:eastAsia="Calibri"/>
          <w:lang w:eastAsia="en-US"/>
        </w:rPr>
        <w:t xml:space="preserve">regulace </w:t>
      </w:r>
      <w:r w:rsidR="00AE5706">
        <w:rPr>
          <w:rFonts w:eastAsia="Calibri"/>
          <w:lang w:eastAsia="en-US"/>
        </w:rPr>
        <w:t xml:space="preserve">zaměstnanosti </w:t>
      </w:r>
      <w:r>
        <w:rPr>
          <w:rFonts w:eastAsia="Calibri"/>
          <w:lang w:eastAsia="en-US"/>
        </w:rPr>
        <w:t>na výdaje kryté příjmy z </w:t>
      </w:r>
      <w:r w:rsidR="00FD3D4F">
        <w:rPr>
          <w:rFonts w:eastAsia="Calibri"/>
          <w:lang w:eastAsia="en-US"/>
        </w:rPr>
        <w:t>Evropské unie (dále jen „EU“) a </w:t>
      </w:r>
      <w:r>
        <w:rPr>
          <w:rFonts w:eastAsia="Calibri"/>
          <w:lang w:eastAsia="en-US"/>
        </w:rPr>
        <w:t>finančních mechanismů (dále jen „FM“) i přesto, že v parametru celkových výdajů tato část rozpočtu zapracována byla. V limitech na platy a OPPP (vč. OON) nebyly promítnuty ani níže uváděné změny proti roku 2018, které, přestože prokazatelně do limitů patří, byly v souladu s instrukcemi MF do návrhu zapracovány až ve čtvrtém běhu.</w:t>
      </w:r>
    </w:p>
    <w:p w14:paraId="6D513933" w14:textId="77777777" w:rsidR="00853611" w:rsidRDefault="00853611" w:rsidP="00853611">
      <w:pPr>
        <w:pStyle w:val="Text"/>
      </w:pPr>
      <w:r w:rsidRPr="00782DF5">
        <w:t>V</w:t>
      </w:r>
      <w:r>
        <w:t>e</w:t>
      </w:r>
      <w:r w:rsidRPr="00782DF5">
        <w:t> </w:t>
      </w:r>
      <w:r>
        <w:t>čtyřech</w:t>
      </w:r>
      <w:r w:rsidRPr="00782DF5">
        <w:t xml:space="preserve"> bězích </w:t>
      </w:r>
      <w:r>
        <w:t xml:space="preserve">a termínech </w:t>
      </w:r>
      <w:r w:rsidRPr="00782DF5">
        <w:t>stanovených MF byly do rozpočtu kapitol promítány vlivy, jež tyto parametry upravily do nových objemů</w:t>
      </w:r>
      <w:r>
        <w:t>.</w:t>
      </w:r>
    </w:p>
    <w:p w14:paraId="600C47AC" w14:textId="300DC29E" w:rsidR="00853611" w:rsidRPr="00A202C1" w:rsidRDefault="00853611" w:rsidP="00853611">
      <w:pPr>
        <w:pStyle w:val="Text"/>
      </w:pPr>
      <w:r>
        <w:t xml:space="preserve"> </w:t>
      </w:r>
      <w:r w:rsidRPr="001F245A">
        <w:t>Vláda svým usnesením č. </w:t>
      </w:r>
      <w:r>
        <w:t>588/2018</w:t>
      </w:r>
      <w:r w:rsidRPr="001F245A">
        <w:t xml:space="preserve"> schválila záva</w:t>
      </w:r>
      <w:r w:rsidR="00FD3D4F">
        <w:t>zné parametry kapitoly MŠMT ve </w:t>
      </w:r>
      <w:r w:rsidRPr="001F245A">
        <w:t>výši:</w:t>
      </w:r>
      <w:r w:rsidRPr="00A202C1">
        <w:t xml:space="preserve"> </w:t>
      </w:r>
    </w:p>
    <w:p w14:paraId="52266BEC" w14:textId="77777777" w:rsidR="00853611" w:rsidRDefault="00853611" w:rsidP="00853611">
      <w:pPr>
        <w:pStyle w:val="Titulek"/>
        <w:keepNext/>
      </w:pPr>
      <w:bookmarkStart w:id="17" w:name="_Toc5965619"/>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A</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2</w:t>
      </w:r>
      <w:r w:rsidR="005F53B0">
        <w:rPr>
          <w:noProof/>
        </w:rPr>
        <w:fldChar w:fldCharType="end"/>
      </w:r>
      <w:r>
        <w:t>: Závazné parametry kapitoly MŠMT – rozpočet podle vlády ČR v Kč</w:t>
      </w:r>
      <w:bookmarkEnd w:id="17"/>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5"/>
        <w:gridCol w:w="2002"/>
      </w:tblGrid>
      <w:tr w:rsidR="00853611" w:rsidRPr="002C6209" w14:paraId="6891ADD7" w14:textId="77777777" w:rsidTr="008678CF">
        <w:trPr>
          <w:jc w:val="center"/>
        </w:trPr>
        <w:tc>
          <w:tcPr>
            <w:tcW w:w="4235" w:type="dxa"/>
            <w:shd w:val="clear" w:color="auto" w:fill="auto"/>
          </w:tcPr>
          <w:p w14:paraId="27071FCB" w14:textId="77777777" w:rsidR="00853611" w:rsidRPr="004B41D8" w:rsidRDefault="00853611" w:rsidP="008678CF">
            <w:pPr>
              <w:rPr>
                <w:b/>
                <w:color w:val="000000"/>
                <w:sz w:val="20"/>
              </w:rPr>
            </w:pPr>
            <w:r w:rsidRPr="004B41D8">
              <w:rPr>
                <w:b/>
                <w:color w:val="000000"/>
                <w:sz w:val="20"/>
              </w:rPr>
              <w:t>Rok</w:t>
            </w:r>
          </w:p>
        </w:tc>
        <w:tc>
          <w:tcPr>
            <w:tcW w:w="2002" w:type="dxa"/>
            <w:shd w:val="clear" w:color="auto" w:fill="auto"/>
          </w:tcPr>
          <w:p w14:paraId="575B672A" w14:textId="77777777" w:rsidR="00853611" w:rsidRPr="004B41D8" w:rsidRDefault="00853611" w:rsidP="008678CF">
            <w:pPr>
              <w:jc w:val="center"/>
              <w:rPr>
                <w:b/>
                <w:color w:val="000000"/>
                <w:sz w:val="20"/>
              </w:rPr>
            </w:pPr>
            <w:r w:rsidRPr="004B41D8">
              <w:rPr>
                <w:b/>
                <w:color w:val="000000"/>
                <w:sz w:val="20"/>
              </w:rPr>
              <w:t>201</w:t>
            </w:r>
            <w:r>
              <w:rPr>
                <w:b/>
                <w:color w:val="000000"/>
                <w:sz w:val="20"/>
              </w:rPr>
              <w:t>9</w:t>
            </w:r>
          </w:p>
        </w:tc>
      </w:tr>
      <w:tr w:rsidR="00853611" w:rsidRPr="002C6209" w14:paraId="278BF497" w14:textId="77777777" w:rsidTr="008678CF">
        <w:trPr>
          <w:jc w:val="center"/>
        </w:trPr>
        <w:tc>
          <w:tcPr>
            <w:tcW w:w="4235" w:type="dxa"/>
          </w:tcPr>
          <w:p w14:paraId="37C70D6A" w14:textId="77777777" w:rsidR="00853611" w:rsidRPr="004B41D8" w:rsidRDefault="00853611" w:rsidP="008678CF">
            <w:pPr>
              <w:rPr>
                <w:b/>
                <w:i/>
                <w:color w:val="000000"/>
                <w:sz w:val="20"/>
              </w:rPr>
            </w:pPr>
            <w:r w:rsidRPr="004B41D8">
              <w:rPr>
                <w:b/>
                <w:i/>
                <w:color w:val="000000"/>
                <w:sz w:val="20"/>
              </w:rPr>
              <w:t>celkové příjmy kapitoly</w:t>
            </w:r>
          </w:p>
        </w:tc>
        <w:tc>
          <w:tcPr>
            <w:tcW w:w="2002" w:type="dxa"/>
          </w:tcPr>
          <w:p w14:paraId="6A5A5C18" w14:textId="77777777" w:rsidR="00853611" w:rsidRPr="004B41D8" w:rsidRDefault="00853611" w:rsidP="008678CF">
            <w:pPr>
              <w:jc w:val="right"/>
              <w:rPr>
                <w:b/>
                <w:i/>
                <w:color w:val="000000"/>
                <w:sz w:val="20"/>
              </w:rPr>
            </w:pPr>
            <w:r>
              <w:rPr>
                <w:b/>
                <w:i/>
                <w:color w:val="000000"/>
                <w:sz w:val="20"/>
              </w:rPr>
              <w:t>10 151 242 744</w:t>
            </w:r>
          </w:p>
        </w:tc>
      </w:tr>
      <w:tr w:rsidR="00853611" w:rsidRPr="002C6209" w14:paraId="4F496801" w14:textId="77777777" w:rsidTr="008678CF">
        <w:trPr>
          <w:jc w:val="center"/>
        </w:trPr>
        <w:tc>
          <w:tcPr>
            <w:tcW w:w="4235" w:type="dxa"/>
          </w:tcPr>
          <w:p w14:paraId="3F32FF9A" w14:textId="77777777" w:rsidR="00853611" w:rsidRPr="004B41D8" w:rsidRDefault="00853611" w:rsidP="008678CF">
            <w:pPr>
              <w:rPr>
                <w:i/>
                <w:color w:val="000000"/>
                <w:sz w:val="20"/>
              </w:rPr>
            </w:pPr>
            <w:r w:rsidRPr="004B41D8">
              <w:rPr>
                <w:i/>
                <w:color w:val="000000"/>
                <w:sz w:val="20"/>
              </w:rPr>
              <w:t xml:space="preserve">z toho: </w:t>
            </w:r>
            <w:r w:rsidRPr="004B41D8">
              <w:rPr>
                <w:b/>
                <w:i/>
                <w:color w:val="000000"/>
                <w:sz w:val="20"/>
              </w:rPr>
              <w:t>příjmy z rozpočtu EU</w:t>
            </w:r>
          </w:p>
        </w:tc>
        <w:tc>
          <w:tcPr>
            <w:tcW w:w="2002" w:type="dxa"/>
          </w:tcPr>
          <w:p w14:paraId="22847A02" w14:textId="77777777" w:rsidR="00853611" w:rsidRPr="004B41D8" w:rsidRDefault="00853611" w:rsidP="008678CF">
            <w:pPr>
              <w:jc w:val="right"/>
              <w:rPr>
                <w:b/>
                <w:i/>
                <w:color w:val="000000"/>
                <w:sz w:val="20"/>
              </w:rPr>
            </w:pPr>
            <w:r>
              <w:rPr>
                <w:b/>
                <w:i/>
                <w:color w:val="000000"/>
                <w:sz w:val="20"/>
              </w:rPr>
              <w:t>10 058 486 744</w:t>
            </w:r>
          </w:p>
        </w:tc>
      </w:tr>
      <w:tr w:rsidR="00853611" w:rsidRPr="002C6209" w14:paraId="1B6FA1A0" w14:textId="77777777" w:rsidTr="008678CF">
        <w:trPr>
          <w:jc w:val="center"/>
        </w:trPr>
        <w:tc>
          <w:tcPr>
            <w:tcW w:w="4235" w:type="dxa"/>
          </w:tcPr>
          <w:p w14:paraId="4E27E0EE" w14:textId="77777777" w:rsidR="00853611" w:rsidRPr="004B41D8" w:rsidRDefault="00853611" w:rsidP="008678CF">
            <w:pPr>
              <w:rPr>
                <w:b/>
                <w:i/>
                <w:color w:val="000000"/>
                <w:sz w:val="20"/>
              </w:rPr>
            </w:pPr>
            <w:r w:rsidRPr="004B41D8">
              <w:rPr>
                <w:b/>
                <w:i/>
                <w:color w:val="000000"/>
                <w:sz w:val="20"/>
              </w:rPr>
              <w:t xml:space="preserve">            příjmy z rozpočtu FM</w:t>
            </w:r>
          </w:p>
        </w:tc>
        <w:tc>
          <w:tcPr>
            <w:tcW w:w="2002" w:type="dxa"/>
          </w:tcPr>
          <w:p w14:paraId="6AECD9E2" w14:textId="77777777" w:rsidR="00853611" w:rsidRPr="004B41D8" w:rsidRDefault="00853611" w:rsidP="008678CF">
            <w:pPr>
              <w:jc w:val="right"/>
              <w:rPr>
                <w:b/>
                <w:i/>
                <w:color w:val="000000"/>
                <w:sz w:val="20"/>
              </w:rPr>
            </w:pPr>
            <w:r>
              <w:rPr>
                <w:b/>
                <w:i/>
                <w:color w:val="000000"/>
                <w:sz w:val="20"/>
              </w:rPr>
              <w:t>0</w:t>
            </w:r>
          </w:p>
        </w:tc>
      </w:tr>
      <w:tr w:rsidR="00853611" w:rsidRPr="001F245A" w14:paraId="78A72629" w14:textId="77777777" w:rsidTr="008678CF">
        <w:trPr>
          <w:jc w:val="center"/>
        </w:trPr>
        <w:tc>
          <w:tcPr>
            <w:tcW w:w="4235" w:type="dxa"/>
          </w:tcPr>
          <w:p w14:paraId="2498279B" w14:textId="77777777" w:rsidR="00853611" w:rsidRPr="004B41D8" w:rsidRDefault="00853611" w:rsidP="008678CF">
            <w:pPr>
              <w:rPr>
                <w:b/>
                <w:i/>
                <w:color w:val="000000"/>
                <w:sz w:val="20"/>
              </w:rPr>
            </w:pPr>
            <w:r w:rsidRPr="004B41D8">
              <w:rPr>
                <w:b/>
                <w:i/>
                <w:color w:val="000000"/>
                <w:sz w:val="20"/>
              </w:rPr>
              <w:t xml:space="preserve">            </w:t>
            </w:r>
            <w:r>
              <w:rPr>
                <w:b/>
                <w:i/>
                <w:color w:val="000000"/>
                <w:sz w:val="20"/>
              </w:rPr>
              <w:t>daňové příjmy</w:t>
            </w:r>
          </w:p>
        </w:tc>
        <w:tc>
          <w:tcPr>
            <w:tcW w:w="2002" w:type="dxa"/>
          </w:tcPr>
          <w:p w14:paraId="7C342CC9" w14:textId="77777777" w:rsidR="00853611" w:rsidRPr="004B41D8" w:rsidRDefault="00853611" w:rsidP="008678CF">
            <w:pPr>
              <w:jc w:val="right"/>
              <w:rPr>
                <w:b/>
                <w:i/>
                <w:color w:val="000000"/>
                <w:sz w:val="20"/>
              </w:rPr>
            </w:pPr>
            <w:r>
              <w:rPr>
                <w:b/>
                <w:i/>
                <w:color w:val="000000"/>
                <w:sz w:val="20"/>
              </w:rPr>
              <w:t>700 000</w:t>
            </w:r>
          </w:p>
        </w:tc>
      </w:tr>
      <w:tr w:rsidR="00853611" w:rsidRPr="001F245A" w14:paraId="2A7F5315" w14:textId="77777777" w:rsidTr="008678CF">
        <w:trPr>
          <w:jc w:val="center"/>
        </w:trPr>
        <w:tc>
          <w:tcPr>
            <w:tcW w:w="4235" w:type="dxa"/>
          </w:tcPr>
          <w:p w14:paraId="3F6FD893" w14:textId="77777777" w:rsidR="00853611" w:rsidRPr="004B41D8" w:rsidRDefault="00853611" w:rsidP="008678CF">
            <w:pPr>
              <w:rPr>
                <w:b/>
                <w:i/>
                <w:color w:val="000000"/>
                <w:sz w:val="20"/>
              </w:rPr>
            </w:pPr>
            <w:r w:rsidRPr="004B41D8">
              <w:rPr>
                <w:b/>
                <w:i/>
                <w:color w:val="000000"/>
                <w:sz w:val="20"/>
              </w:rPr>
              <w:t>celkové výdaje kapitoly</w:t>
            </w:r>
          </w:p>
        </w:tc>
        <w:tc>
          <w:tcPr>
            <w:tcW w:w="2002" w:type="dxa"/>
          </w:tcPr>
          <w:p w14:paraId="40D4459C" w14:textId="77777777" w:rsidR="00853611" w:rsidRPr="004B41D8" w:rsidRDefault="00853611" w:rsidP="008678CF">
            <w:pPr>
              <w:jc w:val="right"/>
              <w:rPr>
                <w:b/>
                <w:i/>
                <w:color w:val="000000"/>
                <w:sz w:val="20"/>
              </w:rPr>
            </w:pPr>
            <w:r>
              <w:rPr>
                <w:b/>
                <w:i/>
                <w:color w:val="000000"/>
                <w:sz w:val="20"/>
              </w:rPr>
              <w:t>205 759 166 364</w:t>
            </w:r>
          </w:p>
        </w:tc>
      </w:tr>
      <w:tr w:rsidR="00853611" w:rsidRPr="002C6209" w14:paraId="2C49B721" w14:textId="77777777" w:rsidTr="008678CF">
        <w:trPr>
          <w:jc w:val="center"/>
        </w:trPr>
        <w:tc>
          <w:tcPr>
            <w:tcW w:w="4235" w:type="dxa"/>
          </w:tcPr>
          <w:p w14:paraId="71A30532" w14:textId="77777777" w:rsidR="00853611" w:rsidRPr="004B41D8" w:rsidRDefault="00853611" w:rsidP="008678CF">
            <w:pPr>
              <w:rPr>
                <w:i/>
                <w:color w:val="000000"/>
                <w:sz w:val="20"/>
              </w:rPr>
            </w:pPr>
            <w:r w:rsidRPr="004B41D8">
              <w:rPr>
                <w:i/>
                <w:color w:val="000000"/>
                <w:sz w:val="20"/>
              </w:rPr>
              <w:t>z toho:</w:t>
            </w:r>
          </w:p>
          <w:p w14:paraId="160B54B0"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EU</w:t>
            </w:r>
          </w:p>
          <w:p w14:paraId="4BBCB1CA"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kryté příjmy z rozpočtu FM</w:t>
            </w:r>
          </w:p>
          <w:p w14:paraId="20FD61A9"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color w:val="000000"/>
                <w:sz w:val="20"/>
              </w:rPr>
              <w:t>výdaje na výzkum, vývoj a inovace</w:t>
            </w:r>
          </w:p>
          <w:p w14:paraId="33984A9D"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i/>
                <w:color w:val="000000"/>
                <w:sz w:val="20"/>
              </w:rPr>
              <w:t>z toho:</w:t>
            </w:r>
            <w:r w:rsidRPr="004B41D8">
              <w:rPr>
                <w:b/>
                <w:i/>
                <w:color w:val="000000"/>
                <w:sz w:val="20"/>
              </w:rPr>
              <w:t xml:space="preserve"> výdaje kryté příjmy z rozpočtu EU</w:t>
            </w:r>
          </w:p>
        </w:tc>
        <w:tc>
          <w:tcPr>
            <w:tcW w:w="2002" w:type="dxa"/>
          </w:tcPr>
          <w:p w14:paraId="7473480B" w14:textId="77777777" w:rsidR="00853611" w:rsidRPr="004B41D8" w:rsidRDefault="00853611" w:rsidP="008678CF">
            <w:pPr>
              <w:jc w:val="right"/>
              <w:rPr>
                <w:b/>
                <w:i/>
                <w:color w:val="000000"/>
                <w:sz w:val="20"/>
              </w:rPr>
            </w:pPr>
          </w:p>
          <w:p w14:paraId="059FB421" w14:textId="77777777" w:rsidR="00853611" w:rsidRPr="004B41D8" w:rsidRDefault="00853611" w:rsidP="008678CF">
            <w:pPr>
              <w:jc w:val="right"/>
              <w:rPr>
                <w:b/>
                <w:i/>
                <w:color w:val="000000"/>
                <w:sz w:val="20"/>
              </w:rPr>
            </w:pPr>
            <w:r>
              <w:rPr>
                <w:b/>
                <w:i/>
                <w:color w:val="000000"/>
                <w:sz w:val="20"/>
              </w:rPr>
              <w:t>10 058 486 744</w:t>
            </w:r>
          </w:p>
          <w:p w14:paraId="5ACDF947" w14:textId="77777777" w:rsidR="00853611" w:rsidRPr="004B41D8" w:rsidRDefault="00853611" w:rsidP="008678CF">
            <w:pPr>
              <w:jc w:val="right"/>
              <w:rPr>
                <w:b/>
                <w:i/>
                <w:color w:val="000000"/>
                <w:sz w:val="20"/>
              </w:rPr>
            </w:pPr>
            <w:r>
              <w:rPr>
                <w:b/>
                <w:i/>
                <w:color w:val="000000"/>
                <w:sz w:val="20"/>
              </w:rPr>
              <w:t>0</w:t>
            </w:r>
          </w:p>
          <w:p w14:paraId="2AE107D7" w14:textId="77777777" w:rsidR="00853611" w:rsidRPr="004B41D8" w:rsidRDefault="00853611" w:rsidP="008678CF">
            <w:pPr>
              <w:jc w:val="right"/>
              <w:rPr>
                <w:b/>
                <w:i/>
                <w:color w:val="000000"/>
                <w:sz w:val="20"/>
              </w:rPr>
            </w:pPr>
            <w:r>
              <w:rPr>
                <w:b/>
                <w:i/>
                <w:color w:val="000000"/>
                <w:sz w:val="20"/>
              </w:rPr>
              <w:t>19 734 339 959</w:t>
            </w:r>
          </w:p>
          <w:p w14:paraId="15F67DED" w14:textId="77777777" w:rsidR="00853611" w:rsidRPr="004B41D8" w:rsidRDefault="00853611" w:rsidP="008678CF">
            <w:pPr>
              <w:jc w:val="right"/>
              <w:rPr>
                <w:b/>
                <w:i/>
                <w:color w:val="000000"/>
                <w:sz w:val="20"/>
              </w:rPr>
            </w:pPr>
            <w:r>
              <w:rPr>
                <w:b/>
                <w:i/>
                <w:color w:val="000000"/>
                <w:sz w:val="20"/>
              </w:rPr>
              <w:t>5 120 465 500</w:t>
            </w:r>
          </w:p>
        </w:tc>
      </w:tr>
      <w:tr w:rsidR="00853611" w:rsidRPr="008A157C" w14:paraId="56F38381" w14:textId="77777777" w:rsidTr="008678CF">
        <w:trPr>
          <w:jc w:val="center"/>
        </w:trPr>
        <w:tc>
          <w:tcPr>
            <w:tcW w:w="4235" w:type="dxa"/>
            <w:tcBorders>
              <w:top w:val="single" w:sz="4" w:space="0" w:color="auto"/>
              <w:left w:val="single" w:sz="4" w:space="0" w:color="auto"/>
              <w:bottom w:val="single" w:sz="4" w:space="0" w:color="auto"/>
              <w:right w:val="single" w:sz="4" w:space="0" w:color="auto"/>
            </w:tcBorders>
          </w:tcPr>
          <w:p w14:paraId="23033226" w14:textId="77777777" w:rsidR="00853611" w:rsidRPr="004B41D8" w:rsidRDefault="00853611" w:rsidP="008678CF">
            <w:pPr>
              <w:tabs>
                <w:tab w:val="left" w:pos="720"/>
              </w:tabs>
              <w:overflowPunct w:val="0"/>
              <w:autoSpaceDE w:val="0"/>
              <w:autoSpaceDN w:val="0"/>
              <w:adjustRightInd w:val="0"/>
              <w:ind w:left="360"/>
              <w:textAlignment w:val="baseline"/>
              <w:rPr>
                <w:b/>
                <w:i/>
                <w:color w:val="000000"/>
                <w:sz w:val="20"/>
              </w:rPr>
            </w:pPr>
            <w:r w:rsidRPr="004B41D8">
              <w:rPr>
                <w:b/>
                <w:i/>
                <w:sz w:val="20"/>
              </w:rPr>
              <w:t>výdaje na zahraniční rozvojovou spolupráci</w:t>
            </w:r>
          </w:p>
        </w:tc>
        <w:tc>
          <w:tcPr>
            <w:tcW w:w="2002" w:type="dxa"/>
            <w:tcBorders>
              <w:top w:val="single" w:sz="4" w:space="0" w:color="auto"/>
              <w:left w:val="single" w:sz="4" w:space="0" w:color="auto"/>
              <w:bottom w:val="single" w:sz="4" w:space="0" w:color="auto"/>
              <w:right w:val="single" w:sz="4" w:space="0" w:color="auto"/>
            </w:tcBorders>
          </w:tcPr>
          <w:p w14:paraId="4CA7A862" w14:textId="77777777" w:rsidR="00853611" w:rsidRPr="004B41D8" w:rsidRDefault="00853611" w:rsidP="008678CF">
            <w:pPr>
              <w:jc w:val="right"/>
              <w:rPr>
                <w:b/>
                <w:i/>
                <w:sz w:val="20"/>
              </w:rPr>
            </w:pPr>
            <w:r w:rsidRPr="004B41D8">
              <w:rPr>
                <w:b/>
                <w:i/>
                <w:sz w:val="20"/>
              </w:rPr>
              <w:t>11</w:t>
            </w:r>
            <w:r>
              <w:rPr>
                <w:b/>
                <w:i/>
                <w:sz w:val="20"/>
              </w:rPr>
              <w:t>5</w:t>
            </w:r>
            <w:r w:rsidRPr="004B41D8">
              <w:rPr>
                <w:b/>
                <w:i/>
                <w:sz w:val="20"/>
              </w:rPr>
              <w:t> 000 000</w:t>
            </w:r>
          </w:p>
        </w:tc>
      </w:tr>
      <w:tr w:rsidR="00853611" w:rsidRPr="004F5A22" w14:paraId="19401518" w14:textId="77777777" w:rsidTr="008678CF">
        <w:trPr>
          <w:jc w:val="center"/>
        </w:trPr>
        <w:tc>
          <w:tcPr>
            <w:tcW w:w="4235" w:type="dxa"/>
            <w:tcBorders>
              <w:top w:val="single" w:sz="4" w:space="0" w:color="auto"/>
              <w:left w:val="single" w:sz="4" w:space="0" w:color="auto"/>
              <w:bottom w:val="single" w:sz="4" w:space="0" w:color="auto"/>
              <w:right w:val="single" w:sz="4" w:space="0" w:color="auto"/>
            </w:tcBorders>
          </w:tcPr>
          <w:p w14:paraId="5708C5C7" w14:textId="77777777" w:rsidR="00853611" w:rsidRPr="00056E46" w:rsidRDefault="00853611" w:rsidP="008678CF">
            <w:pPr>
              <w:tabs>
                <w:tab w:val="left" w:pos="720"/>
              </w:tabs>
              <w:overflowPunct w:val="0"/>
              <w:autoSpaceDE w:val="0"/>
              <w:autoSpaceDN w:val="0"/>
              <w:adjustRightInd w:val="0"/>
              <w:ind w:left="360"/>
              <w:textAlignment w:val="baseline"/>
              <w:rPr>
                <w:b/>
                <w:i/>
                <w:color w:val="000000"/>
                <w:sz w:val="20"/>
                <w:u w:val="single"/>
              </w:rPr>
            </w:pPr>
            <w:r w:rsidRPr="00056E46">
              <w:rPr>
                <w:b/>
                <w:i/>
                <w:color w:val="000000"/>
                <w:sz w:val="20"/>
              </w:rPr>
              <w:t>limit výdajů na platy a OPPP</w:t>
            </w:r>
            <w:r w:rsidRPr="00056E46">
              <w:rPr>
                <w:rStyle w:val="Znakapoznpodarou"/>
                <w:b/>
                <w:i/>
                <w:color w:val="000000"/>
                <w:sz w:val="20"/>
              </w:rPr>
              <w:footnoteReference w:id="2"/>
            </w:r>
          </w:p>
        </w:tc>
        <w:tc>
          <w:tcPr>
            <w:tcW w:w="2002" w:type="dxa"/>
            <w:tcBorders>
              <w:top w:val="single" w:sz="4" w:space="0" w:color="auto"/>
              <w:left w:val="single" w:sz="4" w:space="0" w:color="auto"/>
              <w:bottom w:val="single" w:sz="4" w:space="0" w:color="auto"/>
              <w:right w:val="single" w:sz="4" w:space="0" w:color="auto"/>
            </w:tcBorders>
          </w:tcPr>
          <w:p w14:paraId="06983BF0" w14:textId="77777777" w:rsidR="00853611" w:rsidRPr="00056E46" w:rsidRDefault="00853611" w:rsidP="008678CF">
            <w:pPr>
              <w:jc w:val="right"/>
              <w:rPr>
                <w:b/>
                <w:i/>
                <w:color w:val="000000"/>
                <w:sz w:val="20"/>
              </w:rPr>
            </w:pPr>
            <w:r>
              <w:rPr>
                <w:b/>
                <w:i/>
                <w:sz w:val="20"/>
              </w:rPr>
              <w:t>99 451 377 840</w:t>
            </w:r>
          </w:p>
        </w:tc>
      </w:tr>
    </w:tbl>
    <w:p w14:paraId="4A760851" w14:textId="77777777" w:rsidR="00853611" w:rsidRDefault="00853611" w:rsidP="00853611"/>
    <w:p w14:paraId="2D29FA05" w14:textId="520DEB16" w:rsidR="00853611" w:rsidRDefault="00853611" w:rsidP="00853611">
      <w:pPr>
        <w:pStyle w:val="Text"/>
        <w:rPr>
          <w:i/>
        </w:rPr>
      </w:pPr>
      <w:r w:rsidRPr="00970DDD">
        <w:t xml:space="preserve">Při jednání o </w:t>
      </w:r>
      <w:r w:rsidR="007D76A0">
        <w:t xml:space="preserve">návrhu </w:t>
      </w:r>
      <w:r w:rsidRPr="00970DDD">
        <w:t>zákon</w:t>
      </w:r>
      <w:r w:rsidR="007D76A0">
        <w:t>a</w:t>
      </w:r>
      <w:r w:rsidRPr="00970DDD">
        <w:t xml:space="preserve"> o státním rozpočtu na rok 201</w:t>
      </w:r>
      <w:r>
        <w:t>9</w:t>
      </w:r>
      <w:r w:rsidRPr="00970DDD">
        <w:t xml:space="preserve"> v PSP ČR </w:t>
      </w:r>
      <w:r>
        <w:t>nedošlo v kapitole MŠMT ke změnám a tento rozpočet byl v PSP schválen.</w:t>
      </w:r>
    </w:p>
    <w:p w14:paraId="3E696F8D" w14:textId="7B00922A" w:rsidR="00853611" w:rsidRPr="0095703D" w:rsidRDefault="00853611" w:rsidP="00853611">
      <w:pPr>
        <w:pStyle w:val="Text"/>
        <w:rPr>
          <w:rFonts w:eastAsia="Calibri"/>
          <w:lang w:eastAsia="en-US"/>
        </w:rPr>
      </w:pPr>
      <w:r w:rsidRPr="00F65F3F">
        <w:rPr>
          <w:rFonts w:eastAsia="Calibri"/>
          <w:lang w:eastAsia="en-US"/>
        </w:rPr>
        <w:t xml:space="preserve">Podíl výdajů kapitoly MŠMT na </w:t>
      </w:r>
      <w:r>
        <w:rPr>
          <w:rFonts w:eastAsia="Calibri"/>
          <w:lang w:eastAsia="en-US"/>
        </w:rPr>
        <w:t>hrubém domácím produktu (dále jen „</w:t>
      </w:r>
      <w:r w:rsidRPr="00F65F3F">
        <w:rPr>
          <w:rFonts w:eastAsia="Calibri"/>
          <w:lang w:eastAsia="en-US"/>
        </w:rPr>
        <w:t>HDP</w:t>
      </w:r>
      <w:r>
        <w:rPr>
          <w:rFonts w:eastAsia="Calibri"/>
          <w:lang w:eastAsia="en-US"/>
        </w:rPr>
        <w:t>“)</w:t>
      </w:r>
      <w:r w:rsidRPr="00F65F3F">
        <w:rPr>
          <w:rFonts w:eastAsia="Calibri"/>
          <w:lang w:eastAsia="en-US"/>
        </w:rPr>
        <w:t xml:space="preserve"> na rok 201</w:t>
      </w:r>
      <w:r>
        <w:rPr>
          <w:rFonts w:eastAsia="Calibri"/>
          <w:lang w:eastAsia="en-US"/>
        </w:rPr>
        <w:t>9</w:t>
      </w:r>
      <w:r w:rsidRPr="00F65F3F">
        <w:rPr>
          <w:rFonts w:eastAsia="Calibri"/>
          <w:lang w:eastAsia="en-US"/>
        </w:rPr>
        <w:t xml:space="preserve"> podle aktuální predikce HDP</w:t>
      </w:r>
      <w:r w:rsidR="001D5F79">
        <w:rPr>
          <w:rStyle w:val="Znakapoznpodarou"/>
          <w:rFonts w:eastAsia="Calibri"/>
          <w:lang w:eastAsia="en-US"/>
        </w:rPr>
        <w:footnoteReference w:id="3"/>
      </w:r>
      <w:r w:rsidRPr="00F65F3F">
        <w:rPr>
          <w:rFonts w:eastAsia="Calibri"/>
          <w:lang w:eastAsia="en-US"/>
        </w:rPr>
        <w:t xml:space="preserve"> </w:t>
      </w:r>
      <w:r w:rsidRPr="00F5655C">
        <w:rPr>
          <w:rFonts w:eastAsia="Calibri"/>
          <w:lang w:eastAsia="en-US"/>
        </w:rPr>
        <w:t xml:space="preserve"> je odhadován ve výši 3,50 %, tj. nárůst o 0,32 procentních bodů proti</w:t>
      </w:r>
      <w:r w:rsidRPr="006859BE">
        <w:rPr>
          <w:rFonts w:eastAsia="Calibri"/>
          <w:lang w:eastAsia="en-US"/>
        </w:rPr>
        <w:t xml:space="preserve"> </w:t>
      </w:r>
      <w:r>
        <w:rPr>
          <w:rFonts w:eastAsia="Calibri"/>
          <w:lang w:eastAsia="en-US"/>
        </w:rPr>
        <w:t xml:space="preserve">podílu na predikci HDP </w:t>
      </w:r>
      <w:r w:rsidRPr="006859BE">
        <w:rPr>
          <w:rFonts w:eastAsia="Calibri"/>
          <w:lang w:eastAsia="en-US"/>
        </w:rPr>
        <w:t>předchozí</w:t>
      </w:r>
      <w:r>
        <w:rPr>
          <w:rFonts w:eastAsia="Calibri"/>
          <w:lang w:eastAsia="en-US"/>
        </w:rPr>
        <w:t>ho</w:t>
      </w:r>
      <w:r w:rsidRPr="006859BE">
        <w:rPr>
          <w:rFonts w:eastAsia="Calibri"/>
          <w:lang w:eastAsia="en-US"/>
        </w:rPr>
        <w:t xml:space="preserve"> roku. Výdaje kapitoly MŠMT jsou</w:t>
      </w:r>
      <w:r w:rsidRPr="0095703D">
        <w:rPr>
          <w:rFonts w:eastAsia="Calibri"/>
          <w:lang w:eastAsia="en-US"/>
        </w:rPr>
        <w:t xml:space="preserve"> porovnávány ve srovnatelné základně (tj. bez ekvivalentu EU a FM).</w:t>
      </w:r>
    </w:p>
    <w:p w14:paraId="6DE956FA" w14:textId="77777777" w:rsidR="00853611" w:rsidRPr="00EF04FB" w:rsidRDefault="00853611" w:rsidP="00911311">
      <w:pPr>
        <w:rPr>
          <w:szCs w:val="24"/>
        </w:rPr>
      </w:pPr>
    </w:p>
    <w:p w14:paraId="2BBA9E19" w14:textId="77777777" w:rsidR="00853611" w:rsidRPr="00EF04FB" w:rsidRDefault="00853611" w:rsidP="00B26388">
      <w:pPr>
        <w:pStyle w:val="Nadpis3"/>
      </w:pPr>
      <w:bookmarkStart w:id="18" w:name="_Toc5968807"/>
      <w:r w:rsidRPr="00EF04FB">
        <w:t xml:space="preserve">Ukazatele rozpočtu kapitoly </w:t>
      </w:r>
      <w:r w:rsidRPr="00F65F3F">
        <w:rPr>
          <w:rFonts w:eastAsia="Calibri"/>
        </w:rPr>
        <w:t>MŠMT</w:t>
      </w:r>
      <w:r w:rsidRPr="00EF04FB">
        <w:t xml:space="preserve"> na rok 201</w:t>
      </w:r>
      <w:r>
        <w:t>9</w:t>
      </w:r>
      <w:bookmarkEnd w:id="18"/>
    </w:p>
    <w:p w14:paraId="314FE080" w14:textId="77777777" w:rsidR="00853611" w:rsidRPr="00F70F78" w:rsidRDefault="00853611" w:rsidP="00853611">
      <w:pPr>
        <w:pStyle w:val="Zkladntext211"/>
        <w:ind w:left="284" w:firstLine="567"/>
        <w:rPr>
          <w:color w:val="548DD4"/>
          <w:highlight w:val="yellow"/>
        </w:rPr>
      </w:pPr>
    </w:p>
    <w:p w14:paraId="606469E9" w14:textId="77777777" w:rsidR="00853611" w:rsidRPr="00EF04FB" w:rsidRDefault="00853611" w:rsidP="0031482F">
      <w:pPr>
        <w:pStyle w:val="Nadpis4"/>
      </w:pPr>
      <w:bookmarkStart w:id="19" w:name="_Toc5968808"/>
      <w:r w:rsidRPr="00EF04FB">
        <w:t>Závazné objemy rozpočtu</w:t>
      </w:r>
      <w:bookmarkEnd w:id="19"/>
    </w:p>
    <w:p w14:paraId="07400091" w14:textId="77777777" w:rsidR="00853611" w:rsidRPr="00EF04FB" w:rsidRDefault="00853611" w:rsidP="0031482F">
      <w:pPr>
        <w:pStyle w:val="Nadpis4"/>
        <w:numPr>
          <w:ilvl w:val="0"/>
          <w:numId w:val="0"/>
        </w:numPr>
        <w:ind w:left="864"/>
      </w:pPr>
    </w:p>
    <w:p w14:paraId="3D6263E3" w14:textId="77777777" w:rsidR="00853611" w:rsidRPr="00BE50C2" w:rsidRDefault="00853611" w:rsidP="00853611">
      <w:pPr>
        <w:pStyle w:val="Text"/>
      </w:pPr>
      <w:r w:rsidRPr="00595E58">
        <w:t>V Integrovaném informačním systému státní pokladny</w:t>
      </w:r>
      <w:r>
        <w:t xml:space="preserve"> (dále jen „IISSP“)</w:t>
      </w:r>
      <w:r w:rsidRPr="00595E58">
        <w:t xml:space="preserve"> byly kapitole MŠMT stanoveny tyto </w:t>
      </w:r>
      <w:r>
        <w:rPr>
          <w:u w:val="single"/>
        </w:rPr>
        <w:t>z</w:t>
      </w:r>
      <w:r w:rsidRPr="00BE50C2">
        <w:rPr>
          <w:u w:val="single"/>
        </w:rPr>
        <w:t>ávazné objemy</w:t>
      </w:r>
      <w:r w:rsidRPr="00BE50C2">
        <w:t xml:space="preserve"> rozpočtu:</w:t>
      </w:r>
    </w:p>
    <w:p w14:paraId="029ED190" w14:textId="77777777" w:rsidR="00853611" w:rsidRDefault="00853611" w:rsidP="00853611">
      <w:pPr>
        <w:pStyle w:val="Zkladntextodsazen"/>
        <w:ind w:left="0"/>
        <w:jc w:val="left"/>
        <w:rPr>
          <w:b/>
        </w:rPr>
      </w:pPr>
    </w:p>
    <w:tbl>
      <w:tblPr>
        <w:tblW w:w="9180" w:type="dxa"/>
        <w:tblInd w:w="108" w:type="dxa"/>
        <w:tblLook w:val="04A0" w:firstRow="1" w:lastRow="0" w:firstColumn="1" w:lastColumn="0" w:noHBand="0" w:noVBand="1"/>
      </w:tblPr>
      <w:tblGrid>
        <w:gridCol w:w="6581"/>
        <w:gridCol w:w="2599"/>
      </w:tblGrid>
      <w:tr w:rsidR="00853611" w:rsidRPr="0015091E" w14:paraId="4C4EC2FD" w14:textId="77777777" w:rsidTr="008678CF">
        <w:trPr>
          <w:trHeight w:val="297"/>
        </w:trPr>
        <w:tc>
          <w:tcPr>
            <w:tcW w:w="6581" w:type="dxa"/>
            <w:shd w:val="clear" w:color="auto" w:fill="auto"/>
          </w:tcPr>
          <w:p w14:paraId="21DA297A" w14:textId="77777777" w:rsidR="00853611" w:rsidRPr="0015091E" w:rsidRDefault="00853611" w:rsidP="008678CF">
            <w:pPr>
              <w:pStyle w:val="Zkladntextodsazen"/>
              <w:ind w:left="0"/>
              <w:rPr>
                <w:b/>
              </w:rPr>
            </w:pPr>
            <w:r w:rsidRPr="0015091E">
              <w:rPr>
                <w:b/>
              </w:rPr>
              <w:t>Celkové příjmy kapitoly</w:t>
            </w:r>
          </w:p>
        </w:tc>
        <w:tc>
          <w:tcPr>
            <w:tcW w:w="2599" w:type="dxa"/>
            <w:shd w:val="clear" w:color="auto" w:fill="auto"/>
          </w:tcPr>
          <w:p w14:paraId="4975EE96" w14:textId="77777777" w:rsidR="00853611" w:rsidRPr="0015091E" w:rsidRDefault="00853611" w:rsidP="008678CF">
            <w:pPr>
              <w:pStyle w:val="Zkladntextodsazen"/>
              <w:ind w:left="0"/>
              <w:jc w:val="right"/>
              <w:rPr>
                <w:b/>
              </w:rPr>
            </w:pPr>
            <w:r>
              <w:rPr>
                <w:b/>
              </w:rPr>
              <w:t>10 151 242 744</w:t>
            </w:r>
            <w:r w:rsidRPr="00523789">
              <w:rPr>
                <w:b/>
              </w:rPr>
              <w:t xml:space="preserve"> Kč</w:t>
            </w:r>
          </w:p>
        </w:tc>
      </w:tr>
      <w:tr w:rsidR="00853611" w:rsidRPr="0015091E" w14:paraId="5EA1E363" w14:textId="77777777" w:rsidTr="008678CF">
        <w:trPr>
          <w:trHeight w:val="279"/>
        </w:trPr>
        <w:tc>
          <w:tcPr>
            <w:tcW w:w="6581" w:type="dxa"/>
            <w:shd w:val="clear" w:color="auto" w:fill="auto"/>
          </w:tcPr>
          <w:p w14:paraId="049B3D3B" w14:textId="77777777" w:rsidR="00853611" w:rsidRPr="0080521E" w:rsidRDefault="00853611" w:rsidP="008678CF">
            <w:pPr>
              <w:jc w:val="left"/>
              <w:rPr>
                <w:bCs/>
                <w:i/>
                <w:sz w:val="22"/>
                <w:szCs w:val="22"/>
              </w:rPr>
            </w:pPr>
            <w:r w:rsidRPr="0080521E">
              <w:rPr>
                <w:bCs/>
                <w:i/>
                <w:sz w:val="22"/>
                <w:szCs w:val="22"/>
              </w:rPr>
              <w:lastRenderedPageBreak/>
              <w:t>V tom:</w:t>
            </w:r>
          </w:p>
        </w:tc>
        <w:tc>
          <w:tcPr>
            <w:tcW w:w="2599" w:type="dxa"/>
            <w:shd w:val="clear" w:color="auto" w:fill="auto"/>
          </w:tcPr>
          <w:p w14:paraId="5288A154" w14:textId="77777777" w:rsidR="00853611" w:rsidRPr="0015091E" w:rsidRDefault="00853611" w:rsidP="008678CF">
            <w:pPr>
              <w:jc w:val="right"/>
              <w:rPr>
                <w:bCs/>
                <w:szCs w:val="24"/>
              </w:rPr>
            </w:pPr>
          </w:p>
        </w:tc>
      </w:tr>
      <w:tr w:rsidR="00853611" w:rsidRPr="0015091E" w14:paraId="60214B68" w14:textId="77777777" w:rsidTr="008678CF">
        <w:trPr>
          <w:trHeight w:val="279"/>
        </w:trPr>
        <w:tc>
          <w:tcPr>
            <w:tcW w:w="6581" w:type="dxa"/>
            <w:shd w:val="clear" w:color="auto" w:fill="auto"/>
          </w:tcPr>
          <w:p w14:paraId="039D3EEF" w14:textId="77777777" w:rsidR="00853611" w:rsidRPr="0080521E" w:rsidRDefault="00853611" w:rsidP="008678CF">
            <w:pPr>
              <w:jc w:val="left"/>
              <w:rPr>
                <w:bCs/>
                <w:i/>
                <w:sz w:val="22"/>
                <w:szCs w:val="22"/>
              </w:rPr>
            </w:pPr>
            <w:r w:rsidRPr="0080521E">
              <w:rPr>
                <w:bCs/>
                <w:i/>
                <w:sz w:val="22"/>
                <w:szCs w:val="22"/>
              </w:rPr>
              <w:t>Daňové příjmy</w:t>
            </w:r>
          </w:p>
        </w:tc>
        <w:tc>
          <w:tcPr>
            <w:tcW w:w="2599" w:type="dxa"/>
            <w:shd w:val="clear" w:color="auto" w:fill="auto"/>
          </w:tcPr>
          <w:p w14:paraId="428414DD" w14:textId="77777777" w:rsidR="00853611" w:rsidRPr="00C1358F" w:rsidRDefault="00853611" w:rsidP="008678CF">
            <w:pPr>
              <w:jc w:val="right"/>
              <w:rPr>
                <w:bCs/>
                <w:szCs w:val="24"/>
              </w:rPr>
            </w:pPr>
            <w:r>
              <w:rPr>
                <w:bCs/>
                <w:szCs w:val="24"/>
              </w:rPr>
              <w:t>700 000</w:t>
            </w:r>
            <w:r w:rsidRPr="0015091E">
              <w:rPr>
                <w:bCs/>
                <w:szCs w:val="24"/>
              </w:rPr>
              <w:t xml:space="preserve"> Kč</w:t>
            </w:r>
          </w:p>
        </w:tc>
      </w:tr>
      <w:tr w:rsidR="00853611" w:rsidRPr="0015091E" w14:paraId="5CFC51AA" w14:textId="77777777" w:rsidTr="008678CF">
        <w:trPr>
          <w:trHeight w:val="279"/>
        </w:trPr>
        <w:tc>
          <w:tcPr>
            <w:tcW w:w="6581" w:type="dxa"/>
            <w:shd w:val="clear" w:color="auto" w:fill="auto"/>
          </w:tcPr>
          <w:p w14:paraId="7856CEE9" w14:textId="77777777" w:rsidR="00853611" w:rsidRPr="0080521E" w:rsidRDefault="00853611" w:rsidP="008678CF">
            <w:pPr>
              <w:jc w:val="left"/>
              <w:rPr>
                <w:bCs/>
                <w:i/>
                <w:sz w:val="22"/>
                <w:szCs w:val="22"/>
              </w:rPr>
            </w:pPr>
            <w:r w:rsidRPr="0080521E">
              <w:rPr>
                <w:bCs/>
                <w:i/>
                <w:sz w:val="22"/>
                <w:szCs w:val="22"/>
              </w:rPr>
              <w:t>Nedaňové, kapitálové příjmy a přijaté transfery celkem</w:t>
            </w:r>
          </w:p>
        </w:tc>
        <w:tc>
          <w:tcPr>
            <w:tcW w:w="2599" w:type="dxa"/>
            <w:shd w:val="clear" w:color="auto" w:fill="auto"/>
          </w:tcPr>
          <w:p w14:paraId="354CC3B2" w14:textId="77777777" w:rsidR="00853611" w:rsidRPr="00C1358F" w:rsidRDefault="00853611" w:rsidP="008678CF">
            <w:pPr>
              <w:jc w:val="right"/>
              <w:rPr>
                <w:bCs/>
                <w:szCs w:val="24"/>
              </w:rPr>
            </w:pPr>
            <w:r>
              <w:rPr>
                <w:bCs/>
                <w:szCs w:val="24"/>
              </w:rPr>
              <w:t>10 150 542 744</w:t>
            </w:r>
            <w:r w:rsidRPr="0015091E">
              <w:rPr>
                <w:bCs/>
                <w:szCs w:val="24"/>
              </w:rPr>
              <w:t xml:space="preserve"> Kč</w:t>
            </w:r>
          </w:p>
        </w:tc>
      </w:tr>
      <w:tr w:rsidR="00853611" w:rsidRPr="0015091E" w14:paraId="64615715" w14:textId="77777777" w:rsidTr="008678CF">
        <w:trPr>
          <w:trHeight w:val="279"/>
        </w:trPr>
        <w:tc>
          <w:tcPr>
            <w:tcW w:w="6581" w:type="dxa"/>
            <w:shd w:val="clear" w:color="auto" w:fill="auto"/>
          </w:tcPr>
          <w:p w14:paraId="56D5C3F8" w14:textId="77777777" w:rsidR="00853611" w:rsidRPr="0080521E" w:rsidRDefault="00853611" w:rsidP="008678CF">
            <w:pPr>
              <w:jc w:val="left"/>
              <w:rPr>
                <w:bCs/>
                <w:i/>
                <w:sz w:val="22"/>
                <w:szCs w:val="22"/>
              </w:rPr>
            </w:pPr>
            <w:r w:rsidRPr="0080521E">
              <w:rPr>
                <w:bCs/>
                <w:i/>
                <w:sz w:val="22"/>
                <w:szCs w:val="22"/>
              </w:rPr>
              <w:t xml:space="preserve">V tom: Příjmy z rozpočtu </w:t>
            </w:r>
            <w:r>
              <w:rPr>
                <w:bCs/>
                <w:i/>
                <w:sz w:val="22"/>
                <w:szCs w:val="22"/>
              </w:rPr>
              <w:t>EU</w:t>
            </w:r>
            <w:r w:rsidRPr="0080521E">
              <w:rPr>
                <w:bCs/>
                <w:i/>
                <w:sz w:val="22"/>
                <w:szCs w:val="22"/>
              </w:rPr>
              <w:t xml:space="preserve"> bez SZP</w:t>
            </w:r>
          </w:p>
        </w:tc>
        <w:tc>
          <w:tcPr>
            <w:tcW w:w="2599" w:type="dxa"/>
            <w:shd w:val="clear" w:color="auto" w:fill="auto"/>
          </w:tcPr>
          <w:p w14:paraId="61CBD96F" w14:textId="77777777" w:rsidR="00853611" w:rsidRPr="00C1358F" w:rsidRDefault="00853611" w:rsidP="008678CF">
            <w:pPr>
              <w:jc w:val="right"/>
              <w:rPr>
                <w:bCs/>
                <w:szCs w:val="24"/>
              </w:rPr>
            </w:pPr>
            <w:r>
              <w:rPr>
                <w:bCs/>
                <w:szCs w:val="24"/>
              </w:rPr>
              <w:t>10 058 486 744</w:t>
            </w:r>
            <w:r w:rsidRPr="0015091E">
              <w:rPr>
                <w:bCs/>
                <w:szCs w:val="24"/>
              </w:rPr>
              <w:t xml:space="preserve"> Kč</w:t>
            </w:r>
          </w:p>
        </w:tc>
      </w:tr>
      <w:tr w:rsidR="00853611" w:rsidRPr="0015091E" w14:paraId="35A76171" w14:textId="77777777" w:rsidTr="008678CF">
        <w:trPr>
          <w:trHeight w:val="279"/>
        </w:trPr>
        <w:tc>
          <w:tcPr>
            <w:tcW w:w="6581" w:type="dxa"/>
            <w:shd w:val="clear" w:color="auto" w:fill="auto"/>
          </w:tcPr>
          <w:p w14:paraId="05569FB8" w14:textId="77777777" w:rsidR="00853611" w:rsidRPr="0080521E" w:rsidRDefault="00853611" w:rsidP="008678CF">
            <w:pPr>
              <w:ind w:left="743"/>
              <w:jc w:val="left"/>
              <w:rPr>
                <w:bCs/>
                <w:i/>
                <w:sz w:val="22"/>
                <w:szCs w:val="22"/>
              </w:rPr>
            </w:pPr>
            <w:r w:rsidRPr="0080521E">
              <w:rPr>
                <w:bCs/>
                <w:i/>
                <w:sz w:val="22"/>
                <w:szCs w:val="22"/>
              </w:rPr>
              <w:t xml:space="preserve">Příjmy z prostředků </w:t>
            </w:r>
            <w:r>
              <w:rPr>
                <w:bCs/>
                <w:i/>
                <w:sz w:val="22"/>
                <w:szCs w:val="22"/>
              </w:rPr>
              <w:t>FM</w:t>
            </w:r>
          </w:p>
        </w:tc>
        <w:tc>
          <w:tcPr>
            <w:tcW w:w="2599" w:type="dxa"/>
            <w:shd w:val="clear" w:color="auto" w:fill="auto"/>
          </w:tcPr>
          <w:p w14:paraId="6739F636" w14:textId="77777777" w:rsidR="00853611" w:rsidRPr="00C1358F" w:rsidRDefault="00853611" w:rsidP="008678CF">
            <w:pPr>
              <w:jc w:val="right"/>
              <w:rPr>
                <w:bCs/>
                <w:szCs w:val="24"/>
              </w:rPr>
            </w:pPr>
            <w:r>
              <w:rPr>
                <w:bCs/>
                <w:szCs w:val="24"/>
              </w:rPr>
              <w:t>0</w:t>
            </w:r>
            <w:r w:rsidRPr="0015091E">
              <w:rPr>
                <w:bCs/>
                <w:szCs w:val="24"/>
              </w:rPr>
              <w:t xml:space="preserve"> Kč</w:t>
            </w:r>
          </w:p>
        </w:tc>
      </w:tr>
      <w:tr w:rsidR="00853611" w:rsidRPr="0015091E" w14:paraId="297F61A0" w14:textId="77777777" w:rsidTr="008678CF">
        <w:trPr>
          <w:trHeight w:val="279"/>
        </w:trPr>
        <w:tc>
          <w:tcPr>
            <w:tcW w:w="6581" w:type="dxa"/>
            <w:shd w:val="clear" w:color="auto" w:fill="auto"/>
          </w:tcPr>
          <w:p w14:paraId="7151EE23" w14:textId="77777777" w:rsidR="00853611" w:rsidRPr="0080521E" w:rsidRDefault="00853611" w:rsidP="008678CF">
            <w:pPr>
              <w:ind w:left="743"/>
              <w:jc w:val="left"/>
              <w:rPr>
                <w:bCs/>
                <w:i/>
                <w:sz w:val="22"/>
                <w:szCs w:val="22"/>
              </w:rPr>
            </w:pPr>
            <w:r w:rsidRPr="0080521E">
              <w:rPr>
                <w:bCs/>
                <w:i/>
                <w:sz w:val="22"/>
                <w:szCs w:val="22"/>
              </w:rPr>
              <w:t>Ostatní nedaňové příjmy, kapitálové příjmy a přijaté transfery</w:t>
            </w:r>
          </w:p>
        </w:tc>
        <w:tc>
          <w:tcPr>
            <w:tcW w:w="2599" w:type="dxa"/>
            <w:shd w:val="clear" w:color="auto" w:fill="auto"/>
          </w:tcPr>
          <w:p w14:paraId="6F29967E" w14:textId="77777777" w:rsidR="00853611" w:rsidRPr="00C1358F" w:rsidRDefault="00853611" w:rsidP="008678CF">
            <w:pPr>
              <w:jc w:val="right"/>
              <w:rPr>
                <w:bCs/>
                <w:szCs w:val="24"/>
              </w:rPr>
            </w:pPr>
            <w:r>
              <w:rPr>
                <w:bCs/>
                <w:szCs w:val="24"/>
              </w:rPr>
              <w:t>92 056 000 Kč</w:t>
            </w:r>
          </w:p>
        </w:tc>
      </w:tr>
      <w:tr w:rsidR="00853611" w:rsidRPr="0015091E" w14:paraId="3288B9D6" w14:textId="77777777" w:rsidTr="008678CF">
        <w:trPr>
          <w:trHeight w:val="279"/>
        </w:trPr>
        <w:tc>
          <w:tcPr>
            <w:tcW w:w="6581" w:type="dxa"/>
            <w:shd w:val="clear" w:color="auto" w:fill="auto"/>
          </w:tcPr>
          <w:p w14:paraId="16D108BA" w14:textId="77777777" w:rsidR="00853611" w:rsidRPr="0080521E" w:rsidRDefault="00853611" w:rsidP="008678CF">
            <w:pPr>
              <w:pStyle w:val="Zkladntextodsazen"/>
              <w:ind w:left="0"/>
              <w:rPr>
                <w:b/>
                <w:sz w:val="22"/>
                <w:szCs w:val="22"/>
              </w:rPr>
            </w:pPr>
          </w:p>
        </w:tc>
        <w:tc>
          <w:tcPr>
            <w:tcW w:w="2599" w:type="dxa"/>
            <w:shd w:val="clear" w:color="auto" w:fill="auto"/>
          </w:tcPr>
          <w:p w14:paraId="6C4873A0" w14:textId="77777777" w:rsidR="00853611" w:rsidRPr="0015091E" w:rsidRDefault="00853611" w:rsidP="008678CF">
            <w:pPr>
              <w:pStyle w:val="Zkladntextodsazen"/>
              <w:ind w:left="0"/>
              <w:jc w:val="right"/>
              <w:rPr>
                <w:b/>
              </w:rPr>
            </w:pPr>
          </w:p>
        </w:tc>
      </w:tr>
      <w:tr w:rsidR="00853611" w:rsidRPr="0015091E" w14:paraId="1695B7DC" w14:textId="77777777" w:rsidTr="008678CF">
        <w:trPr>
          <w:trHeight w:val="279"/>
        </w:trPr>
        <w:tc>
          <w:tcPr>
            <w:tcW w:w="6581" w:type="dxa"/>
            <w:shd w:val="clear" w:color="auto" w:fill="auto"/>
          </w:tcPr>
          <w:p w14:paraId="424E1232" w14:textId="77777777" w:rsidR="00853611" w:rsidRPr="0080521E" w:rsidRDefault="00853611" w:rsidP="008678CF">
            <w:pPr>
              <w:pStyle w:val="Zkladntextodsazen"/>
              <w:ind w:left="0"/>
              <w:rPr>
                <w:b/>
                <w:sz w:val="22"/>
                <w:szCs w:val="22"/>
              </w:rPr>
            </w:pPr>
            <w:r w:rsidRPr="0080521E">
              <w:rPr>
                <w:b/>
                <w:sz w:val="22"/>
                <w:szCs w:val="22"/>
              </w:rPr>
              <w:t>Celkové výdaje kapitoly</w:t>
            </w:r>
          </w:p>
        </w:tc>
        <w:tc>
          <w:tcPr>
            <w:tcW w:w="2599" w:type="dxa"/>
            <w:shd w:val="clear" w:color="auto" w:fill="auto"/>
          </w:tcPr>
          <w:p w14:paraId="481CDEA2" w14:textId="77777777" w:rsidR="00853611" w:rsidRPr="0015091E" w:rsidRDefault="00853611" w:rsidP="008678CF">
            <w:pPr>
              <w:pStyle w:val="Zkladntextodsazen"/>
              <w:ind w:left="0"/>
              <w:jc w:val="right"/>
              <w:rPr>
                <w:b/>
              </w:rPr>
            </w:pPr>
            <w:r>
              <w:rPr>
                <w:b/>
              </w:rPr>
              <w:t>205 759 166 364</w:t>
            </w:r>
            <w:r w:rsidRPr="00523789">
              <w:rPr>
                <w:b/>
              </w:rPr>
              <w:t xml:space="preserve"> Kč</w:t>
            </w:r>
          </w:p>
        </w:tc>
      </w:tr>
      <w:tr w:rsidR="00853611" w:rsidRPr="0015091E" w14:paraId="4D315CE9" w14:textId="77777777" w:rsidTr="008678CF">
        <w:trPr>
          <w:trHeight w:val="279"/>
        </w:trPr>
        <w:tc>
          <w:tcPr>
            <w:tcW w:w="6581" w:type="dxa"/>
            <w:shd w:val="clear" w:color="auto" w:fill="auto"/>
          </w:tcPr>
          <w:p w14:paraId="08BB1F95" w14:textId="77777777" w:rsidR="00853611" w:rsidRPr="0080521E" w:rsidRDefault="00853611" w:rsidP="008678CF">
            <w:pPr>
              <w:pStyle w:val="Zkladntextodsazen"/>
              <w:ind w:left="0"/>
              <w:rPr>
                <w:i/>
                <w:sz w:val="22"/>
                <w:szCs w:val="22"/>
              </w:rPr>
            </w:pPr>
            <w:r w:rsidRPr="0080521E">
              <w:rPr>
                <w:i/>
                <w:sz w:val="22"/>
                <w:szCs w:val="22"/>
              </w:rPr>
              <w:t>z toho:</w:t>
            </w:r>
          </w:p>
        </w:tc>
        <w:tc>
          <w:tcPr>
            <w:tcW w:w="2599" w:type="dxa"/>
            <w:shd w:val="clear" w:color="auto" w:fill="auto"/>
          </w:tcPr>
          <w:p w14:paraId="0DB75480" w14:textId="77777777" w:rsidR="00853611" w:rsidRPr="0015091E" w:rsidRDefault="00853611" w:rsidP="008678CF">
            <w:pPr>
              <w:pStyle w:val="Zkladntextodsazen"/>
              <w:ind w:left="0"/>
              <w:jc w:val="right"/>
              <w:rPr>
                <w:b/>
              </w:rPr>
            </w:pPr>
          </w:p>
        </w:tc>
      </w:tr>
      <w:tr w:rsidR="00853611" w:rsidRPr="00AB1D3F" w14:paraId="25CBA0F3" w14:textId="77777777" w:rsidTr="008678CF">
        <w:trPr>
          <w:trHeight w:val="299"/>
        </w:trPr>
        <w:tc>
          <w:tcPr>
            <w:tcW w:w="6581" w:type="dxa"/>
            <w:shd w:val="clear" w:color="auto" w:fill="auto"/>
          </w:tcPr>
          <w:p w14:paraId="79C62923" w14:textId="77777777" w:rsidR="00853611" w:rsidRPr="0080521E" w:rsidRDefault="00853611" w:rsidP="008678CF">
            <w:pPr>
              <w:pStyle w:val="Zkladntextodsazen"/>
              <w:ind w:left="0"/>
              <w:rPr>
                <w:i/>
                <w:sz w:val="22"/>
                <w:szCs w:val="22"/>
              </w:rPr>
            </w:pPr>
            <w:r w:rsidRPr="0080521E">
              <w:rPr>
                <w:i/>
                <w:sz w:val="22"/>
                <w:szCs w:val="22"/>
              </w:rPr>
              <w:t>Výdaje na výzkum, vývoj a inovace</w:t>
            </w:r>
          </w:p>
        </w:tc>
        <w:tc>
          <w:tcPr>
            <w:tcW w:w="2599" w:type="dxa"/>
            <w:shd w:val="clear" w:color="auto" w:fill="auto"/>
          </w:tcPr>
          <w:p w14:paraId="42252365" w14:textId="77777777" w:rsidR="00853611" w:rsidRPr="00AB1D3F" w:rsidRDefault="00853611" w:rsidP="008678CF">
            <w:pPr>
              <w:pStyle w:val="Zkladntextodsazen"/>
              <w:jc w:val="right"/>
            </w:pPr>
            <w:r>
              <w:t>19 734 339 959</w:t>
            </w:r>
            <w:r w:rsidRPr="00AB1D3F">
              <w:t xml:space="preserve"> Kč</w:t>
            </w:r>
          </w:p>
        </w:tc>
      </w:tr>
      <w:tr w:rsidR="00853611" w:rsidRPr="00C1358F" w14:paraId="5E944AF8" w14:textId="77777777" w:rsidTr="008678CF">
        <w:trPr>
          <w:trHeight w:val="253"/>
        </w:trPr>
        <w:tc>
          <w:tcPr>
            <w:tcW w:w="6581" w:type="dxa"/>
            <w:shd w:val="clear" w:color="auto" w:fill="auto"/>
          </w:tcPr>
          <w:p w14:paraId="0FEA5A27" w14:textId="77777777" w:rsidR="00853611" w:rsidRPr="0080521E" w:rsidRDefault="00853611" w:rsidP="008678CF">
            <w:pPr>
              <w:jc w:val="left"/>
              <w:rPr>
                <w:bCs/>
                <w:i/>
                <w:sz w:val="22"/>
                <w:szCs w:val="22"/>
              </w:rPr>
            </w:pPr>
            <w:r w:rsidRPr="0080521E">
              <w:rPr>
                <w:bCs/>
                <w:i/>
                <w:sz w:val="22"/>
                <w:szCs w:val="22"/>
              </w:rPr>
              <w:t>Platy zaměstnanců a ostatní platby za provedenou práci OSS</w:t>
            </w:r>
          </w:p>
        </w:tc>
        <w:tc>
          <w:tcPr>
            <w:tcW w:w="2599" w:type="dxa"/>
            <w:shd w:val="clear" w:color="auto" w:fill="auto"/>
          </w:tcPr>
          <w:p w14:paraId="2C9155C6" w14:textId="77777777" w:rsidR="00853611" w:rsidRPr="00C1358F" w:rsidRDefault="00853611" w:rsidP="008678CF">
            <w:pPr>
              <w:jc w:val="right"/>
              <w:rPr>
                <w:bCs/>
                <w:szCs w:val="24"/>
              </w:rPr>
            </w:pPr>
            <w:r>
              <w:rPr>
                <w:bCs/>
                <w:szCs w:val="24"/>
              </w:rPr>
              <w:t>945 373 270</w:t>
            </w:r>
            <w:r w:rsidRPr="0015091E">
              <w:rPr>
                <w:bCs/>
                <w:szCs w:val="24"/>
              </w:rPr>
              <w:t xml:space="preserve"> Kč</w:t>
            </w:r>
          </w:p>
        </w:tc>
      </w:tr>
      <w:tr w:rsidR="00853611" w:rsidRPr="00C1358F" w14:paraId="4823EA5F" w14:textId="77777777" w:rsidTr="008678CF">
        <w:trPr>
          <w:trHeight w:val="277"/>
        </w:trPr>
        <w:tc>
          <w:tcPr>
            <w:tcW w:w="6581" w:type="dxa"/>
            <w:shd w:val="clear" w:color="auto" w:fill="auto"/>
          </w:tcPr>
          <w:p w14:paraId="7A0CF537" w14:textId="77777777" w:rsidR="00853611" w:rsidRPr="0080521E" w:rsidRDefault="00853611" w:rsidP="008678CF">
            <w:pPr>
              <w:jc w:val="left"/>
              <w:rPr>
                <w:bCs/>
                <w:i/>
                <w:sz w:val="22"/>
                <w:szCs w:val="22"/>
              </w:rPr>
            </w:pPr>
            <w:r w:rsidRPr="0080521E">
              <w:rPr>
                <w:bCs/>
                <w:i/>
                <w:sz w:val="22"/>
                <w:szCs w:val="22"/>
              </w:rPr>
              <w:t>Platy zaměstnanců v pracovním poměru vyjma zaměstnanců na služebních místech</w:t>
            </w:r>
          </w:p>
        </w:tc>
        <w:tc>
          <w:tcPr>
            <w:tcW w:w="2599" w:type="dxa"/>
            <w:shd w:val="clear" w:color="auto" w:fill="auto"/>
          </w:tcPr>
          <w:p w14:paraId="5E28391D" w14:textId="77777777" w:rsidR="00853611" w:rsidRPr="00C1358F" w:rsidRDefault="00853611" w:rsidP="008678CF">
            <w:pPr>
              <w:jc w:val="right"/>
              <w:rPr>
                <w:bCs/>
                <w:szCs w:val="24"/>
              </w:rPr>
            </w:pPr>
            <w:r>
              <w:rPr>
                <w:bCs/>
                <w:szCs w:val="24"/>
              </w:rPr>
              <w:t>126 196 305</w:t>
            </w:r>
            <w:r w:rsidRPr="0015091E">
              <w:rPr>
                <w:bCs/>
                <w:szCs w:val="24"/>
              </w:rPr>
              <w:t xml:space="preserve"> Kč</w:t>
            </w:r>
          </w:p>
        </w:tc>
      </w:tr>
      <w:tr w:rsidR="00853611" w:rsidRPr="00C1358F" w14:paraId="03B04897" w14:textId="77777777" w:rsidTr="008678CF">
        <w:trPr>
          <w:trHeight w:val="277"/>
        </w:trPr>
        <w:tc>
          <w:tcPr>
            <w:tcW w:w="6581" w:type="dxa"/>
            <w:shd w:val="clear" w:color="auto" w:fill="auto"/>
          </w:tcPr>
          <w:p w14:paraId="24E31A60" w14:textId="77777777" w:rsidR="00853611" w:rsidRPr="0080521E" w:rsidRDefault="00853611" w:rsidP="008678CF">
            <w:pPr>
              <w:jc w:val="left"/>
              <w:rPr>
                <w:bCs/>
                <w:i/>
                <w:sz w:val="22"/>
                <w:szCs w:val="22"/>
              </w:rPr>
            </w:pPr>
            <w:r w:rsidRPr="0080521E">
              <w:rPr>
                <w:bCs/>
                <w:i/>
                <w:sz w:val="22"/>
                <w:szCs w:val="22"/>
              </w:rPr>
              <w:t>Výdaje z prostředků FM</w:t>
            </w:r>
          </w:p>
        </w:tc>
        <w:tc>
          <w:tcPr>
            <w:tcW w:w="2599" w:type="dxa"/>
            <w:shd w:val="clear" w:color="auto" w:fill="auto"/>
          </w:tcPr>
          <w:p w14:paraId="3777A2E0" w14:textId="77777777" w:rsidR="00853611" w:rsidRPr="00C1358F" w:rsidRDefault="00853611" w:rsidP="008678CF">
            <w:pPr>
              <w:jc w:val="right"/>
              <w:rPr>
                <w:bCs/>
                <w:szCs w:val="24"/>
              </w:rPr>
            </w:pPr>
            <w:r>
              <w:rPr>
                <w:bCs/>
                <w:szCs w:val="24"/>
              </w:rPr>
              <w:t>0</w:t>
            </w:r>
            <w:r w:rsidRPr="0015091E">
              <w:rPr>
                <w:bCs/>
                <w:szCs w:val="24"/>
              </w:rPr>
              <w:t xml:space="preserve"> Kč</w:t>
            </w:r>
          </w:p>
        </w:tc>
      </w:tr>
      <w:tr w:rsidR="00853611" w:rsidRPr="00C1358F" w14:paraId="5370A6CC" w14:textId="77777777" w:rsidTr="008678CF">
        <w:trPr>
          <w:trHeight w:val="277"/>
        </w:trPr>
        <w:tc>
          <w:tcPr>
            <w:tcW w:w="6581" w:type="dxa"/>
            <w:shd w:val="clear" w:color="auto" w:fill="auto"/>
          </w:tcPr>
          <w:p w14:paraId="1CDD7AD6" w14:textId="77777777" w:rsidR="00853611" w:rsidRPr="0080521E" w:rsidRDefault="00853611" w:rsidP="008678CF">
            <w:pPr>
              <w:jc w:val="left"/>
              <w:rPr>
                <w:bCs/>
                <w:i/>
                <w:sz w:val="22"/>
                <w:szCs w:val="22"/>
              </w:rPr>
            </w:pPr>
            <w:r w:rsidRPr="0080521E">
              <w:rPr>
                <w:bCs/>
                <w:i/>
                <w:sz w:val="22"/>
                <w:szCs w:val="22"/>
              </w:rPr>
              <w:t>Zahraniční rozvojová spolupráce</w:t>
            </w:r>
          </w:p>
        </w:tc>
        <w:tc>
          <w:tcPr>
            <w:tcW w:w="2599" w:type="dxa"/>
            <w:shd w:val="clear" w:color="auto" w:fill="auto"/>
          </w:tcPr>
          <w:p w14:paraId="77BE1D22" w14:textId="77777777" w:rsidR="00853611" w:rsidRPr="00C1358F" w:rsidRDefault="0056363C" w:rsidP="008678CF">
            <w:pPr>
              <w:jc w:val="right"/>
              <w:rPr>
                <w:bCs/>
                <w:szCs w:val="24"/>
              </w:rPr>
            </w:pPr>
            <w:r>
              <w:rPr>
                <w:bCs/>
                <w:szCs w:val="24"/>
              </w:rPr>
              <w:t>125 5</w:t>
            </w:r>
            <w:r w:rsidR="00853611" w:rsidRPr="00C1358F">
              <w:rPr>
                <w:bCs/>
                <w:szCs w:val="24"/>
              </w:rPr>
              <w:t>00</w:t>
            </w:r>
            <w:r w:rsidR="00853611" w:rsidRPr="0015091E">
              <w:rPr>
                <w:bCs/>
                <w:szCs w:val="24"/>
              </w:rPr>
              <w:t> </w:t>
            </w:r>
            <w:r w:rsidR="00853611" w:rsidRPr="00C1358F">
              <w:rPr>
                <w:bCs/>
                <w:szCs w:val="24"/>
              </w:rPr>
              <w:t>000</w:t>
            </w:r>
            <w:r w:rsidR="00853611" w:rsidRPr="0015091E">
              <w:rPr>
                <w:bCs/>
                <w:szCs w:val="24"/>
              </w:rPr>
              <w:t xml:space="preserve"> Kč</w:t>
            </w:r>
          </w:p>
        </w:tc>
      </w:tr>
      <w:tr w:rsidR="00853611" w:rsidRPr="00A666C2" w14:paraId="1AC5AB76" w14:textId="77777777" w:rsidTr="008678CF">
        <w:trPr>
          <w:trHeight w:val="277"/>
        </w:trPr>
        <w:tc>
          <w:tcPr>
            <w:tcW w:w="6581" w:type="dxa"/>
            <w:shd w:val="clear" w:color="auto" w:fill="auto"/>
          </w:tcPr>
          <w:p w14:paraId="23BBCD48" w14:textId="77777777" w:rsidR="00853611" w:rsidRPr="00BF4F55" w:rsidRDefault="00853611" w:rsidP="008678CF">
            <w:pPr>
              <w:jc w:val="left"/>
              <w:rPr>
                <w:bCs/>
                <w:i/>
                <w:sz w:val="22"/>
                <w:szCs w:val="22"/>
              </w:rPr>
            </w:pPr>
            <w:r w:rsidRPr="00BF4F55">
              <w:rPr>
                <w:bCs/>
                <w:i/>
                <w:sz w:val="22"/>
                <w:szCs w:val="22"/>
              </w:rPr>
              <w:t>Výdaje z rozpočtu EU bez SZP</w:t>
            </w:r>
          </w:p>
        </w:tc>
        <w:tc>
          <w:tcPr>
            <w:tcW w:w="2599" w:type="dxa"/>
            <w:shd w:val="clear" w:color="auto" w:fill="auto"/>
          </w:tcPr>
          <w:p w14:paraId="76BF0F95" w14:textId="77777777" w:rsidR="00853611" w:rsidRPr="00A666C2" w:rsidRDefault="00853611" w:rsidP="008678CF">
            <w:pPr>
              <w:jc w:val="right"/>
              <w:rPr>
                <w:bCs/>
                <w:szCs w:val="24"/>
              </w:rPr>
            </w:pPr>
            <w:r>
              <w:rPr>
                <w:bCs/>
                <w:szCs w:val="24"/>
              </w:rPr>
              <w:t>10 058 486 744</w:t>
            </w:r>
            <w:r w:rsidRPr="00A666C2">
              <w:rPr>
                <w:bCs/>
                <w:szCs w:val="24"/>
              </w:rPr>
              <w:t xml:space="preserve"> Kč </w:t>
            </w:r>
          </w:p>
        </w:tc>
      </w:tr>
      <w:tr w:rsidR="00853611" w:rsidRPr="00C1358F" w14:paraId="4A3566B9" w14:textId="77777777" w:rsidTr="008678CF">
        <w:trPr>
          <w:trHeight w:val="277"/>
        </w:trPr>
        <w:tc>
          <w:tcPr>
            <w:tcW w:w="6581" w:type="dxa"/>
            <w:shd w:val="clear" w:color="auto" w:fill="auto"/>
          </w:tcPr>
          <w:p w14:paraId="2C4F89BD" w14:textId="77777777" w:rsidR="00853611" w:rsidRPr="0080521E" w:rsidRDefault="00853611" w:rsidP="008678CF">
            <w:pPr>
              <w:jc w:val="left"/>
              <w:rPr>
                <w:bCs/>
                <w:i/>
                <w:sz w:val="22"/>
                <w:szCs w:val="22"/>
              </w:rPr>
            </w:pPr>
            <w:r w:rsidRPr="0080521E">
              <w:rPr>
                <w:bCs/>
                <w:i/>
                <w:sz w:val="22"/>
                <w:szCs w:val="22"/>
              </w:rPr>
              <w:t>Platy zaměstnanců na služebních místech dle zákona o státní službě</w:t>
            </w:r>
          </w:p>
        </w:tc>
        <w:tc>
          <w:tcPr>
            <w:tcW w:w="2599" w:type="dxa"/>
            <w:shd w:val="clear" w:color="auto" w:fill="auto"/>
          </w:tcPr>
          <w:p w14:paraId="0263D029" w14:textId="77777777" w:rsidR="00853611" w:rsidRPr="00C1358F" w:rsidRDefault="00853611" w:rsidP="008678CF">
            <w:pPr>
              <w:jc w:val="right"/>
              <w:rPr>
                <w:bCs/>
                <w:szCs w:val="24"/>
              </w:rPr>
            </w:pPr>
            <w:r>
              <w:rPr>
                <w:bCs/>
                <w:szCs w:val="24"/>
              </w:rPr>
              <w:t xml:space="preserve">735 675 906 </w:t>
            </w:r>
            <w:r w:rsidRPr="0015091E">
              <w:rPr>
                <w:bCs/>
                <w:szCs w:val="24"/>
              </w:rPr>
              <w:t>Kč</w:t>
            </w:r>
          </w:p>
        </w:tc>
      </w:tr>
      <w:tr w:rsidR="00853611" w:rsidRPr="00C1358F" w14:paraId="37F31171" w14:textId="77777777" w:rsidTr="008678CF">
        <w:trPr>
          <w:trHeight w:val="277"/>
        </w:trPr>
        <w:tc>
          <w:tcPr>
            <w:tcW w:w="6581" w:type="dxa"/>
            <w:shd w:val="clear" w:color="auto" w:fill="auto"/>
          </w:tcPr>
          <w:p w14:paraId="7DB29907" w14:textId="77777777" w:rsidR="00853611" w:rsidRPr="0080521E" w:rsidRDefault="00853611" w:rsidP="008678CF">
            <w:pPr>
              <w:jc w:val="left"/>
              <w:rPr>
                <w:bCs/>
                <w:i/>
                <w:sz w:val="22"/>
                <w:szCs w:val="22"/>
              </w:rPr>
            </w:pPr>
          </w:p>
        </w:tc>
        <w:tc>
          <w:tcPr>
            <w:tcW w:w="2599" w:type="dxa"/>
            <w:shd w:val="clear" w:color="auto" w:fill="auto"/>
          </w:tcPr>
          <w:p w14:paraId="47A59FDF" w14:textId="77777777" w:rsidR="00853611" w:rsidRDefault="00853611" w:rsidP="008678CF">
            <w:pPr>
              <w:jc w:val="right"/>
              <w:rPr>
                <w:bCs/>
                <w:szCs w:val="24"/>
              </w:rPr>
            </w:pPr>
          </w:p>
        </w:tc>
      </w:tr>
    </w:tbl>
    <w:p w14:paraId="02F0F751" w14:textId="77777777" w:rsidR="00853611" w:rsidRPr="00E47ABF" w:rsidRDefault="00853611" w:rsidP="0031482F">
      <w:pPr>
        <w:pStyle w:val="Nadpis4"/>
      </w:pPr>
      <w:bookmarkStart w:id="20" w:name="_Toc5968809"/>
      <w:r w:rsidRPr="00E47ABF">
        <w:t>Závazné limity</w:t>
      </w:r>
      <w:bookmarkEnd w:id="20"/>
    </w:p>
    <w:p w14:paraId="714C9B0A" w14:textId="77777777" w:rsidR="00853611" w:rsidRPr="00F70F78" w:rsidRDefault="00853611" w:rsidP="00853611">
      <w:pPr>
        <w:pStyle w:val="Zkladntextodsazen"/>
        <w:ind w:left="993" w:hanging="709"/>
        <w:rPr>
          <w:b/>
          <w:highlight w:val="yellow"/>
        </w:rPr>
      </w:pPr>
    </w:p>
    <w:p w14:paraId="22E4CCD1" w14:textId="77777777" w:rsidR="00853611" w:rsidRDefault="00853611" w:rsidP="00853611">
      <w:pPr>
        <w:pStyle w:val="Text"/>
      </w:pPr>
      <w:r w:rsidRPr="00782DF5">
        <w:t xml:space="preserve">Jako </w:t>
      </w:r>
      <w:r w:rsidRPr="00B8343F">
        <w:rPr>
          <w:b/>
        </w:rPr>
        <w:t>závazné limity</w:t>
      </w:r>
      <w:r w:rsidRPr="00782DF5">
        <w:t xml:space="preserve"> byly stanoveny limity </w:t>
      </w:r>
      <w:r w:rsidRPr="00B8343F">
        <w:rPr>
          <w:b/>
        </w:rPr>
        <w:t>regulace zaměstnanosti</w:t>
      </w:r>
      <w:r w:rsidRPr="00782DF5">
        <w:t xml:space="preserve">, tj. objem prostředků na platy a </w:t>
      </w:r>
      <w:r>
        <w:t xml:space="preserve">OPPP vč. OON za PO a OSS </w:t>
      </w:r>
      <w:r w:rsidRPr="00782DF5">
        <w:t xml:space="preserve">ve výši </w:t>
      </w:r>
      <w:r>
        <w:rPr>
          <w:b/>
        </w:rPr>
        <w:t>99 451 377 840</w:t>
      </w:r>
      <w:r w:rsidRPr="00B8343F">
        <w:rPr>
          <w:b/>
        </w:rPr>
        <w:t xml:space="preserve"> Kč</w:t>
      </w:r>
      <w:r>
        <w:t xml:space="preserve"> pro </w:t>
      </w:r>
      <w:r>
        <w:rPr>
          <w:b/>
        </w:rPr>
        <w:t>249 588,28</w:t>
      </w:r>
      <w:r w:rsidRPr="00B8343F">
        <w:rPr>
          <w:b/>
        </w:rPr>
        <w:t xml:space="preserve"> přepočtených úvazků</w:t>
      </w:r>
      <w:r>
        <w:t xml:space="preserve">. </w:t>
      </w:r>
    </w:p>
    <w:p w14:paraId="3E9233FC" w14:textId="77777777" w:rsidR="00853611" w:rsidRPr="00B70F0B" w:rsidRDefault="00853611" w:rsidP="00853611">
      <w:pPr>
        <w:pStyle w:val="Text"/>
        <w:rPr>
          <w:highlight w:val="yellow"/>
        </w:rPr>
      </w:pPr>
    </w:p>
    <w:p w14:paraId="09E11E05" w14:textId="77777777" w:rsidR="00853611" w:rsidRPr="00686BE8" w:rsidRDefault="00853611" w:rsidP="0031482F">
      <w:pPr>
        <w:pStyle w:val="Nadpis4"/>
      </w:pPr>
      <w:bookmarkStart w:id="21" w:name="_Toc5968810"/>
      <w:r w:rsidRPr="00686BE8">
        <w:t>Rozpočtové priority</w:t>
      </w:r>
      <w:bookmarkEnd w:id="21"/>
    </w:p>
    <w:p w14:paraId="1C4966A2" w14:textId="77777777" w:rsidR="00853611" w:rsidRPr="00B70F0B" w:rsidRDefault="00853611" w:rsidP="0031482F">
      <w:pPr>
        <w:pStyle w:val="Nadpis4"/>
        <w:numPr>
          <w:ilvl w:val="0"/>
          <w:numId w:val="0"/>
        </w:numPr>
        <w:ind w:left="864"/>
        <w:rPr>
          <w:highlight w:val="yellow"/>
        </w:rPr>
      </w:pPr>
    </w:p>
    <w:p w14:paraId="46F30CE6" w14:textId="77777777" w:rsidR="00853611" w:rsidRPr="0018110B" w:rsidRDefault="00853611" w:rsidP="00911311">
      <w:pPr>
        <w:pStyle w:val="Text"/>
        <w:rPr>
          <w:rFonts w:eastAsia="Calibri"/>
          <w:lang w:eastAsia="en-US"/>
        </w:rPr>
      </w:pPr>
      <w:bookmarkStart w:id="22" w:name="_Toc369163195"/>
      <w:r w:rsidRPr="0018110B">
        <w:rPr>
          <w:rFonts w:eastAsia="Calibri"/>
          <w:lang w:eastAsia="en-US"/>
        </w:rPr>
        <w:t xml:space="preserve">Hlavní rozpočtovou prioritou na rok 2019 a pro další roky je podobně jako v r. 2018 zajistit stabilitu vzdělávací soustavy a zvyšování kvality vzdělávání, jak bylo doporučeno v doprovodném usnesení </w:t>
      </w:r>
      <w:r>
        <w:rPr>
          <w:rFonts w:eastAsia="Calibri"/>
          <w:lang w:eastAsia="en-US"/>
        </w:rPr>
        <w:t>PSP ČR</w:t>
      </w:r>
      <w:r w:rsidRPr="0018110B">
        <w:rPr>
          <w:rFonts w:eastAsia="Calibri"/>
          <w:lang w:eastAsia="en-US"/>
        </w:rPr>
        <w:t xml:space="preserve"> k tisku č. </w:t>
      </w:r>
      <w:r>
        <w:rPr>
          <w:rFonts w:eastAsia="Calibri"/>
          <w:lang w:eastAsia="en-US"/>
        </w:rPr>
        <w:t>287</w:t>
      </w:r>
      <w:r w:rsidRPr="0018110B">
        <w:rPr>
          <w:rFonts w:eastAsia="Calibri"/>
          <w:vertAlign w:val="superscript"/>
          <w:lang w:eastAsia="en-US"/>
        </w:rPr>
        <w:footnoteReference w:id="4"/>
      </w:r>
      <w:r w:rsidRPr="0018110B">
        <w:rPr>
          <w:rFonts w:eastAsia="Calibri"/>
          <w:lang w:eastAsia="en-US"/>
        </w:rPr>
        <w:t xml:space="preserve">. Tento záměr podporuje i Programové prohlášení vlády ČR, které v oblasti vzdělávání, vědy a výzkumu prosazuje více peněz do školství tak, aby se platy učitelů a nepedagogických zaměstnanců na konci volebního období v r. 2021 dostaly minimálně na 150 % jejich výše pro rok 2017. </w:t>
      </w:r>
    </w:p>
    <w:p w14:paraId="7542A84C" w14:textId="77777777" w:rsidR="00853611" w:rsidRPr="0018110B" w:rsidRDefault="00853611" w:rsidP="00911311">
      <w:pPr>
        <w:pStyle w:val="Text"/>
      </w:pPr>
      <w:r w:rsidRPr="0018110B">
        <w:t xml:space="preserve">V oblasti </w:t>
      </w:r>
      <w:r w:rsidRPr="0018110B">
        <w:rPr>
          <w:b/>
        </w:rPr>
        <w:t>veřejných vysokých škol</w:t>
      </w:r>
      <w:r w:rsidRPr="0018110B">
        <w:t xml:space="preserve"> usiluje MŠMT o zajištění rozpočtových podmínek pro zvýšenou podporu lékařských a pedagogických fakult, o navýšení zdrojů pro zlepšení odměňování zaměstnanců veřejných vysokých škol a pro zahájení nového investičního programu pro veřejné vysoké školy. </w:t>
      </w:r>
    </w:p>
    <w:p w14:paraId="193F5629" w14:textId="77777777" w:rsidR="00853611" w:rsidRPr="0018110B" w:rsidRDefault="00853611" w:rsidP="00911311">
      <w:pPr>
        <w:pStyle w:val="Text"/>
      </w:pPr>
      <w:r w:rsidRPr="0018110B">
        <w:t xml:space="preserve">V oblasti </w:t>
      </w:r>
      <w:r w:rsidRPr="0018110B">
        <w:rPr>
          <w:b/>
        </w:rPr>
        <w:t>regionálního školství</w:t>
      </w:r>
      <w:r w:rsidRPr="0018110B">
        <w:t xml:space="preserve"> MŠMT</w:t>
      </w:r>
      <w:r>
        <w:t xml:space="preserve"> </w:t>
      </w:r>
      <w:r w:rsidRPr="0018110B">
        <w:t xml:space="preserve">(dále jen „RgŠ“) usiluje o stabilizaci a zvýšení úrovně odměňování pracovníků škol a školských zařízení, a to s akcelerací u pedagogických pracovníků. Zlepšování odměňování pedagogických pracovníků i nepedagogických zaměstnanců je součástí Dlouhodobého záměru vzdělávání a rozvoje vzdělávací soustavy České republiky na období 2015-2020 i Strategie 2020. Uvedené záměry jsou smyslem reformy financování </w:t>
      </w:r>
      <w:r>
        <w:t>RgŠ</w:t>
      </w:r>
      <w:r w:rsidRPr="0018110B">
        <w:t>, kdy v roce 2019 bude zahájen postupný přechod na nový způsob financování prostřednictvím mimořádných rozvojových programů.</w:t>
      </w:r>
    </w:p>
    <w:p w14:paraId="2DD921C3" w14:textId="4A83C074" w:rsidR="00853611" w:rsidRPr="0018110B" w:rsidRDefault="00853611" w:rsidP="00911311">
      <w:pPr>
        <w:pStyle w:val="Text"/>
      </w:pPr>
      <w:r w:rsidRPr="0018110B">
        <w:lastRenderedPageBreak/>
        <w:t>Se zvyšováním úrovně odměňování pedagogických pra</w:t>
      </w:r>
      <w:r w:rsidR="00FD3D4F">
        <w:t>covníků souvisí rovněž záměr na </w:t>
      </w:r>
      <w:r w:rsidRPr="0018110B">
        <w:t xml:space="preserve">postupné zvyšování úrovně odměňování inspekčních pracovníků České školní inspekce. </w:t>
      </w:r>
    </w:p>
    <w:p w14:paraId="7DF0F886" w14:textId="77777777" w:rsidR="00853611" w:rsidRPr="00FF3276" w:rsidRDefault="00853611" w:rsidP="00911311">
      <w:pPr>
        <w:pStyle w:val="Text"/>
      </w:pPr>
      <w:r w:rsidRPr="0018110B">
        <w:rPr>
          <w:rFonts w:cs="Times New Roman"/>
        </w:rPr>
        <w:t>Kromě posílení role prevence přímo ve školách a školských zařízeních MŠMT rovněž usiluje</w:t>
      </w:r>
      <w:r w:rsidRPr="0018110B">
        <w:rPr>
          <w:rFonts w:cs="Times New Roman"/>
          <w:sz w:val="20"/>
          <w:szCs w:val="20"/>
        </w:rPr>
        <w:t xml:space="preserve"> </w:t>
      </w:r>
      <w:r w:rsidRPr="0018110B">
        <w:rPr>
          <w:rFonts w:cs="Times New Roman"/>
        </w:rPr>
        <w:t xml:space="preserve">o stabilizaci prostředků na </w:t>
      </w:r>
      <w:r w:rsidRPr="0018110B">
        <w:rPr>
          <w:rFonts w:cs="Times New Roman"/>
          <w:b/>
        </w:rPr>
        <w:t>volnočasové aktivity v rámci organizací věnujících se práci s dětmi a mládeží.</w:t>
      </w:r>
    </w:p>
    <w:p w14:paraId="207B1FD9" w14:textId="77777777" w:rsidR="00853611" w:rsidRPr="00686BE8" w:rsidRDefault="00853611" w:rsidP="00853611">
      <w:pPr>
        <w:pStyle w:val="Odstavecseseznamem"/>
        <w:rPr>
          <w:b/>
          <w:szCs w:val="24"/>
        </w:rPr>
      </w:pPr>
    </w:p>
    <w:p w14:paraId="2E81825A" w14:textId="77777777" w:rsidR="00853611" w:rsidRPr="00686BE8" w:rsidRDefault="00853611" w:rsidP="00B26388">
      <w:pPr>
        <w:pStyle w:val="Nadpis3"/>
      </w:pPr>
      <w:bookmarkStart w:id="23" w:name="_Toc5968811"/>
      <w:r w:rsidRPr="00686BE8">
        <w:t>Rozklad stanoveného objemu výdajů</w:t>
      </w:r>
      <w:bookmarkEnd w:id="22"/>
      <w:bookmarkEnd w:id="23"/>
    </w:p>
    <w:p w14:paraId="39728B37" w14:textId="77777777" w:rsidR="00853611" w:rsidRPr="00B70F0B" w:rsidRDefault="00853611" w:rsidP="00853611">
      <w:pPr>
        <w:pStyle w:val="Zkladntextodsazen2"/>
        <w:rPr>
          <w:b w:val="0"/>
          <w:color w:val="548DD4"/>
          <w:highlight w:val="yellow"/>
        </w:rPr>
      </w:pPr>
    </w:p>
    <w:p w14:paraId="7A53929F" w14:textId="77777777" w:rsidR="00853611" w:rsidRPr="003927C8" w:rsidRDefault="00853611" w:rsidP="00853611">
      <w:pPr>
        <w:pStyle w:val="Text"/>
      </w:pPr>
      <w:bookmarkStart w:id="24" w:name="_Toc242256105"/>
      <w:r w:rsidRPr="003927C8">
        <w:t xml:space="preserve">Na základě východisek stanovených MF pro </w:t>
      </w:r>
      <w:r>
        <w:t>státní</w:t>
      </w:r>
      <w:r w:rsidRPr="003927C8">
        <w:t xml:space="preserve"> rozpoč</w:t>
      </w:r>
      <w:r>
        <w:t>et</w:t>
      </w:r>
      <w:r w:rsidRPr="003927C8">
        <w:t xml:space="preserve"> na rok 201</w:t>
      </w:r>
      <w:r w:rsidR="008A7621">
        <w:t>9</w:t>
      </w:r>
      <w:r w:rsidRPr="003927C8">
        <w:t xml:space="preserve"> MŠMT provedlo rozklad stanovených příjmových a výdajových objemů pro rozpočet kapitoly </w:t>
      </w:r>
      <w:r w:rsidRPr="00F65F3F">
        <w:rPr>
          <w:rFonts w:eastAsia="Calibri"/>
          <w:lang w:eastAsia="en-US"/>
        </w:rPr>
        <w:t>MŠMT</w:t>
      </w:r>
      <w:r w:rsidRPr="003927C8">
        <w:t xml:space="preserve"> v porovnání s rokem 201</w:t>
      </w:r>
      <w:r>
        <w:t>8</w:t>
      </w:r>
      <w:r w:rsidRPr="003927C8">
        <w:t xml:space="preserve">. </w:t>
      </w:r>
    </w:p>
    <w:p w14:paraId="732CCF33" w14:textId="77777777" w:rsidR="00853611" w:rsidRDefault="00853611" w:rsidP="00853611">
      <w:pPr>
        <w:pStyle w:val="Zkladntextodsazen2"/>
        <w:tabs>
          <w:tab w:val="left" w:pos="709"/>
        </w:tabs>
        <w:ind w:left="0" w:firstLine="0"/>
        <w:rPr>
          <w:b w:val="0"/>
        </w:rPr>
      </w:pPr>
    </w:p>
    <w:p w14:paraId="1915D808" w14:textId="77777777" w:rsidR="00853611" w:rsidRPr="003927C8" w:rsidRDefault="00853611" w:rsidP="00853611">
      <w:pPr>
        <w:pStyle w:val="Zkladntextodsazen2"/>
        <w:tabs>
          <w:tab w:val="left" w:pos="709"/>
        </w:tabs>
        <w:ind w:left="0" w:firstLine="0"/>
      </w:pPr>
      <w:r w:rsidRPr="003927C8">
        <w:rPr>
          <w:b w:val="0"/>
        </w:rPr>
        <w:t>Z provedeného rozkladu vyplývá, že </w:t>
      </w:r>
      <w:r w:rsidRPr="003927C8">
        <w:t>závazný ukazatel výdajů celkem na rok 201</w:t>
      </w:r>
      <w:r>
        <w:t>9</w:t>
      </w:r>
      <w:r w:rsidRPr="003927C8">
        <w:t xml:space="preserve"> je: </w:t>
      </w:r>
    </w:p>
    <w:p w14:paraId="760D7229" w14:textId="77777777" w:rsidR="00853611" w:rsidRPr="00A14277" w:rsidRDefault="00853611" w:rsidP="00853611">
      <w:pPr>
        <w:pStyle w:val="Zkladntextodsazen2"/>
        <w:rPr>
          <w:sz w:val="16"/>
          <w:szCs w:val="16"/>
          <w:highlight w:val="yellow"/>
        </w:rPr>
      </w:pPr>
    </w:p>
    <w:p w14:paraId="7CE18521" w14:textId="77777777" w:rsidR="00853611" w:rsidRPr="0016623F" w:rsidRDefault="00853611" w:rsidP="00853611">
      <w:pPr>
        <w:pStyle w:val="Zkladntextodsazen2"/>
        <w:numPr>
          <w:ilvl w:val="0"/>
          <w:numId w:val="6"/>
        </w:numPr>
        <w:tabs>
          <w:tab w:val="clear" w:pos="1429"/>
          <w:tab w:val="left" w:pos="426"/>
        </w:tabs>
        <w:ind w:left="426" w:hanging="426"/>
      </w:pPr>
      <w:r w:rsidRPr="0016623F">
        <w:t>včetně podílu EU a FM</w:t>
      </w:r>
      <w:r>
        <w:t>:</w:t>
      </w:r>
    </w:p>
    <w:p w14:paraId="72BD351A" w14:textId="77777777" w:rsidR="00853611" w:rsidRPr="0016623F" w:rsidRDefault="00853611" w:rsidP="00853611">
      <w:pPr>
        <w:pStyle w:val="Zkladntextodsazen2"/>
        <w:ind w:left="426" w:firstLine="0"/>
      </w:pPr>
      <w:r w:rsidRPr="0016623F">
        <w:rPr>
          <w:u w:val="single"/>
        </w:rPr>
        <w:t>vyšší</w:t>
      </w:r>
      <w:r w:rsidRPr="0016623F">
        <w:t xml:space="preserve"> v porovnání se schváleným rozpočtem na rok 201</w:t>
      </w:r>
      <w:r>
        <w:t>8</w:t>
      </w:r>
      <w:r w:rsidRPr="0016623F">
        <w:t xml:space="preserve"> o </w:t>
      </w:r>
      <w:r>
        <w:t>29 647 456 456</w:t>
      </w:r>
      <w:r w:rsidRPr="0016623F">
        <w:t xml:space="preserve"> Kč, </w:t>
      </w:r>
      <w:r w:rsidRPr="0016623F">
        <w:br/>
        <w:t xml:space="preserve">tj. o </w:t>
      </w:r>
      <w:r>
        <w:t>18,94</w:t>
      </w:r>
      <w:r w:rsidRPr="0016623F">
        <w:t xml:space="preserve"> %.</w:t>
      </w:r>
    </w:p>
    <w:p w14:paraId="5FAB18DC" w14:textId="1F00635A" w:rsidR="00853611" w:rsidRPr="003F404D" w:rsidRDefault="00853611" w:rsidP="00853611">
      <w:pPr>
        <w:pStyle w:val="Text"/>
      </w:pPr>
      <w:r w:rsidRPr="003F404D">
        <w:t xml:space="preserve">Tento údaj není zcela vypovídající. </w:t>
      </w:r>
      <w:r>
        <w:t>Již z</w:t>
      </w:r>
      <w:r w:rsidRPr="003F404D">
        <w:t>ákonem o státním rozpočtu na rok 201</w:t>
      </w:r>
      <w:r>
        <w:t>8</w:t>
      </w:r>
      <w:r w:rsidRPr="003F404D">
        <w:t xml:space="preserve"> </w:t>
      </w:r>
      <w:r>
        <w:t>ne</w:t>
      </w:r>
      <w:r w:rsidRPr="003F404D">
        <w:t>byl</w:t>
      </w:r>
      <w:r>
        <w:t xml:space="preserve"> schválen</w:t>
      </w:r>
      <w:r w:rsidRPr="003F404D">
        <w:t xml:space="preserve"> </w:t>
      </w:r>
      <w:r>
        <w:t xml:space="preserve">podíl </w:t>
      </w:r>
      <w:r w:rsidRPr="003F404D">
        <w:t>EU a FM na spolufinancování</w:t>
      </w:r>
      <w:r>
        <w:t xml:space="preserve"> v  plném objemu, který by odpovídal vyčleněnému podílu výdajů ČR, ale jen</w:t>
      </w:r>
      <w:r w:rsidRPr="003F404D">
        <w:t xml:space="preserve"> ve výši </w:t>
      </w:r>
      <w:r>
        <w:t>76,4</w:t>
      </w:r>
      <w:r w:rsidRPr="003F404D">
        <w:t xml:space="preserve"> % z celkového ročního objemu výdajů </w:t>
      </w:r>
      <w:r>
        <w:t>na spolufinancované programy</w:t>
      </w:r>
      <w:r w:rsidRPr="003F404D">
        <w:t>. V r. 201</w:t>
      </w:r>
      <w:r>
        <w:t>9</w:t>
      </w:r>
      <w:r w:rsidRPr="003F404D">
        <w:t xml:space="preserve"> </w:t>
      </w:r>
      <w:r>
        <w:t xml:space="preserve">se podíl výdajů EU a FM mírně navyšuje, </w:t>
      </w:r>
      <w:r w:rsidRPr="003F404D">
        <w:t xml:space="preserve">MŠMT zahájí </w:t>
      </w:r>
      <w:r>
        <w:t xml:space="preserve">financování </w:t>
      </w:r>
      <w:r w:rsidRPr="003F404D">
        <w:t xml:space="preserve">s podílem výdajů krytých </w:t>
      </w:r>
      <w:r w:rsidRPr="00866CD7">
        <w:t xml:space="preserve">příjmy od EU ve výši </w:t>
      </w:r>
      <w:r>
        <w:t>79,4</w:t>
      </w:r>
      <w:r w:rsidR="00FA60D6">
        <w:t xml:space="preserve"> %. Podíl výdajů EU a </w:t>
      </w:r>
      <w:r w:rsidRPr="00866CD7">
        <w:t xml:space="preserve">FM </w:t>
      </w:r>
      <w:r>
        <w:t xml:space="preserve">k výdajům vyčleněným na spolufinancování ze státního rozpočtu </w:t>
      </w:r>
      <w:r w:rsidRPr="00866CD7">
        <w:t>v kapitole MŠMT stanovuje MF s ohledem na očekávanou potřebu v daném roce.</w:t>
      </w:r>
    </w:p>
    <w:p w14:paraId="41E597D9" w14:textId="77777777" w:rsidR="00853611" w:rsidRPr="0016623F" w:rsidRDefault="00853611" w:rsidP="00853611">
      <w:pPr>
        <w:pStyle w:val="Zkladntextodsazen2"/>
        <w:ind w:left="1418" w:firstLine="0"/>
        <w:jc w:val="left"/>
        <w:rPr>
          <w:b w:val="0"/>
          <w:i/>
          <w:strike/>
          <w:sz w:val="16"/>
          <w:szCs w:val="16"/>
        </w:rPr>
      </w:pPr>
    </w:p>
    <w:p w14:paraId="1FFF3733" w14:textId="77777777" w:rsidR="00853611" w:rsidRPr="0016623F" w:rsidRDefault="00853611" w:rsidP="00853611">
      <w:pPr>
        <w:pStyle w:val="Zkladntextodsazen2"/>
        <w:numPr>
          <w:ilvl w:val="0"/>
          <w:numId w:val="6"/>
        </w:numPr>
        <w:tabs>
          <w:tab w:val="clear" w:pos="1429"/>
          <w:tab w:val="left" w:pos="426"/>
        </w:tabs>
        <w:ind w:left="426" w:hanging="426"/>
      </w:pPr>
      <w:r w:rsidRPr="0016623F">
        <w:t>bez podílu EU a FM:</w:t>
      </w:r>
    </w:p>
    <w:p w14:paraId="1CF5716D" w14:textId="77777777" w:rsidR="00853611" w:rsidRDefault="00853611" w:rsidP="00853611">
      <w:pPr>
        <w:pStyle w:val="Zkladntextodsazen2"/>
        <w:ind w:left="426" w:firstLine="0"/>
      </w:pPr>
      <w:r w:rsidRPr="0016623F">
        <w:rPr>
          <w:u w:val="single"/>
        </w:rPr>
        <w:t>vyšší</w:t>
      </w:r>
      <w:r w:rsidRPr="0016623F">
        <w:t xml:space="preserve"> v porovnání se srovnatelnou základnou pro rok 201</w:t>
      </w:r>
      <w:r>
        <w:t>8</w:t>
      </w:r>
      <w:r w:rsidRPr="0016623F">
        <w:t xml:space="preserve"> </w:t>
      </w:r>
      <w:r w:rsidRPr="0016623F">
        <w:rPr>
          <w:b w:val="0"/>
        </w:rPr>
        <w:t>(tj. s rozpočtem na r. 201</w:t>
      </w:r>
      <w:r>
        <w:rPr>
          <w:b w:val="0"/>
        </w:rPr>
        <w:t>8</w:t>
      </w:r>
      <w:r w:rsidRPr="0016623F">
        <w:rPr>
          <w:b w:val="0"/>
        </w:rPr>
        <w:t xml:space="preserve"> po vyloučení výdajů krytých příjmy z EU a FM)</w:t>
      </w:r>
      <w:r w:rsidRPr="0016623F">
        <w:t xml:space="preserve"> o </w:t>
      </w:r>
      <w:r>
        <w:t>26 691 999 870</w:t>
      </w:r>
      <w:r w:rsidRPr="0016623F">
        <w:t>, tj. o </w:t>
      </w:r>
      <w:r>
        <w:t>18,04</w:t>
      </w:r>
      <w:r w:rsidRPr="0016623F">
        <w:t xml:space="preserve"> %.</w:t>
      </w:r>
    </w:p>
    <w:p w14:paraId="0F0D2A88" w14:textId="77777777" w:rsidR="00853611" w:rsidRPr="007C70C9" w:rsidRDefault="00853611" w:rsidP="00853611">
      <w:pPr>
        <w:pStyle w:val="Zkladntextodsazen2"/>
        <w:ind w:left="426" w:firstLine="0"/>
      </w:pPr>
    </w:p>
    <w:p w14:paraId="07256546" w14:textId="77777777" w:rsidR="00853611" w:rsidRDefault="00853611" w:rsidP="00853611">
      <w:pPr>
        <w:pStyle w:val="Text"/>
      </w:pPr>
      <w:r w:rsidRPr="00DC22BD">
        <w:t>Přehled změn ve srovnatelných specifických ukazatelích rozpočtu roku 201</w:t>
      </w:r>
      <w:r>
        <w:t>9</w:t>
      </w:r>
      <w:r w:rsidRPr="00DC22BD">
        <w:t xml:space="preserve"> k roku 201</w:t>
      </w:r>
      <w:r>
        <w:t>8</w:t>
      </w:r>
      <w:r w:rsidRPr="00DC22BD">
        <w:t xml:space="preserve"> je dále rozpracován v </w:t>
      </w:r>
      <w:r w:rsidRPr="003A0165">
        <w:t xml:space="preserve">příloze </w:t>
      </w:r>
      <w:r w:rsidRPr="00193C73">
        <w:t>č. 3a - Ukazatele kapitoly 333 MŠMT na rok 2019 (změny proti rozpočtu roku 201</w:t>
      </w:r>
      <w:r>
        <w:t>8</w:t>
      </w:r>
      <w:r w:rsidRPr="00193C73">
        <w:t xml:space="preserve">) a příloze č. 3c – Ukazatele kapitoly 333 MŠMT na rok 2019 (rekapitulace jednotlivých </w:t>
      </w:r>
      <w:r>
        <w:t>vlivů vč. východiska ze střednědobého výhledu</w:t>
      </w:r>
      <w:r w:rsidRPr="00193C73">
        <w:t>).</w:t>
      </w:r>
    </w:p>
    <w:p w14:paraId="40AAD4F1" w14:textId="2EA91AE9" w:rsidR="00853611" w:rsidRDefault="00853611" w:rsidP="00853611">
      <w:pPr>
        <w:pStyle w:val="Text"/>
      </w:pPr>
      <w:r w:rsidRPr="00DC22BD">
        <w:t xml:space="preserve">S ohledem </w:t>
      </w:r>
      <w:r w:rsidRPr="00E47ABF">
        <w:t>na maximální transparentnost jsou dále v textu i přílohách rozebrány vlivy na rozpočet kapitoly MŠMT v roce 201</w:t>
      </w:r>
      <w:r>
        <w:t>9</w:t>
      </w:r>
      <w:r w:rsidRPr="00E47ABF">
        <w:t xml:space="preserve"> sumárně bez ohledu na jejich chronologický sled. </w:t>
      </w:r>
      <w:r w:rsidRPr="00686E72">
        <w:t>Změny jsou promítnuty detailně podle závazných specifických</w:t>
      </w:r>
      <w:r>
        <w:t xml:space="preserve"> a </w:t>
      </w:r>
      <w:r w:rsidRPr="00686E72">
        <w:t>průřezových ukazatelů v tabulkové příloze č. </w:t>
      </w:r>
      <w:r w:rsidRPr="00555DC4">
        <w:t>3b – Ukazatel</w:t>
      </w:r>
      <w:r w:rsidR="00CE1F18">
        <w:t>e</w:t>
      </w:r>
      <w:r w:rsidRPr="00555DC4">
        <w:t xml:space="preserve"> rozpočtu kapitoly 333 MŠMT na rok 2019 (změny proti rozpočtu roku 2018).</w:t>
      </w:r>
    </w:p>
    <w:p w14:paraId="74B80953" w14:textId="77777777" w:rsidR="00853611" w:rsidRPr="0092507E" w:rsidRDefault="00853611" w:rsidP="00853611">
      <w:pPr>
        <w:pStyle w:val="Text"/>
      </w:pPr>
    </w:p>
    <w:p w14:paraId="534AA4F2" w14:textId="77777777" w:rsidR="00853611" w:rsidRPr="00E47ABF" w:rsidRDefault="00853611" w:rsidP="00B26388">
      <w:pPr>
        <w:pStyle w:val="Nadpis3"/>
      </w:pPr>
      <w:bookmarkStart w:id="25" w:name="_Toc5968812"/>
      <w:r w:rsidRPr="00E47ABF">
        <w:t>Změny, které vytvářejí srovnatelnou základnu pro rok 201</w:t>
      </w:r>
      <w:r>
        <w:t>9</w:t>
      </w:r>
      <w:bookmarkEnd w:id="25"/>
    </w:p>
    <w:p w14:paraId="71A6B20D" w14:textId="77777777" w:rsidR="00853611" w:rsidRPr="00E47ABF" w:rsidRDefault="00853611" w:rsidP="00853611">
      <w:pPr>
        <w:pStyle w:val="Zkladntextodsazen2"/>
        <w:ind w:left="567" w:hanging="567"/>
      </w:pPr>
    </w:p>
    <w:p w14:paraId="23098A45" w14:textId="77777777" w:rsidR="00853611" w:rsidRDefault="00853611" w:rsidP="0031482F">
      <w:pPr>
        <w:pStyle w:val="Nadpis4"/>
      </w:pPr>
      <w:bookmarkStart w:id="26" w:name="_Toc5968813"/>
      <w:r w:rsidRPr="00E47ABF">
        <w:t>Změny, které vytvářejí srovnatelnou základnu pro rok 201</w:t>
      </w:r>
      <w:r>
        <w:t>9</w:t>
      </w:r>
      <w:r w:rsidRPr="00E47ABF">
        <w:t>, od níž lze objektivně stanovit nárůst nebo snížení rozpočtu z roku</w:t>
      </w:r>
      <w:r>
        <w:t xml:space="preserve"> na rok</w:t>
      </w:r>
      <w:bookmarkEnd w:id="26"/>
    </w:p>
    <w:p w14:paraId="400A421F" w14:textId="77777777" w:rsidR="00853611" w:rsidRPr="00227ADD" w:rsidRDefault="00853611" w:rsidP="00853611">
      <w:pPr>
        <w:rPr>
          <w:lang w:eastAsia="en-US"/>
        </w:rPr>
      </w:pPr>
    </w:p>
    <w:p w14:paraId="64977CEC" w14:textId="77777777" w:rsidR="00853611" w:rsidRPr="006B23CA" w:rsidRDefault="00853611" w:rsidP="00853611">
      <w:pPr>
        <w:pStyle w:val="Text"/>
      </w:pPr>
      <w:r w:rsidRPr="006B23CA">
        <w:t>MŠMT porovnává údaje v tzv. „srovnatelné základně“, která eliminuje jednorázové vlivy a prostředky kryté příjmy z rozpočtu EU a FM a umožňuje tak poskytnout relevantní srovnání meziročního nárůstu</w:t>
      </w:r>
      <w:r>
        <w:t xml:space="preserve"> či </w:t>
      </w:r>
      <w:r w:rsidRPr="006B23CA">
        <w:t>poklesu rozpočtu. Změn</w:t>
      </w:r>
      <w:r>
        <w:t>a</w:t>
      </w:r>
      <w:r w:rsidRPr="006B23CA">
        <w:t>, kter</w:t>
      </w:r>
      <w:r>
        <w:t>á</w:t>
      </w:r>
      <w:r w:rsidRPr="006B23CA">
        <w:t xml:space="preserve"> vytvář</w:t>
      </w:r>
      <w:r>
        <w:t>í</w:t>
      </w:r>
      <w:r w:rsidRPr="006B23CA">
        <w:t xml:space="preserve"> srovnatelnou </w:t>
      </w:r>
      <w:r w:rsidRPr="006B23CA">
        <w:lastRenderedPageBreak/>
        <w:t xml:space="preserve">základnu </w:t>
      </w:r>
      <w:r>
        <w:t>roku 2018 k roku 2019</w:t>
      </w:r>
      <w:r w:rsidRPr="006B23CA">
        <w:t>, od níž lze objektivně stanovit nárůst nebo snížení rozpočtu z roku na rok:</w:t>
      </w:r>
    </w:p>
    <w:tbl>
      <w:tblPr>
        <w:tblW w:w="8741" w:type="dxa"/>
        <w:tblInd w:w="675" w:type="dxa"/>
        <w:tblLayout w:type="fixed"/>
        <w:tblLook w:val="01E0" w:firstRow="1" w:lastRow="1" w:firstColumn="1" w:lastColumn="1" w:noHBand="0" w:noVBand="0"/>
      </w:tblPr>
      <w:tblGrid>
        <w:gridCol w:w="850"/>
        <w:gridCol w:w="5482"/>
        <w:gridCol w:w="284"/>
        <w:gridCol w:w="2125"/>
      </w:tblGrid>
      <w:tr w:rsidR="00853611" w:rsidRPr="006B23CA" w14:paraId="20A87CD6" w14:textId="77777777" w:rsidTr="008678CF">
        <w:trPr>
          <w:trHeight w:val="553"/>
        </w:trPr>
        <w:tc>
          <w:tcPr>
            <w:tcW w:w="850" w:type="dxa"/>
            <w:shd w:val="clear" w:color="auto" w:fill="auto"/>
          </w:tcPr>
          <w:p w14:paraId="22A04586" w14:textId="77777777" w:rsidR="00853611" w:rsidRPr="006B23CA" w:rsidRDefault="00853611" w:rsidP="008678CF">
            <w:pPr>
              <w:pStyle w:val="Zkladntextodsazen2"/>
              <w:numPr>
                <w:ilvl w:val="0"/>
                <w:numId w:val="8"/>
              </w:numPr>
              <w:jc w:val="center"/>
              <w:rPr>
                <w:b w:val="0"/>
              </w:rPr>
            </w:pPr>
          </w:p>
        </w:tc>
        <w:tc>
          <w:tcPr>
            <w:tcW w:w="5482" w:type="dxa"/>
            <w:shd w:val="clear" w:color="auto" w:fill="auto"/>
          </w:tcPr>
          <w:p w14:paraId="7997ECB5" w14:textId="77777777" w:rsidR="00853611" w:rsidRPr="006B23CA" w:rsidRDefault="00853611" w:rsidP="008678CF">
            <w:pPr>
              <w:pStyle w:val="Zkladntextodsazen2"/>
              <w:ind w:left="35" w:firstLine="0"/>
              <w:rPr>
                <w:b w:val="0"/>
              </w:rPr>
            </w:pPr>
            <w:r w:rsidRPr="006B23CA">
              <w:rPr>
                <w:b w:val="0"/>
              </w:rPr>
              <w:t>souvztažné snížení příjmů a výdajů z titulu</w:t>
            </w:r>
          </w:p>
          <w:p w14:paraId="5460E373" w14:textId="77777777" w:rsidR="00853611" w:rsidRPr="006B23CA" w:rsidRDefault="00853611" w:rsidP="008678CF">
            <w:pPr>
              <w:pStyle w:val="Zkladntextodsazen2"/>
              <w:ind w:left="0" w:firstLine="0"/>
              <w:jc w:val="left"/>
              <w:rPr>
                <w:b w:val="0"/>
              </w:rPr>
            </w:pPr>
            <w:r w:rsidRPr="006B23CA">
              <w:rPr>
                <w:b w:val="0"/>
              </w:rPr>
              <w:t xml:space="preserve"> příjmů od EU a FM ve výši roku 201</w:t>
            </w:r>
            <w:r>
              <w:rPr>
                <w:b w:val="0"/>
              </w:rPr>
              <w:t>8</w:t>
            </w:r>
            <w:r w:rsidRPr="006B23CA">
              <w:rPr>
                <w:b w:val="0"/>
              </w:rPr>
              <w:t>……………</w:t>
            </w:r>
            <w:r>
              <w:rPr>
                <w:b w:val="0"/>
              </w:rPr>
              <w:t>…</w:t>
            </w:r>
            <w:r w:rsidRPr="006B23CA">
              <w:rPr>
                <w:b w:val="0"/>
              </w:rPr>
              <w:t>.</w:t>
            </w:r>
          </w:p>
        </w:tc>
        <w:tc>
          <w:tcPr>
            <w:tcW w:w="284" w:type="dxa"/>
            <w:shd w:val="clear" w:color="auto" w:fill="auto"/>
          </w:tcPr>
          <w:p w14:paraId="24028AD2" w14:textId="77777777" w:rsidR="00853611" w:rsidRPr="006B23CA" w:rsidRDefault="00853611" w:rsidP="008678CF">
            <w:pPr>
              <w:pStyle w:val="Zkladntextodsazen2"/>
              <w:ind w:left="0" w:firstLine="0"/>
              <w:jc w:val="left"/>
              <w:rPr>
                <w:b w:val="0"/>
              </w:rPr>
            </w:pPr>
          </w:p>
          <w:p w14:paraId="10945E2D" w14:textId="77777777" w:rsidR="00853611" w:rsidRPr="006B23CA" w:rsidRDefault="00853611" w:rsidP="008678CF">
            <w:pPr>
              <w:pStyle w:val="Zkladntextodsazen2"/>
              <w:ind w:left="0" w:firstLine="0"/>
              <w:jc w:val="left"/>
              <w:rPr>
                <w:b w:val="0"/>
              </w:rPr>
            </w:pPr>
          </w:p>
        </w:tc>
        <w:tc>
          <w:tcPr>
            <w:tcW w:w="2125" w:type="dxa"/>
            <w:shd w:val="clear" w:color="auto" w:fill="auto"/>
          </w:tcPr>
          <w:p w14:paraId="26EDAD8E" w14:textId="77777777" w:rsidR="00853611" w:rsidRPr="006B23CA" w:rsidRDefault="00853611" w:rsidP="008678CF">
            <w:pPr>
              <w:pStyle w:val="Zkladntextodsazen2"/>
              <w:ind w:left="0" w:firstLine="0"/>
              <w:jc w:val="right"/>
              <w:rPr>
                <w:b w:val="0"/>
              </w:rPr>
            </w:pPr>
          </w:p>
          <w:p w14:paraId="0727E5D3" w14:textId="77777777" w:rsidR="00853611" w:rsidRPr="006B23CA" w:rsidRDefault="00853611" w:rsidP="008678CF">
            <w:pPr>
              <w:pStyle w:val="Zkladntextodsazen2"/>
              <w:ind w:left="-61" w:firstLine="0"/>
              <w:jc w:val="right"/>
              <w:rPr>
                <w:b w:val="0"/>
              </w:rPr>
            </w:pPr>
            <w:r w:rsidRPr="006B23CA">
              <w:rPr>
                <w:b w:val="0"/>
              </w:rPr>
              <w:t xml:space="preserve">- </w:t>
            </w:r>
            <w:r>
              <w:rPr>
                <w:b w:val="0"/>
              </w:rPr>
              <w:t>7 103 030 158</w:t>
            </w:r>
            <w:r w:rsidRPr="006B23CA">
              <w:rPr>
                <w:b w:val="0"/>
              </w:rPr>
              <w:t xml:space="preserve"> Kč</w:t>
            </w:r>
          </w:p>
        </w:tc>
      </w:tr>
    </w:tbl>
    <w:p w14:paraId="7AC9E585" w14:textId="77777777" w:rsidR="00853611" w:rsidRDefault="00853611" w:rsidP="00853611">
      <w:pPr>
        <w:pStyle w:val="Text"/>
      </w:pPr>
      <w:r w:rsidRPr="00723C1F">
        <w:t xml:space="preserve">Po </w:t>
      </w:r>
      <w:r>
        <w:t>této promítnuté změně</w:t>
      </w:r>
      <w:r w:rsidRPr="00723C1F">
        <w:t xml:space="preserve"> </w:t>
      </w:r>
      <w:r w:rsidRPr="00723C1F">
        <w:rPr>
          <w:b/>
        </w:rPr>
        <w:t>srovnatelná základna</w:t>
      </w:r>
      <w:r w:rsidRPr="00723C1F">
        <w:t xml:space="preserve"> pro posouzení nárůstu celkových </w:t>
      </w:r>
      <w:r w:rsidRPr="00723C1F">
        <w:rPr>
          <w:b/>
        </w:rPr>
        <w:t xml:space="preserve">výdajů </w:t>
      </w:r>
      <w:r w:rsidRPr="00723C1F">
        <w:t>na rok 201</w:t>
      </w:r>
      <w:r>
        <w:t>9</w:t>
      </w:r>
      <w:r w:rsidRPr="00723C1F">
        <w:t xml:space="preserve"> činí </w:t>
      </w:r>
      <w:r>
        <w:rPr>
          <w:b/>
        </w:rPr>
        <w:t>169 008 679 750 </w:t>
      </w:r>
      <w:r w:rsidRPr="00723C1F">
        <w:rPr>
          <w:b/>
        </w:rPr>
        <w:t>Kč</w:t>
      </w:r>
      <w:r w:rsidRPr="00723C1F">
        <w:t xml:space="preserve"> a srovnatelná základna </w:t>
      </w:r>
      <w:r w:rsidRPr="00723C1F">
        <w:rPr>
          <w:b/>
        </w:rPr>
        <w:t>pro příjmy</w:t>
      </w:r>
      <w:r w:rsidRPr="00723C1F">
        <w:t xml:space="preserve"> činí </w:t>
      </w:r>
      <w:r>
        <w:rPr>
          <w:b/>
        </w:rPr>
        <w:t>89 952 </w:t>
      </w:r>
      <w:r w:rsidRPr="00723C1F">
        <w:rPr>
          <w:b/>
        </w:rPr>
        <w:t>000 Kč</w:t>
      </w:r>
      <w:r w:rsidRPr="00723C1F">
        <w:t>.</w:t>
      </w:r>
    </w:p>
    <w:p w14:paraId="2E771FF8" w14:textId="77777777" w:rsidR="00853611" w:rsidRDefault="00853611" w:rsidP="00853611">
      <w:pPr>
        <w:pStyle w:val="Text"/>
      </w:pPr>
    </w:p>
    <w:p w14:paraId="2B12424A" w14:textId="77777777" w:rsidR="00853611" w:rsidRPr="00E47ABF" w:rsidRDefault="00853611" w:rsidP="0031482F">
      <w:pPr>
        <w:pStyle w:val="Nadpis4"/>
      </w:pPr>
      <w:r>
        <w:t xml:space="preserve"> </w:t>
      </w:r>
      <w:bookmarkStart w:id="27" w:name="_Toc5968814"/>
      <w:r>
        <w:t>V</w:t>
      </w:r>
      <w:r w:rsidRPr="00E47ABF">
        <w:t xml:space="preserve">livy, které navazují </w:t>
      </w:r>
      <w:r w:rsidRPr="00E930CD">
        <w:t>na srovnatelnou základnu</w:t>
      </w:r>
      <w:r w:rsidRPr="00E47ABF">
        <w:t xml:space="preserve"> rozpočtu výdajů kapitoly </w:t>
      </w:r>
      <w:r w:rsidRPr="00F65F3F">
        <w:rPr>
          <w:rFonts w:eastAsia="Calibri"/>
        </w:rPr>
        <w:t>MŠMT</w:t>
      </w:r>
      <w:bookmarkEnd w:id="27"/>
    </w:p>
    <w:p w14:paraId="7685D883" w14:textId="77777777" w:rsidR="00853611" w:rsidRPr="00E47ABF" w:rsidRDefault="00853611" w:rsidP="00853611">
      <w:pPr>
        <w:pStyle w:val="Text"/>
      </w:pPr>
    </w:p>
    <w:p w14:paraId="07D00C4F" w14:textId="77777777" w:rsidR="00853611" w:rsidRPr="007F3FCE" w:rsidRDefault="00853611" w:rsidP="00853611">
      <w:pPr>
        <w:pStyle w:val="Text"/>
      </w:pPr>
      <w:r w:rsidRPr="007F3FCE">
        <w:t xml:space="preserve">představují celkový nárůst výdajů o </w:t>
      </w:r>
      <w:r>
        <w:rPr>
          <w:b/>
        </w:rPr>
        <w:t>26 691 999 870</w:t>
      </w:r>
      <w:r w:rsidRPr="007F3FCE">
        <w:rPr>
          <w:b/>
        </w:rPr>
        <w:t xml:space="preserve"> Kč</w:t>
      </w:r>
      <w:r w:rsidRPr="007F3FCE">
        <w:t>:</w:t>
      </w:r>
      <w:r>
        <w:t xml:space="preserve"> </w:t>
      </w:r>
    </w:p>
    <w:p w14:paraId="5374E9C5" w14:textId="77777777" w:rsidR="00853611" w:rsidRPr="006847BF" w:rsidRDefault="00853611" w:rsidP="00853611">
      <w:pPr>
        <w:pStyle w:val="Zkladntextodsazen2"/>
        <w:tabs>
          <w:tab w:val="left" w:pos="0"/>
        </w:tabs>
        <w:ind w:left="567" w:firstLine="0"/>
        <w:rPr>
          <w:sz w:val="16"/>
          <w:szCs w:val="16"/>
          <w:highlight w:val="yellow"/>
        </w:rPr>
      </w:pPr>
    </w:p>
    <w:tbl>
      <w:tblPr>
        <w:tblW w:w="8931" w:type="dxa"/>
        <w:tblInd w:w="675" w:type="dxa"/>
        <w:tblLayout w:type="fixed"/>
        <w:tblLook w:val="01E0" w:firstRow="1" w:lastRow="1" w:firstColumn="1" w:lastColumn="1" w:noHBand="0" w:noVBand="0"/>
      </w:tblPr>
      <w:tblGrid>
        <w:gridCol w:w="567"/>
        <w:gridCol w:w="5670"/>
        <w:gridCol w:w="284"/>
        <w:gridCol w:w="2410"/>
      </w:tblGrid>
      <w:tr w:rsidR="00853611" w:rsidRPr="006847BF" w14:paraId="0909315D" w14:textId="77777777" w:rsidTr="008678CF">
        <w:tc>
          <w:tcPr>
            <w:tcW w:w="567" w:type="dxa"/>
            <w:shd w:val="clear" w:color="auto" w:fill="auto"/>
          </w:tcPr>
          <w:p w14:paraId="473917D0" w14:textId="77777777" w:rsidR="00853611" w:rsidRPr="006D1870" w:rsidRDefault="00853611" w:rsidP="008678CF">
            <w:pPr>
              <w:numPr>
                <w:ilvl w:val="0"/>
                <w:numId w:val="8"/>
              </w:numPr>
            </w:pPr>
          </w:p>
        </w:tc>
        <w:tc>
          <w:tcPr>
            <w:tcW w:w="5670" w:type="dxa"/>
            <w:shd w:val="clear" w:color="auto" w:fill="auto"/>
          </w:tcPr>
          <w:p w14:paraId="745359F4" w14:textId="77777777" w:rsidR="00853611" w:rsidRPr="006D1870" w:rsidRDefault="00853611" w:rsidP="008678CF">
            <w:pPr>
              <w:rPr>
                <w:sz w:val="16"/>
                <w:szCs w:val="16"/>
              </w:rPr>
            </w:pPr>
            <w:r w:rsidRPr="006D1870">
              <w:t xml:space="preserve">nárůst výdajů na </w:t>
            </w:r>
            <w:r>
              <w:t xml:space="preserve">výzkum, vývoj a inovace (dále jen „VVI“) </w:t>
            </w:r>
            <w:r w:rsidRPr="006D1870">
              <w:t>podle vlády</w:t>
            </w:r>
            <w:r>
              <w:t xml:space="preserve"> (mimo přesuny a mimo platové nárůsty………………………………………...</w:t>
            </w:r>
            <w:r w:rsidRPr="006D1870">
              <w:t>.</w:t>
            </w:r>
            <w:r>
              <w:t>...............</w:t>
            </w:r>
          </w:p>
        </w:tc>
        <w:tc>
          <w:tcPr>
            <w:tcW w:w="284" w:type="dxa"/>
            <w:shd w:val="clear" w:color="auto" w:fill="auto"/>
          </w:tcPr>
          <w:p w14:paraId="3CAEEC36" w14:textId="77777777" w:rsidR="00853611" w:rsidRDefault="00853611" w:rsidP="008678CF"/>
          <w:p w14:paraId="1DA8B626" w14:textId="77777777" w:rsidR="00853611" w:rsidRDefault="00853611" w:rsidP="008678CF"/>
          <w:p w14:paraId="6C60A42C" w14:textId="77777777" w:rsidR="00853611" w:rsidRPr="006D1870" w:rsidRDefault="00853611" w:rsidP="008678CF">
            <w:r w:rsidRPr="006D1870">
              <w:t>+</w:t>
            </w:r>
          </w:p>
        </w:tc>
        <w:tc>
          <w:tcPr>
            <w:tcW w:w="2410" w:type="dxa"/>
            <w:shd w:val="clear" w:color="auto" w:fill="auto"/>
          </w:tcPr>
          <w:p w14:paraId="52871A0E" w14:textId="77777777" w:rsidR="00853611" w:rsidRDefault="00853611" w:rsidP="008678CF">
            <w:pPr>
              <w:tabs>
                <w:tab w:val="left" w:pos="1485"/>
              </w:tabs>
              <w:jc w:val="right"/>
            </w:pPr>
          </w:p>
          <w:p w14:paraId="23FF5E7C" w14:textId="77777777" w:rsidR="00853611" w:rsidRDefault="00853611" w:rsidP="008678CF">
            <w:pPr>
              <w:tabs>
                <w:tab w:val="left" w:pos="1485"/>
              </w:tabs>
              <w:jc w:val="right"/>
            </w:pPr>
          </w:p>
          <w:p w14:paraId="16D874E5" w14:textId="77777777" w:rsidR="00853611" w:rsidRPr="006D1870" w:rsidRDefault="00853611" w:rsidP="008678CF">
            <w:pPr>
              <w:tabs>
                <w:tab w:val="left" w:pos="1485"/>
              </w:tabs>
              <w:jc w:val="right"/>
            </w:pPr>
            <w:r>
              <w:t>268 761 874</w:t>
            </w:r>
            <w:r w:rsidRPr="006D1870">
              <w:t xml:space="preserve"> Kč</w:t>
            </w:r>
          </w:p>
        </w:tc>
      </w:tr>
      <w:tr w:rsidR="00853611" w:rsidRPr="00514F86" w14:paraId="3DBC9607" w14:textId="77777777" w:rsidTr="008678CF">
        <w:trPr>
          <w:trHeight w:val="296"/>
        </w:trPr>
        <w:tc>
          <w:tcPr>
            <w:tcW w:w="567" w:type="dxa"/>
            <w:shd w:val="clear" w:color="auto" w:fill="auto"/>
          </w:tcPr>
          <w:p w14:paraId="40B76ACB" w14:textId="77777777" w:rsidR="00853611" w:rsidRPr="000A3BEE" w:rsidRDefault="00853611" w:rsidP="008678CF">
            <w:pPr>
              <w:numPr>
                <w:ilvl w:val="0"/>
                <w:numId w:val="8"/>
              </w:numPr>
            </w:pPr>
          </w:p>
        </w:tc>
        <w:tc>
          <w:tcPr>
            <w:tcW w:w="5670" w:type="dxa"/>
            <w:shd w:val="clear" w:color="auto" w:fill="auto"/>
          </w:tcPr>
          <w:p w14:paraId="5788B574" w14:textId="78CEAB67" w:rsidR="00853611" w:rsidRPr="000A3BEE" w:rsidRDefault="00853611" w:rsidP="00542AE0">
            <w:r w:rsidRPr="000A3BEE">
              <w:t>nárůst výdajů na platy a příslušenství</w:t>
            </w:r>
            <w:r>
              <w:t xml:space="preserve"> včetně vyrovnání mezikrajových rozdílů</w:t>
            </w:r>
            <w:r w:rsidRPr="000A3BEE">
              <w:t xml:space="preserve"> pedagog</w:t>
            </w:r>
            <w:r>
              <w:t>ických pracovníků</w:t>
            </w:r>
            <w:r w:rsidRPr="000A3BEE">
              <w:t xml:space="preserve"> RgŠ a </w:t>
            </w:r>
            <w:r>
              <w:t>přímo řízených organizací (dále jen „</w:t>
            </w:r>
            <w:r w:rsidRPr="000A3BEE">
              <w:t>PŘO</w:t>
            </w:r>
            <w:r>
              <w:t>“)</w:t>
            </w:r>
            <w:r w:rsidRPr="000A3BEE">
              <w:t xml:space="preserve"> o </w:t>
            </w:r>
            <w:r>
              <w:t>15</w:t>
            </w:r>
            <w:r w:rsidRPr="000A3BEE">
              <w:t xml:space="preserve"> %</w:t>
            </w:r>
            <w:r>
              <w:t>, nárůst platů a </w:t>
            </w:r>
            <w:r w:rsidRPr="000A3BEE">
              <w:t xml:space="preserve">příslušenství </w:t>
            </w:r>
            <w:r>
              <w:t xml:space="preserve">nepedagogických zaměstnanců RgŠ </w:t>
            </w:r>
            <w:r w:rsidR="005F53B0">
              <w:t xml:space="preserve">a PŘO </w:t>
            </w:r>
            <w:r>
              <w:t>o 10 % a </w:t>
            </w:r>
            <w:r w:rsidRPr="000A3BEE">
              <w:t>nárůst platů a příslušenství ostatních zaměstnanců veřejné sféry zahrnovaných do limitů regulace zaměstnanosti o </w:t>
            </w:r>
            <w:r>
              <w:t>6</w:t>
            </w:r>
            <w:r w:rsidRPr="000A3BEE">
              <w:t> %</w:t>
            </w:r>
            <w:r>
              <w:t xml:space="preserve"> (vč. dodatečného navýšení pr</w:t>
            </w:r>
            <w:r w:rsidR="00886248">
              <w:t>ůměrného měsíčního platu o 500</w:t>
            </w:r>
            <w:r>
              <w:t xml:space="preserve"> Kč); vč. nárůstu pla</w:t>
            </w:r>
            <w:r w:rsidR="00542AE0">
              <w:t>tů ústavních činitelů …….</w:t>
            </w:r>
            <w:r>
              <w:t>.....</w:t>
            </w:r>
          </w:p>
        </w:tc>
        <w:tc>
          <w:tcPr>
            <w:tcW w:w="284" w:type="dxa"/>
            <w:shd w:val="clear" w:color="auto" w:fill="auto"/>
          </w:tcPr>
          <w:p w14:paraId="32A5F676" w14:textId="77777777" w:rsidR="00853611" w:rsidRPr="000A3BEE" w:rsidRDefault="00853611" w:rsidP="008678CF"/>
          <w:p w14:paraId="23ECE61C" w14:textId="77777777" w:rsidR="00853611" w:rsidRPr="000A3BEE" w:rsidRDefault="00853611" w:rsidP="008678CF"/>
          <w:p w14:paraId="52448076" w14:textId="77777777" w:rsidR="00853611" w:rsidRPr="000A3BEE" w:rsidRDefault="00853611" w:rsidP="008678CF"/>
          <w:p w14:paraId="290102DD" w14:textId="77777777" w:rsidR="00853611" w:rsidRPr="000A3BEE" w:rsidRDefault="00853611" w:rsidP="008678CF"/>
          <w:p w14:paraId="26D7A384" w14:textId="77777777" w:rsidR="00853611" w:rsidRDefault="00853611" w:rsidP="008678CF"/>
          <w:p w14:paraId="39A8C084" w14:textId="77777777" w:rsidR="00853611" w:rsidRDefault="00853611" w:rsidP="008678CF"/>
          <w:p w14:paraId="19EE5F52" w14:textId="77777777" w:rsidR="00853611" w:rsidRDefault="00853611" w:rsidP="008678CF"/>
          <w:p w14:paraId="68CB9EAF" w14:textId="77777777" w:rsidR="00853611" w:rsidRDefault="00853611" w:rsidP="008678CF"/>
          <w:p w14:paraId="66938DDE" w14:textId="77777777" w:rsidR="00853611" w:rsidRPr="000A3BEE" w:rsidRDefault="00853611" w:rsidP="008678CF">
            <w:r w:rsidRPr="000A3BEE">
              <w:t>+</w:t>
            </w:r>
          </w:p>
        </w:tc>
        <w:tc>
          <w:tcPr>
            <w:tcW w:w="2410" w:type="dxa"/>
            <w:shd w:val="clear" w:color="auto" w:fill="auto"/>
          </w:tcPr>
          <w:p w14:paraId="45B665E0" w14:textId="77777777" w:rsidR="00853611" w:rsidRPr="00514F86" w:rsidRDefault="00853611" w:rsidP="008678CF">
            <w:pPr>
              <w:jc w:val="right"/>
              <w:rPr>
                <w:highlight w:val="yellow"/>
              </w:rPr>
            </w:pPr>
          </w:p>
          <w:p w14:paraId="016F0F41" w14:textId="77777777" w:rsidR="00853611" w:rsidRPr="00514F86" w:rsidRDefault="00853611" w:rsidP="008678CF">
            <w:pPr>
              <w:jc w:val="right"/>
              <w:rPr>
                <w:highlight w:val="yellow"/>
              </w:rPr>
            </w:pPr>
          </w:p>
          <w:p w14:paraId="1CA8F207" w14:textId="77777777" w:rsidR="00853611" w:rsidRPr="00514F86" w:rsidRDefault="00853611" w:rsidP="008678CF">
            <w:pPr>
              <w:jc w:val="right"/>
              <w:rPr>
                <w:highlight w:val="yellow"/>
              </w:rPr>
            </w:pPr>
          </w:p>
          <w:p w14:paraId="1859BFFA" w14:textId="77777777" w:rsidR="00853611" w:rsidRPr="00514F86" w:rsidRDefault="00853611" w:rsidP="008678CF">
            <w:pPr>
              <w:jc w:val="right"/>
              <w:rPr>
                <w:highlight w:val="yellow"/>
              </w:rPr>
            </w:pPr>
          </w:p>
          <w:p w14:paraId="46269919" w14:textId="77777777" w:rsidR="00853611" w:rsidRPr="00514F86" w:rsidRDefault="00853611" w:rsidP="008678CF">
            <w:pPr>
              <w:jc w:val="right"/>
              <w:rPr>
                <w:highlight w:val="yellow"/>
              </w:rPr>
            </w:pPr>
          </w:p>
          <w:p w14:paraId="51CC29E9" w14:textId="77777777" w:rsidR="00853611" w:rsidRPr="00514F86" w:rsidRDefault="00853611" w:rsidP="008678CF">
            <w:pPr>
              <w:jc w:val="right"/>
              <w:rPr>
                <w:highlight w:val="yellow"/>
              </w:rPr>
            </w:pPr>
          </w:p>
          <w:p w14:paraId="2070BF4A" w14:textId="77777777" w:rsidR="00853611" w:rsidRDefault="00853611" w:rsidP="008678CF">
            <w:pPr>
              <w:jc w:val="right"/>
            </w:pPr>
          </w:p>
          <w:p w14:paraId="20674616" w14:textId="77777777" w:rsidR="00853611" w:rsidRDefault="00853611" w:rsidP="008678CF">
            <w:pPr>
              <w:jc w:val="right"/>
            </w:pPr>
          </w:p>
          <w:p w14:paraId="34F8896B" w14:textId="77777777" w:rsidR="00853611" w:rsidRPr="00514F86" w:rsidRDefault="00853611" w:rsidP="008678CF">
            <w:pPr>
              <w:jc w:val="right"/>
              <w:rPr>
                <w:highlight w:val="yellow"/>
              </w:rPr>
            </w:pPr>
            <w:r w:rsidRPr="00866CD7">
              <w:t>1</w:t>
            </w:r>
            <w:r>
              <w:t>5 556 713 564</w:t>
            </w:r>
            <w:r w:rsidRPr="00866CD7">
              <w:t xml:space="preserve"> Kč</w:t>
            </w:r>
          </w:p>
        </w:tc>
      </w:tr>
      <w:tr w:rsidR="00853611" w:rsidRPr="00514F86" w14:paraId="4B81C86C" w14:textId="77777777" w:rsidTr="008678CF">
        <w:tc>
          <w:tcPr>
            <w:tcW w:w="567" w:type="dxa"/>
            <w:shd w:val="clear" w:color="auto" w:fill="auto"/>
          </w:tcPr>
          <w:p w14:paraId="06D46150" w14:textId="77777777" w:rsidR="00853611" w:rsidRPr="000A3BEE" w:rsidRDefault="00853611" w:rsidP="008678CF">
            <w:pPr>
              <w:numPr>
                <w:ilvl w:val="0"/>
                <w:numId w:val="8"/>
              </w:numPr>
            </w:pPr>
          </w:p>
        </w:tc>
        <w:tc>
          <w:tcPr>
            <w:tcW w:w="5670" w:type="dxa"/>
            <w:shd w:val="clear" w:color="auto" w:fill="auto"/>
          </w:tcPr>
          <w:p w14:paraId="1CA5FA94" w14:textId="77777777" w:rsidR="00853611" w:rsidRPr="001B1F77" w:rsidRDefault="00853611" w:rsidP="00876722">
            <w:r>
              <w:t>dorovnání platového nárůstu na církevních školách (o 177 421 000 Kč) a soukromých</w:t>
            </w:r>
            <w:r w:rsidDel="00403FFA">
              <w:t xml:space="preserve"> </w:t>
            </w:r>
            <w:r>
              <w:t>školách (o 607 579 000 Kč) …</w:t>
            </w:r>
            <w:r w:rsidR="00876722">
              <w:t>…</w:t>
            </w:r>
            <w:r>
              <w:t>……………………………..…</w:t>
            </w:r>
          </w:p>
        </w:tc>
        <w:tc>
          <w:tcPr>
            <w:tcW w:w="284" w:type="dxa"/>
            <w:shd w:val="clear" w:color="auto" w:fill="auto"/>
          </w:tcPr>
          <w:p w14:paraId="268AC24E" w14:textId="77777777" w:rsidR="00853611" w:rsidRDefault="00853611" w:rsidP="008678CF"/>
          <w:p w14:paraId="344CE934" w14:textId="77777777" w:rsidR="00853611" w:rsidRDefault="00853611" w:rsidP="008678CF"/>
          <w:p w14:paraId="059B3295" w14:textId="77777777" w:rsidR="00853611" w:rsidRDefault="00853611" w:rsidP="008678CF">
            <w:r>
              <w:t>+</w:t>
            </w:r>
          </w:p>
        </w:tc>
        <w:tc>
          <w:tcPr>
            <w:tcW w:w="2410" w:type="dxa"/>
            <w:shd w:val="clear" w:color="auto" w:fill="auto"/>
          </w:tcPr>
          <w:p w14:paraId="2DF02492" w14:textId="77777777" w:rsidR="00853611" w:rsidRDefault="00853611" w:rsidP="008678CF">
            <w:pPr>
              <w:jc w:val="right"/>
            </w:pPr>
          </w:p>
          <w:p w14:paraId="70B7AF7B" w14:textId="77777777" w:rsidR="00853611" w:rsidRDefault="00853611" w:rsidP="008678CF">
            <w:pPr>
              <w:jc w:val="right"/>
            </w:pPr>
          </w:p>
          <w:p w14:paraId="51D3F599" w14:textId="77777777" w:rsidR="00853611" w:rsidRDefault="00853611" w:rsidP="008678CF">
            <w:pPr>
              <w:jc w:val="right"/>
            </w:pPr>
            <w:r>
              <w:t>785 000 000 Kč</w:t>
            </w:r>
          </w:p>
        </w:tc>
      </w:tr>
      <w:tr w:rsidR="00853611" w:rsidRPr="00514F86" w14:paraId="08B55C29" w14:textId="77777777" w:rsidTr="008678CF">
        <w:tc>
          <w:tcPr>
            <w:tcW w:w="567" w:type="dxa"/>
            <w:shd w:val="clear" w:color="auto" w:fill="auto"/>
          </w:tcPr>
          <w:p w14:paraId="4CF2A8E8" w14:textId="77777777" w:rsidR="00853611" w:rsidRPr="000A3BEE" w:rsidRDefault="00853611" w:rsidP="008678CF">
            <w:pPr>
              <w:numPr>
                <w:ilvl w:val="0"/>
                <w:numId w:val="8"/>
              </w:numPr>
            </w:pPr>
          </w:p>
        </w:tc>
        <w:tc>
          <w:tcPr>
            <w:tcW w:w="5670" w:type="dxa"/>
            <w:shd w:val="clear" w:color="auto" w:fill="auto"/>
          </w:tcPr>
          <w:p w14:paraId="1446A5AC" w14:textId="77777777" w:rsidR="00853611" w:rsidRPr="001B1F77" w:rsidRDefault="00853611" w:rsidP="008678CF">
            <w:r w:rsidRPr="001B1F77">
              <w:t>nárůst platů</w:t>
            </w:r>
            <w:r>
              <w:t>,</w:t>
            </w:r>
            <w:r w:rsidRPr="001B1F77">
              <w:t xml:space="preserve"> příslušenství</w:t>
            </w:r>
            <w:r>
              <w:t xml:space="preserve"> a zaměstnanců </w:t>
            </w:r>
            <w:r w:rsidRPr="001B1F77">
              <w:t>na růst výkonů v</w:t>
            </w:r>
            <w:r>
              <w:t> </w:t>
            </w:r>
            <w:r w:rsidRPr="001B1F77">
              <w:t>RgŠ</w:t>
            </w:r>
            <w:r>
              <w:t xml:space="preserve"> …..………………..………………………………</w:t>
            </w:r>
          </w:p>
        </w:tc>
        <w:tc>
          <w:tcPr>
            <w:tcW w:w="284" w:type="dxa"/>
            <w:shd w:val="clear" w:color="auto" w:fill="auto"/>
          </w:tcPr>
          <w:p w14:paraId="754E85B5" w14:textId="77777777" w:rsidR="00853611" w:rsidRDefault="00853611" w:rsidP="008678CF"/>
          <w:p w14:paraId="606C62DE" w14:textId="77777777" w:rsidR="00853611" w:rsidRPr="001B1F77" w:rsidRDefault="00853611" w:rsidP="008678CF">
            <w:r w:rsidRPr="001B1F77">
              <w:t>+</w:t>
            </w:r>
          </w:p>
        </w:tc>
        <w:tc>
          <w:tcPr>
            <w:tcW w:w="2410" w:type="dxa"/>
            <w:shd w:val="clear" w:color="auto" w:fill="auto"/>
          </w:tcPr>
          <w:p w14:paraId="3919D111" w14:textId="77777777" w:rsidR="00853611" w:rsidRDefault="00853611" w:rsidP="008678CF">
            <w:pPr>
              <w:jc w:val="right"/>
            </w:pPr>
          </w:p>
          <w:p w14:paraId="2E763AAA" w14:textId="77777777" w:rsidR="00853611" w:rsidRPr="001B1F77" w:rsidRDefault="00853611" w:rsidP="008678CF">
            <w:pPr>
              <w:jc w:val="right"/>
            </w:pPr>
            <w:r>
              <w:t>1 370 902 000</w:t>
            </w:r>
            <w:r w:rsidRPr="001B1F77">
              <w:t xml:space="preserve"> Kč</w:t>
            </w:r>
          </w:p>
        </w:tc>
      </w:tr>
      <w:tr w:rsidR="00853611" w:rsidRPr="00514F86" w14:paraId="6A6715F1" w14:textId="77777777" w:rsidTr="008678CF">
        <w:tc>
          <w:tcPr>
            <w:tcW w:w="567" w:type="dxa"/>
            <w:shd w:val="clear" w:color="auto" w:fill="auto"/>
          </w:tcPr>
          <w:p w14:paraId="309D408D" w14:textId="77777777" w:rsidR="00853611" w:rsidRPr="00C96A64" w:rsidRDefault="00853611" w:rsidP="008678CF">
            <w:pPr>
              <w:numPr>
                <w:ilvl w:val="0"/>
                <w:numId w:val="8"/>
              </w:numPr>
            </w:pPr>
          </w:p>
        </w:tc>
        <w:tc>
          <w:tcPr>
            <w:tcW w:w="5670" w:type="dxa"/>
            <w:shd w:val="clear" w:color="auto" w:fill="auto"/>
          </w:tcPr>
          <w:p w14:paraId="1BC228C8" w14:textId="77777777" w:rsidR="00853611" w:rsidRPr="0053358A" w:rsidRDefault="00853611" w:rsidP="00876722">
            <w:r>
              <w:t>nárůst platů, příslušenství a zaměstnanců na zabezpečení speciálních vzdělávacích potřeb v RgŠ…...</w:t>
            </w:r>
            <w:r w:rsidRPr="0053358A">
              <w:t>…</w:t>
            </w:r>
            <w:r w:rsidR="00876722">
              <w:t>…...</w:t>
            </w:r>
            <w:r w:rsidRPr="0053358A">
              <w:t>…</w:t>
            </w:r>
            <w:r>
              <w:t>...</w:t>
            </w:r>
            <w:r w:rsidRPr="0053358A">
              <w:t>...</w:t>
            </w:r>
          </w:p>
        </w:tc>
        <w:tc>
          <w:tcPr>
            <w:tcW w:w="284" w:type="dxa"/>
            <w:shd w:val="clear" w:color="auto" w:fill="auto"/>
          </w:tcPr>
          <w:p w14:paraId="02A3460B" w14:textId="77777777" w:rsidR="00853611" w:rsidRDefault="00853611" w:rsidP="008678CF"/>
          <w:p w14:paraId="4CC2CF1D" w14:textId="77777777" w:rsidR="00853611" w:rsidRPr="0053358A" w:rsidRDefault="00853611" w:rsidP="008678CF">
            <w:r w:rsidRPr="0053358A">
              <w:t>+</w:t>
            </w:r>
          </w:p>
        </w:tc>
        <w:tc>
          <w:tcPr>
            <w:tcW w:w="2410" w:type="dxa"/>
            <w:shd w:val="clear" w:color="auto" w:fill="auto"/>
          </w:tcPr>
          <w:p w14:paraId="68907170" w14:textId="77777777" w:rsidR="00853611" w:rsidRDefault="00853611" w:rsidP="008678CF">
            <w:pPr>
              <w:jc w:val="right"/>
            </w:pPr>
          </w:p>
          <w:p w14:paraId="085CC7BB" w14:textId="77777777" w:rsidR="00853611" w:rsidRPr="0053358A" w:rsidRDefault="00853611" w:rsidP="008678CF">
            <w:pPr>
              <w:jc w:val="right"/>
            </w:pPr>
            <w:r>
              <w:t>2 165 000 000</w:t>
            </w:r>
            <w:r w:rsidRPr="0053358A">
              <w:t xml:space="preserve"> Kč</w:t>
            </w:r>
          </w:p>
        </w:tc>
      </w:tr>
      <w:tr w:rsidR="00853611" w:rsidRPr="008E53FA" w14:paraId="6EDA6AEA" w14:textId="77777777" w:rsidTr="008678CF">
        <w:tc>
          <w:tcPr>
            <w:tcW w:w="567" w:type="dxa"/>
            <w:shd w:val="clear" w:color="auto" w:fill="auto"/>
          </w:tcPr>
          <w:p w14:paraId="0FC1A38F" w14:textId="77777777" w:rsidR="00853611" w:rsidRPr="000A3BEE" w:rsidRDefault="00853611" w:rsidP="008678CF">
            <w:pPr>
              <w:numPr>
                <w:ilvl w:val="0"/>
                <w:numId w:val="8"/>
              </w:numPr>
            </w:pPr>
          </w:p>
        </w:tc>
        <w:tc>
          <w:tcPr>
            <w:tcW w:w="5670" w:type="dxa"/>
            <w:shd w:val="clear" w:color="auto" w:fill="auto"/>
          </w:tcPr>
          <w:p w14:paraId="12AC52BC" w14:textId="77777777" w:rsidR="00853611" w:rsidRPr="008E53FA" w:rsidRDefault="00853611" w:rsidP="008678CF">
            <w:r>
              <w:t>nárůst platů, příslušenství a zaměstnanců na rozšíření provozu mateřských škol (překryv 2,5 hodiny týdně) ….</w:t>
            </w:r>
          </w:p>
        </w:tc>
        <w:tc>
          <w:tcPr>
            <w:tcW w:w="284" w:type="dxa"/>
            <w:shd w:val="clear" w:color="auto" w:fill="auto"/>
          </w:tcPr>
          <w:p w14:paraId="77EEA918" w14:textId="77777777" w:rsidR="00853611" w:rsidRDefault="00853611" w:rsidP="008678CF"/>
          <w:p w14:paraId="19DA03C5" w14:textId="77777777" w:rsidR="00853611" w:rsidRPr="008E53FA" w:rsidRDefault="00853611" w:rsidP="008678CF">
            <w:r>
              <w:t>+</w:t>
            </w:r>
          </w:p>
        </w:tc>
        <w:tc>
          <w:tcPr>
            <w:tcW w:w="2410" w:type="dxa"/>
            <w:shd w:val="clear" w:color="auto" w:fill="auto"/>
          </w:tcPr>
          <w:p w14:paraId="5BCF4E64" w14:textId="77777777" w:rsidR="00853611" w:rsidRDefault="00853611" w:rsidP="008678CF">
            <w:pPr>
              <w:jc w:val="right"/>
            </w:pPr>
          </w:p>
          <w:p w14:paraId="3AFF4A84" w14:textId="77777777" w:rsidR="00853611" w:rsidRPr="008E53FA" w:rsidRDefault="00853611" w:rsidP="008678CF">
            <w:pPr>
              <w:jc w:val="right"/>
            </w:pPr>
            <w:r>
              <w:t>1 800 000 000 Kč</w:t>
            </w:r>
          </w:p>
        </w:tc>
      </w:tr>
      <w:tr w:rsidR="00853611" w:rsidRPr="008E53FA" w14:paraId="376AA726" w14:textId="77777777" w:rsidTr="008678CF">
        <w:tc>
          <w:tcPr>
            <w:tcW w:w="567" w:type="dxa"/>
            <w:shd w:val="clear" w:color="auto" w:fill="auto"/>
          </w:tcPr>
          <w:p w14:paraId="4C447F5B" w14:textId="77777777" w:rsidR="00853611" w:rsidRPr="000A3BEE" w:rsidRDefault="00853611" w:rsidP="008678CF">
            <w:pPr>
              <w:numPr>
                <w:ilvl w:val="0"/>
                <w:numId w:val="8"/>
              </w:numPr>
            </w:pPr>
          </w:p>
        </w:tc>
        <w:tc>
          <w:tcPr>
            <w:tcW w:w="5670" w:type="dxa"/>
            <w:shd w:val="clear" w:color="auto" w:fill="auto"/>
          </w:tcPr>
          <w:p w14:paraId="7AD692B5" w14:textId="77777777" w:rsidR="00853611" w:rsidRPr="008E53FA" w:rsidRDefault="00853611" w:rsidP="008678CF">
            <w:r w:rsidRPr="008E53FA">
              <w:t>nárůst výdajů na sport ……..…..…</w:t>
            </w:r>
            <w:r>
              <w:t>…..</w:t>
            </w:r>
            <w:r w:rsidRPr="008E53FA">
              <w:t>…………</w:t>
            </w:r>
            <w:r>
              <w:t>…</w:t>
            </w:r>
            <w:r w:rsidRPr="008E53FA">
              <w:t>…....</w:t>
            </w:r>
          </w:p>
        </w:tc>
        <w:tc>
          <w:tcPr>
            <w:tcW w:w="284" w:type="dxa"/>
            <w:shd w:val="clear" w:color="auto" w:fill="auto"/>
          </w:tcPr>
          <w:p w14:paraId="14C722FE" w14:textId="77777777" w:rsidR="00853611" w:rsidRPr="008E53FA" w:rsidRDefault="00853611" w:rsidP="008678CF">
            <w:r w:rsidRPr="008E53FA">
              <w:t>+</w:t>
            </w:r>
          </w:p>
        </w:tc>
        <w:tc>
          <w:tcPr>
            <w:tcW w:w="2410" w:type="dxa"/>
            <w:shd w:val="clear" w:color="auto" w:fill="auto"/>
          </w:tcPr>
          <w:p w14:paraId="369619DB" w14:textId="77777777" w:rsidR="00853611" w:rsidRPr="008E53FA" w:rsidRDefault="00853611" w:rsidP="008678CF">
            <w:pPr>
              <w:jc w:val="right"/>
            </w:pPr>
            <w:r w:rsidRPr="008E53FA">
              <w:t>1 000 000 000 Kč</w:t>
            </w:r>
          </w:p>
        </w:tc>
      </w:tr>
      <w:tr w:rsidR="00853611" w:rsidRPr="00514F86" w14:paraId="106ECCB1" w14:textId="77777777" w:rsidTr="008678CF">
        <w:tc>
          <w:tcPr>
            <w:tcW w:w="567" w:type="dxa"/>
            <w:shd w:val="clear" w:color="auto" w:fill="auto"/>
          </w:tcPr>
          <w:p w14:paraId="119B2650" w14:textId="77777777" w:rsidR="00853611" w:rsidRPr="000A3BEE" w:rsidRDefault="00853611" w:rsidP="008678CF">
            <w:pPr>
              <w:numPr>
                <w:ilvl w:val="0"/>
                <w:numId w:val="8"/>
              </w:numPr>
            </w:pPr>
          </w:p>
        </w:tc>
        <w:tc>
          <w:tcPr>
            <w:tcW w:w="5670" w:type="dxa"/>
            <w:shd w:val="clear" w:color="auto" w:fill="auto"/>
          </w:tcPr>
          <w:p w14:paraId="081985CF" w14:textId="7F807D46" w:rsidR="00853611" w:rsidRPr="00F71F7D" w:rsidRDefault="00853611" w:rsidP="008678CF">
            <w:r>
              <w:t xml:space="preserve">nárůst platů, příslušenství a zaměstnanců základních a středních </w:t>
            </w:r>
            <w:r w:rsidR="00B8183F">
              <w:t>škol (tzv.</w:t>
            </w:r>
            <w:r>
              <w:t xml:space="preserve"> PH</w:t>
            </w:r>
            <w:r w:rsidRPr="008E53FA">
              <w:rPr>
                <w:vertAlign w:val="subscript"/>
              </w:rPr>
              <w:t>max</w:t>
            </w:r>
            <w:r>
              <w:t>)…………………..…......</w:t>
            </w:r>
            <w:r w:rsidRPr="00F71F7D">
              <w:t>…</w:t>
            </w:r>
          </w:p>
        </w:tc>
        <w:tc>
          <w:tcPr>
            <w:tcW w:w="284" w:type="dxa"/>
            <w:shd w:val="clear" w:color="auto" w:fill="auto"/>
          </w:tcPr>
          <w:p w14:paraId="562F1942" w14:textId="77777777" w:rsidR="00853611" w:rsidRPr="00F71F7D" w:rsidRDefault="00853611" w:rsidP="008678CF"/>
          <w:p w14:paraId="67E8E89E" w14:textId="77777777" w:rsidR="00853611" w:rsidRPr="00F71F7D" w:rsidRDefault="00853611" w:rsidP="008678CF">
            <w:r w:rsidRPr="00F71F7D">
              <w:t>+</w:t>
            </w:r>
          </w:p>
        </w:tc>
        <w:tc>
          <w:tcPr>
            <w:tcW w:w="2410" w:type="dxa"/>
            <w:shd w:val="clear" w:color="auto" w:fill="auto"/>
          </w:tcPr>
          <w:p w14:paraId="6D30E7F6" w14:textId="77777777" w:rsidR="00853611" w:rsidRPr="00F71F7D" w:rsidRDefault="00853611" w:rsidP="008678CF">
            <w:pPr>
              <w:jc w:val="right"/>
            </w:pPr>
          </w:p>
          <w:p w14:paraId="083FBE28" w14:textId="77777777" w:rsidR="00853611" w:rsidRPr="00F71F7D" w:rsidRDefault="00853611" w:rsidP="008678CF">
            <w:pPr>
              <w:jc w:val="right"/>
            </w:pPr>
            <w:r>
              <w:t>700 000 000</w:t>
            </w:r>
            <w:r w:rsidRPr="00F71F7D">
              <w:t xml:space="preserve"> Kč</w:t>
            </w:r>
          </w:p>
        </w:tc>
      </w:tr>
      <w:tr w:rsidR="00853611" w:rsidRPr="00514F86" w14:paraId="0BFD9C1C" w14:textId="77777777" w:rsidTr="008678CF">
        <w:tc>
          <w:tcPr>
            <w:tcW w:w="567" w:type="dxa"/>
            <w:shd w:val="clear" w:color="auto" w:fill="auto"/>
          </w:tcPr>
          <w:p w14:paraId="05AF52B5" w14:textId="77777777" w:rsidR="00853611" w:rsidRPr="000A3BEE" w:rsidRDefault="00853611" w:rsidP="008678CF">
            <w:pPr>
              <w:numPr>
                <w:ilvl w:val="0"/>
                <w:numId w:val="8"/>
              </w:numPr>
            </w:pPr>
          </w:p>
        </w:tc>
        <w:tc>
          <w:tcPr>
            <w:tcW w:w="5670" w:type="dxa"/>
            <w:shd w:val="clear" w:color="auto" w:fill="auto"/>
          </w:tcPr>
          <w:p w14:paraId="3204AA45" w14:textId="77777777" w:rsidR="00853611" w:rsidRPr="00F71F7D" w:rsidRDefault="00853611" w:rsidP="008678CF">
            <w:r>
              <w:t>nárůst platů příslušenství a zaměstnanců na speciální školství RgŠ………………………….………………….</w:t>
            </w:r>
          </w:p>
        </w:tc>
        <w:tc>
          <w:tcPr>
            <w:tcW w:w="284" w:type="dxa"/>
            <w:shd w:val="clear" w:color="auto" w:fill="auto"/>
          </w:tcPr>
          <w:p w14:paraId="7804DB9A" w14:textId="77777777" w:rsidR="00853611" w:rsidRDefault="00853611" w:rsidP="008678CF"/>
          <w:p w14:paraId="6D69882C" w14:textId="77777777" w:rsidR="00853611" w:rsidRPr="00F71F7D" w:rsidRDefault="00853611" w:rsidP="008678CF">
            <w:r>
              <w:t>+</w:t>
            </w:r>
          </w:p>
        </w:tc>
        <w:tc>
          <w:tcPr>
            <w:tcW w:w="2410" w:type="dxa"/>
            <w:shd w:val="clear" w:color="auto" w:fill="auto"/>
          </w:tcPr>
          <w:p w14:paraId="0499E91D" w14:textId="77777777" w:rsidR="00853611" w:rsidRDefault="00853611" w:rsidP="008678CF">
            <w:pPr>
              <w:jc w:val="right"/>
            </w:pPr>
          </w:p>
          <w:p w14:paraId="1F90AB05" w14:textId="77777777" w:rsidR="00853611" w:rsidRPr="00F71F7D" w:rsidRDefault="00853611" w:rsidP="008678CF">
            <w:pPr>
              <w:jc w:val="right"/>
            </w:pPr>
            <w:r>
              <w:t>800 000 000 Kč</w:t>
            </w:r>
          </w:p>
        </w:tc>
      </w:tr>
      <w:tr w:rsidR="00853611" w:rsidRPr="00514F86" w14:paraId="74C507D9" w14:textId="77777777" w:rsidTr="008678CF">
        <w:tc>
          <w:tcPr>
            <w:tcW w:w="567" w:type="dxa"/>
            <w:shd w:val="clear" w:color="auto" w:fill="auto"/>
          </w:tcPr>
          <w:p w14:paraId="1B5AA7FB" w14:textId="77777777" w:rsidR="00853611" w:rsidRPr="000A3BEE" w:rsidRDefault="00853611" w:rsidP="008678CF">
            <w:pPr>
              <w:numPr>
                <w:ilvl w:val="0"/>
                <w:numId w:val="8"/>
              </w:numPr>
            </w:pPr>
          </w:p>
        </w:tc>
        <w:tc>
          <w:tcPr>
            <w:tcW w:w="5670" w:type="dxa"/>
            <w:shd w:val="clear" w:color="auto" w:fill="auto"/>
          </w:tcPr>
          <w:p w14:paraId="7FEAF86F" w14:textId="77777777" w:rsidR="00853611" w:rsidRDefault="00853611" w:rsidP="008678CF">
            <w:r>
              <w:t>nárůst výdajů na vysoké školy (podpora pedagogických a lékařských fakult, nový investiční program a posílení mezd).…………………………………………………...</w:t>
            </w:r>
          </w:p>
        </w:tc>
        <w:tc>
          <w:tcPr>
            <w:tcW w:w="284" w:type="dxa"/>
            <w:shd w:val="clear" w:color="auto" w:fill="auto"/>
          </w:tcPr>
          <w:p w14:paraId="7449B9A0" w14:textId="77777777" w:rsidR="00853611" w:rsidRDefault="00853611" w:rsidP="008678CF"/>
          <w:p w14:paraId="4B632057" w14:textId="77777777" w:rsidR="00853611" w:rsidRDefault="00853611" w:rsidP="008678CF"/>
          <w:p w14:paraId="34DC9521" w14:textId="77777777" w:rsidR="00853611" w:rsidRDefault="00853611" w:rsidP="008678CF">
            <w:r>
              <w:t>+</w:t>
            </w:r>
          </w:p>
        </w:tc>
        <w:tc>
          <w:tcPr>
            <w:tcW w:w="2410" w:type="dxa"/>
            <w:shd w:val="clear" w:color="auto" w:fill="auto"/>
          </w:tcPr>
          <w:p w14:paraId="0D51DF92" w14:textId="77777777" w:rsidR="00853611" w:rsidRDefault="00853611" w:rsidP="008678CF">
            <w:pPr>
              <w:jc w:val="right"/>
            </w:pPr>
          </w:p>
          <w:p w14:paraId="18FA8995" w14:textId="77777777" w:rsidR="00853611" w:rsidRDefault="00853611" w:rsidP="008678CF">
            <w:pPr>
              <w:jc w:val="right"/>
            </w:pPr>
          </w:p>
          <w:p w14:paraId="5E7CCCAE" w14:textId="77777777" w:rsidR="00853611" w:rsidRDefault="00853611" w:rsidP="008678CF">
            <w:pPr>
              <w:jc w:val="right"/>
            </w:pPr>
            <w:r>
              <w:t>2 000 000 000 Kč</w:t>
            </w:r>
          </w:p>
        </w:tc>
      </w:tr>
      <w:tr w:rsidR="00853611" w:rsidRPr="00514F86" w14:paraId="1A650A44" w14:textId="77777777" w:rsidTr="008678CF">
        <w:tc>
          <w:tcPr>
            <w:tcW w:w="567" w:type="dxa"/>
            <w:shd w:val="clear" w:color="auto" w:fill="auto"/>
          </w:tcPr>
          <w:p w14:paraId="45CB0B77" w14:textId="77777777" w:rsidR="00853611" w:rsidRPr="000A3BEE" w:rsidRDefault="00853611" w:rsidP="008678CF">
            <w:pPr>
              <w:numPr>
                <w:ilvl w:val="0"/>
                <w:numId w:val="8"/>
              </w:numPr>
            </w:pPr>
          </w:p>
        </w:tc>
        <w:tc>
          <w:tcPr>
            <w:tcW w:w="5670" w:type="dxa"/>
            <w:shd w:val="clear" w:color="auto" w:fill="auto"/>
          </w:tcPr>
          <w:p w14:paraId="1983A2FC" w14:textId="1C4D31B0" w:rsidR="00853611" w:rsidRPr="000C7277" w:rsidRDefault="00853611" w:rsidP="00542AE0">
            <w:r w:rsidRPr="000C7277">
              <w:t>nárůst o objem, o který byl rozpočet na r. 2018 krácen (tj. 600 000 000 Kč v běžných výdajích</w:t>
            </w:r>
            <w:r w:rsidR="00542AE0">
              <w:t>, o </w:t>
            </w:r>
            <w:r>
              <w:t>25 053 872 </w:t>
            </w:r>
            <w:r w:rsidRPr="000C7277">
              <w:t>Kč v</w:t>
            </w:r>
            <w:r>
              <w:t> </w:t>
            </w:r>
            <w:r w:rsidRPr="000C7277">
              <w:t>investicích</w:t>
            </w:r>
            <w:r>
              <w:t xml:space="preserve"> …..</w:t>
            </w:r>
            <w:r w:rsidRPr="000C7277">
              <w:t>……………</w:t>
            </w:r>
            <w:r>
              <w:t>….</w:t>
            </w:r>
            <w:r w:rsidRPr="000C7277">
              <w:t>…</w:t>
            </w:r>
            <w:r w:rsidR="00876722">
              <w:t>….</w:t>
            </w:r>
          </w:p>
        </w:tc>
        <w:tc>
          <w:tcPr>
            <w:tcW w:w="284" w:type="dxa"/>
            <w:shd w:val="clear" w:color="auto" w:fill="auto"/>
          </w:tcPr>
          <w:p w14:paraId="6A104D59" w14:textId="77777777" w:rsidR="00853611" w:rsidRPr="000C7277" w:rsidRDefault="00853611" w:rsidP="008678CF"/>
          <w:p w14:paraId="0E744B31" w14:textId="77777777" w:rsidR="00853611" w:rsidRPr="000C7277" w:rsidRDefault="00853611" w:rsidP="008678CF"/>
          <w:p w14:paraId="1E7553F2" w14:textId="77777777" w:rsidR="00853611" w:rsidRPr="000C7277" w:rsidRDefault="00853611" w:rsidP="008678CF">
            <w:r w:rsidRPr="000C7277">
              <w:t>+</w:t>
            </w:r>
          </w:p>
        </w:tc>
        <w:tc>
          <w:tcPr>
            <w:tcW w:w="2410" w:type="dxa"/>
            <w:shd w:val="clear" w:color="auto" w:fill="auto"/>
          </w:tcPr>
          <w:p w14:paraId="162226C9" w14:textId="77777777" w:rsidR="00853611" w:rsidRPr="000C7277" w:rsidRDefault="00853611" w:rsidP="008678CF">
            <w:pPr>
              <w:jc w:val="right"/>
            </w:pPr>
          </w:p>
          <w:p w14:paraId="3736A584" w14:textId="77777777" w:rsidR="00853611" w:rsidRPr="000C7277" w:rsidRDefault="00853611" w:rsidP="008678CF">
            <w:pPr>
              <w:jc w:val="right"/>
            </w:pPr>
          </w:p>
          <w:p w14:paraId="46789125" w14:textId="77777777" w:rsidR="00853611" w:rsidRPr="000C7277" w:rsidRDefault="00853611" w:rsidP="008678CF">
            <w:pPr>
              <w:jc w:val="right"/>
            </w:pPr>
            <w:r w:rsidRPr="000C7277">
              <w:t>625 053 872 Kč</w:t>
            </w:r>
          </w:p>
        </w:tc>
      </w:tr>
      <w:tr w:rsidR="00853611" w:rsidRPr="00514F86" w14:paraId="788CCAAB" w14:textId="77777777" w:rsidTr="008678CF">
        <w:tc>
          <w:tcPr>
            <w:tcW w:w="567" w:type="dxa"/>
            <w:shd w:val="clear" w:color="auto" w:fill="auto"/>
          </w:tcPr>
          <w:p w14:paraId="314793AB" w14:textId="77777777" w:rsidR="00853611" w:rsidRPr="00C96A64" w:rsidRDefault="00853611" w:rsidP="008678CF">
            <w:pPr>
              <w:numPr>
                <w:ilvl w:val="0"/>
                <w:numId w:val="8"/>
              </w:numPr>
            </w:pPr>
          </w:p>
        </w:tc>
        <w:tc>
          <w:tcPr>
            <w:tcW w:w="5670" w:type="dxa"/>
            <w:shd w:val="clear" w:color="auto" w:fill="auto"/>
          </w:tcPr>
          <w:p w14:paraId="21F8CD1B" w14:textId="77777777" w:rsidR="00853611" w:rsidRPr="008C2412" w:rsidRDefault="00853611" w:rsidP="008678CF">
            <w:r w:rsidRPr="008C2412">
              <w:t>nárůst výdajů na zahraniční rozvojovou</w:t>
            </w:r>
            <w:r>
              <w:t xml:space="preserve"> </w:t>
            </w:r>
            <w:r w:rsidRPr="008C2412">
              <w:t>spolupráci</w:t>
            </w:r>
            <w:r>
              <w:t xml:space="preserve"> ….</w:t>
            </w:r>
            <w:r w:rsidRPr="008C2412">
              <w:t>..</w:t>
            </w:r>
            <w:r>
              <w:t>.</w:t>
            </w:r>
          </w:p>
        </w:tc>
        <w:tc>
          <w:tcPr>
            <w:tcW w:w="284" w:type="dxa"/>
            <w:shd w:val="clear" w:color="auto" w:fill="auto"/>
          </w:tcPr>
          <w:p w14:paraId="60E1514F" w14:textId="77777777" w:rsidR="00853611" w:rsidRPr="008C2412" w:rsidRDefault="00853611" w:rsidP="008678CF">
            <w:r w:rsidRPr="008C2412">
              <w:t>+</w:t>
            </w:r>
          </w:p>
        </w:tc>
        <w:tc>
          <w:tcPr>
            <w:tcW w:w="2410" w:type="dxa"/>
            <w:shd w:val="clear" w:color="auto" w:fill="auto"/>
          </w:tcPr>
          <w:p w14:paraId="3EF92EFF" w14:textId="77777777" w:rsidR="00853611" w:rsidRPr="008C2412" w:rsidRDefault="00853611" w:rsidP="008678CF">
            <w:pPr>
              <w:jc w:val="right"/>
            </w:pPr>
            <w:r>
              <w:t>13 500 000</w:t>
            </w:r>
            <w:r w:rsidRPr="008C2412">
              <w:t xml:space="preserve"> Kč</w:t>
            </w:r>
          </w:p>
        </w:tc>
      </w:tr>
      <w:tr w:rsidR="00853611" w:rsidRPr="00514F86" w14:paraId="11306313" w14:textId="77777777" w:rsidTr="008678CF">
        <w:tc>
          <w:tcPr>
            <w:tcW w:w="567" w:type="dxa"/>
            <w:shd w:val="clear" w:color="auto" w:fill="auto"/>
          </w:tcPr>
          <w:p w14:paraId="4C4800C0" w14:textId="77777777" w:rsidR="00853611" w:rsidRPr="00C96A64" w:rsidRDefault="00853611" w:rsidP="008678CF">
            <w:pPr>
              <w:numPr>
                <w:ilvl w:val="0"/>
                <w:numId w:val="8"/>
              </w:numPr>
            </w:pPr>
          </w:p>
        </w:tc>
        <w:tc>
          <w:tcPr>
            <w:tcW w:w="5670" w:type="dxa"/>
            <w:shd w:val="clear" w:color="auto" w:fill="auto"/>
          </w:tcPr>
          <w:p w14:paraId="01519EB2" w14:textId="77777777" w:rsidR="00853611" w:rsidRPr="00A045C2" w:rsidRDefault="00853611" w:rsidP="008678CF">
            <w:r>
              <w:t>nárůst výdajů RgŠ na rekreaci dětí v dětských domovech.……………………………………………….</w:t>
            </w:r>
          </w:p>
        </w:tc>
        <w:tc>
          <w:tcPr>
            <w:tcW w:w="284" w:type="dxa"/>
            <w:shd w:val="clear" w:color="auto" w:fill="auto"/>
          </w:tcPr>
          <w:p w14:paraId="3341B715" w14:textId="77777777" w:rsidR="00853611" w:rsidRDefault="00853611" w:rsidP="008678CF"/>
          <w:p w14:paraId="7B195EBE" w14:textId="77777777" w:rsidR="00853611" w:rsidRPr="00A045C2" w:rsidRDefault="00853611" w:rsidP="008678CF">
            <w:r>
              <w:t>+</w:t>
            </w:r>
          </w:p>
        </w:tc>
        <w:tc>
          <w:tcPr>
            <w:tcW w:w="2410" w:type="dxa"/>
            <w:shd w:val="clear" w:color="auto" w:fill="auto"/>
          </w:tcPr>
          <w:p w14:paraId="17549A9F" w14:textId="77777777" w:rsidR="00853611" w:rsidRDefault="00853611" w:rsidP="008678CF">
            <w:pPr>
              <w:jc w:val="right"/>
            </w:pPr>
          </w:p>
          <w:p w14:paraId="23BC7DBC" w14:textId="77777777" w:rsidR="00853611" w:rsidRPr="00A045C2" w:rsidRDefault="00853611" w:rsidP="008678CF">
            <w:pPr>
              <w:jc w:val="right"/>
            </w:pPr>
            <w:r>
              <w:t>15 000 000 Kč</w:t>
            </w:r>
          </w:p>
        </w:tc>
      </w:tr>
      <w:tr w:rsidR="00853611" w:rsidRPr="00514F86" w14:paraId="3349A819" w14:textId="77777777" w:rsidTr="008678CF">
        <w:tc>
          <w:tcPr>
            <w:tcW w:w="567" w:type="dxa"/>
            <w:shd w:val="clear" w:color="auto" w:fill="auto"/>
          </w:tcPr>
          <w:p w14:paraId="08559836" w14:textId="77777777" w:rsidR="00853611" w:rsidRPr="00C96A64" w:rsidRDefault="00853611" w:rsidP="008678CF">
            <w:pPr>
              <w:numPr>
                <w:ilvl w:val="0"/>
                <w:numId w:val="8"/>
              </w:numPr>
            </w:pPr>
          </w:p>
        </w:tc>
        <w:tc>
          <w:tcPr>
            <w:tcW w:w="5670" w:type="dxa"/>
            <w:shd w:val="clear" w:color="auto" w:fill="auto"/>
          </w:tcPr>
          <w:p w14:paraId="56BD0DF5" w14:textId="287A1957" w:rsidR="00853611" w:rsidRDefault="00853611" w:rsidP="008678CF">
            <w:r>
              <w:t xml:space="preserve">snížení výdajů podle vlády (tzv. užší provozní výdaje o 14 679 149 Kč a za neobsazená místa </w:t>
            </w:r>
            <w:r>
              <w:lastRenderedPageBreak/>
              <w:t>o 53 270 191 Kč)………………………………………..</w:t>
            </w:r>
          </w:p>
        </w:tc>
        <w:tc>
          <w:tcPr>
            <w:tcW w:w="284" w:type="dxa"/>
            <w:shd w:val="clear" w:color="auto" w:fill="auto"/>
          </w:tcPr>
          <w:p w14:paraId="2DCD4EA4" w14:textId="77777777" w:rsidR="00853611" w:rsidRDefault="00853611" w:rsidP="008678CF"/>
          <w:p w14:paraId="384EACDD" w14:textId="77777777" w:rsidR="00853611" w:rsidRDefault="00853611" w:rsidP="008678CF"/>
          <w:p w14:paraId="3D4A7878" w14:textId="77777777" w:rsidR="00853611" w:rsidRPr="00A045C2" w:rsidRDefault="00853611" w:rsidP="008678CF">
            <w:r>
              <w:lastRenderedPageBreak/>
              <w:t>-</w:t>
            </w:r>
          </w:p>
        </w:tc>
        <w:tc>
          <w:tcPr>
            <w:tcW w:w="2410" w:type="dxa"/>
            <w:shd w:val="clear" w:color="auto" w:fill="auto"/>
          </w:tcPr>
          <w:p w14:paraId="6CFC79CB" w14:textId="77777777" w:rsidR="00853611" w:rsidRDefault="00853611" w:rsidP="008678CF"/>
          <w:p w14:paraId="2CD957A9" w14:textId="77777777" w:rsidR="00853611" w:rsidRDefault="00853611" w:rsidP="008678CF">
            <w:pPr>
              <w:jc w:val="right"/>
            </w:pPr>
          </w:p>
          <w:p w14:paraId="2904AC10" w14:textId="77777777" w:rsidR="00853611" w:rsidRPr="00A045C2" w:rsidRDefault="00853611" w:rsidP="008678CF">
            <w:pPr>
              <w:jc w:val="right"/>
            </w:pPr>
            <w:r>
              <w:lastRenderedPageBreak/>
              <w:t>67 949 340 Kč</w:t>
            </w:r>
          </w:p>
        </w:tc>
      </w:tr>
      <w:tr w:rsidR="00853611" w:rsidRPr="00514F86" w14:paraId="1071E925" w14:textId="77777777" w:rsidTr="008678CF">
        <w:tc>
          <w:tcPr>
            <w:tcW w:w="567" w:type="dxa"/>
            <w:shd w:val="clear" w:color="auto" w:fill="auto"/>
          </w:tcPr>
          <w:p w14:paraId="2BC28918" w14:textId="77777777" w:rsidR="00853611" w:rsidRPr="00C96A64" w:rsidRDefault="00853611" w:rsidP="008678CF">
            <w:pPr>
              <w:numPr>
                <w:ilvl w:val="0"/>
                <w:numId w:val="8"/>
              </w:numPr>
            </w:pPr>
          </w:p>
        </w:tc>
        <w:tc>
          <w:tcPr>
            <w:tcW w:w="5670" w:type="dxa"/>
            <w:shd w:val="clear" w:color="auto" w:fill="auto"/>
          </w:tcPr>
          <w:p w14:paraId="61123888" w14:textId="77777777" w:rsidR="00853611" w:rsidRPr="00A045C2" w:rsidRDefault="00853611" w:rsidP="00876722">
            <w:r>
              <w:t>úpravy výdajů kapitoly na úkoly, které skončily v r. 2018 (kontinentální pohár v atletice  20 000 000 Kč, investiční program 133 310 o 300 000 000 Kč, Komenského škola ve Vídni o 1 086 400 Kč, významná výročí v r. 2018 o 21 068 500 Kč)……………………</w:t>
            </w:r>
            <w:r w:rsidR="00876722">
              <w:t>…</w:t>
            </w:r>
          </w:p>
        </w:tc>
        <w:tc>
          <w:tcPr>
            <w:tcW w:w="284" w:type="dxa"/>
            <w:shd w:val="clear" w:color="auto" w:fill="auto"/>
          </w:tcPr>
          <w:p w14:paraId="130F98F1" w14:textId="77777777" w:rsidR="00853611" w:rsidRPr="00A045C2" w:rsidRDefault="00853611" w:rsidP="008678CF"/>
          <w:p w14:paraId="586B1FBB" w14:textId="77777777" w:rsidR="00853611" w:rsidRDefault="00853611" w:rsidP="008678CF"/>
          <w:p w14:paraId="20AD1C08" w14:textId="77777777" w:rsidR="00853611" w:rsidRDefault="00853611" w:rsidP="008678CF"/>
          <w:p w14:paraId="2C19233E" w14:textId="77777777" w:rsidR="00853611" w:rsidRDefault="00853611" w:rsidP="008678CF"/>
          <w:p w14:paraId="5B69CE2C" w14:textId="77777777" w:rsidR="00853611" w:rsidRPr="00A045C2" w:rsidRDefault="00853611" w:rsidP="008678CF">
            <w:r w:rsidRPr="00A045C2">
              <w:t>-</w:t>
            </w:r>
          </w:p>
        </w:tc>
        <w:tc>
          <w:tcPr>
            <w:tcW w:w="2410" w:type="dxa"/>
            <w:shd w:val="clear" w:color="auto" w:fill="auto"/>
          </w:tcPr>
          <w:p w14:paraId="05176739" w14:textId="77777777" w:rsidR="00853611" w:rsidRPr="00A045C2" w:rsidRDefault="00853611" w:rsidP="008678CF"/>
          <w:p w14:paraId="6DDFA522" w14:textId="77777777" w:rsidR="00853611" w:rsidRDefault="00853611" w:rsidP="008678CF">
            <w:pPr>
              <w:jc w:val="right"/>
            </w:pPr>
          </w:p>
          <w:p w14:paraId="37CF08BB" w14:textId="77777777" w:rsidR="00853611" w:rsidRDefault="00853611" w:rsidP="008678CF"/>
          <w:p w14:paraId="1C8EBFAF" w14:textId="77777777" w:rsidR="00853611" w:rsidRDefault="00853611" w:rsidP="008678CF">
            <w:pPr>
              <w:jc w:val="right"/>
            </w:pPr>
          </w:p>
          <w:p w14:paraId="2B5C5692" w14:textId="77777777" w:rsidR="00853611" w:rsidRPr="00A045C2" w:rsidRDefault="00853611" w:rsidP="008678CF">
            <w:pPr>
              <w:jc w:val="right"/>
            </w:pPr>
            <w:r>
              <w:t>339 982 100</w:t>
            </w:r>
            <w:r w:rsidRPr="00A045C2">
              <w:t xml:space="preserve"> Kč</w:t>
            </w:r>
          </w:p>
        </w:tc>
      </w:tr>
      <w:tr w:rsidR="00853611" w:rsidRPr="00514F86" w14:paraId="1DF637D9" w14:textId="77777777" w:rsidTr="008678CF">
        <w:tc>
          <w:tcPr>
            <w:tcW w:w="567" w:type="dxa"/>
            <w:shd w:val="clear" w:color="auto" w:fill="auto"/>
          </w:tcPr>
          <w:p w14:paraId="7D09FC91" w14:textId="77777777" w:rsidR="00853611" w:rsidRPr="004C3C33" w:rsidRDefault="00853611" w:rsidP="008678CF">
            <w:pPr>
              <w:numPr>
                <w:ilvl w:val="0"/>
                <w:numId w:val="8"/>
              </w:numPr>
            </w:pPr>
          </w:p>
        </w:tc>
        <w:tc>
          <w:tcPr>
            <w:tcW w:w="5670" w:type="dxa"/>
            <w:shd w:val="clear" w:color="auto" w:fill="auto"/>
          </w:tcPr>
          <w:p w14:paraId="032B3580" w14:textId="77777777" w:rsidR="00853611" w:rsidRPr="00FD51E4" w:rsidRDefault="00853611" w:rsidP="008678CF">
            <w:r>
              <w:t>přesuny …………………...</w:t>
            </w:r>
            <w:r w:rsidRPr="00FD51E4">
              <w:t>………..................................</w:t>
            </w:r>
          </w:p>
        </w:tc>
        <w:tc>
          <w:tcPr>
            <w:tcW w:w="284" w:type="dxa"/>
            <w:shd w:val="clear" w:color="auto" w:fill="auto"/>
          </w:tcPr>
          <w:p w14:paraId="2BB0157D" w14:textId="77777777" w:rsidR="00853611" w:rsidRPr="00FD51E4" w:rsidRDefault="00853611" w:rsidP="008678CF"/>
        </w:tc>
        <w:tc>
          <w:tcPr>
            <w:tcW w:w="2410" w:type="dxa"/>
            <w:shd w:val="clear" w:color="auto" w:fill="auto"/>
          </w:tcPr>
          <w:p w14:paraId="1D3539C7" w14:textId="77777777" w:rsidR="00853611" w:rsidRPr="00FD51E4" w:rsidRDefault="00853611" w:rsidP="008678CF">
            <w:pPr>
              <w:jc w:val="right"/>
            </w:pPr>
            <w:r w:rsidRPr="00FD51E4">
              <w:t>0 Kč</w:t>
            </w:r>
          </w:p>
        </w:tc>
      </w:tr>
      <w:tr w:rsidR="00853611" w:rsidRPr="00514F86" w14:paraId="0ACD00D1" w14:textId="77777777" w:rsidTr="008678CF">
        <w:trPr>
          <w:gridAfter w:val="3"/>
          <w:wAfter w:w="8364" w:type="dxa"/>
        </w:trPr>
        <w:tc>
          <w:tcPr>
            <w:tcW w:w="567" w:type="dxa"/>
            <w:shd w:val="clear" w:color="auto" w:fill="auto"/>
          </w:tcPr>
          <w:p w14:paraId="09C94E49" w14:textId="77777777" w:rsidR="00853611" w:rsidRPr="007E02C6" w:rsidRDefault="00853611" w:rsidP="008678CF">
            <w:pPr>
              <w:rPr>
                <w:rFonts w:eastAsia="Calibri"/>
                <w:szCs w:val="24"/>
                <w:lang w:eastAsia="en-US"/>
              </w:rPr>
            </w:pPr>
          </w:p>
        </w:tc>
      </w:tr>
      <w:tr w:rsidR="00853611" w:rsidRPr="00514F86" w14:paraId="38BE8239" w14:textId="77777777" w:rsidTr="008678CF">
        <w:tc>
          <w:tcPr>
            <w:tcW w:w="567" w:type="dxa"/>
            <w:shd w:val="clear" w:color="auto" w:fill="auto"/>
          </w:tcPr>
          <w:p w14:paraId="75A51189" w14:textId="77777777" w:rsidR="00853611" w:rsidRPr="007E02C6" w:rsidRDefault="00853611" w:rsidP="008678CF">
            <w:pPr>
              <w:rPr>
                <w:rFonts w:eastAsia="Calibri"/>
                <w:szCs w:val="24"/>
                <w:lang w:eastAsia="en-US"/>
              </w:rPr>
            </w:pPr>
          </w:p>
        </w:tc>
        <w:tc>
          <w:tcPr>
            <w:tcW w:w="5670" w:type="dxa"/>
            <w:shd w:val="clear" w:color="auto" w:fill="auto"/>
          </w:tcPr>
          <w:p w14:paraId="589EBD23" w14:textId="77777777" w:rsidR="00853611" w:rsidRPr="007E02C6" w:rsidRDefault="00853611" w:rsidP="008678CF">
            <w:pPr>
              <w:rPr>
                <w:rFonts w:eastAsia="Calibri"/>
                <w:szCs w:val="24"/>
                <w:lang w:eastAsia="en-US"/>
              </w:rPr>
            </w:pPr>
            <w:r w:rsidRPr="007E02C6">
              <w:rPr>
                <w:rFonts w:eastAsia="Calibri"/>
                <w:szCs w:val="24"/>
                <w:lang w:eastAsia="en-US"/>
              </w:rPr>
              <w:t xml:space="preserve">v tom zejména.: </w:t>
            </w:r>
          </w:p>
          <w:p w14:paraId="5CCAD808" w14:textId="77777777" w:rsidR="00853611" w:rsidRPr="007E02C6" w:rsidRDefault="00853611" w:rsidP="0070585C">
            <w:pPr>
              <w:numPr>
                <w:ilvl w:val="0"/>
                <w:numId w:val="14"/>
              </w:numPr>
              <w:rPr>
                <w:rFonts w:eastAsia="Calibri"/>
                <w:i/>
                <w:lang w:eastAsia="en-US"/>
              </w:rPr>
            </w:pPr>
            <w:r>
              <w:rPr>
                <w:rFonts w:eastAsia="Calibri"/>
                <w:i/>
                <w:u w:val="single"/>
                <w:lang w:eastAsia="en-US"/>
              </w:rPr>
              <w:t>v</w:t>
            </w:r>
            <w:r w:rsidRPr="000E3292">
              <w:rPr>
                <w:rFonts w:eastAsia="Calibri"/>
                <w:i/>
                <w:u w:val="single"/>
                <w:lang w:eastAsia="en-US"/>
              </w:rPr>
              <w:t> oblasti vědy a vysokých škol</w:t>
            </w:r>
            <w:r>
              <w:rPr>
                <w:rFonts w:eastAsia="Calibri"/>
                <w:i/>
                <w:lang w:eastAsia="en-US"/>
              </w:rPr>
              <w:t xml:space="preserve"> </w:t>
            </w:r>
            <w:r w:rsidRPr="007E02C6">
              <w:rPr>
                <w:rFonts w:eastAsia="Calibri"/>
                <w:i/>
                <w:lang w:eastAsia="en-US"/>
              </w:rPr>
              <w:t>přesun 83 000 000 Kč z vysokých škol do oper</w:t>
            </w:r>
            <w:r>
              <w:rPr>
                <w:rFonts w:eastAsia="Calibri"/>
                <w:i/>
                <w:lang w:eastAsia="en-US"/>
              </w:rPr>
              <w:t>ačního programu Výzkum, vývoj a vzdělávání</w:t>
            </w:r>
            <w:r w:rsidRPr="007E02C6">
              <w:rPr>
                <w:rFonts w:eastAsia="Calibri"/>
                <w:i/>
                <w:lang w:eastAsia="en-US"/>
              </w:rPr>
              <w:t xml:space="preserve"> (dále jen „OP VVV“)</w:t>
            </w:r>
            <w:r>
              <w:rPr>
                <w:rFonts w:eastAsia="Calibri"/>
                <w:i/>
                <w:lang w:eastAsia="en-US"/>
              </w:rPr>
              <w:t xml:space="preserve"> </w:t>
            </w:r>
            <w:r w:rsidRPr="007E02C6">
              <w:rPr>
                <w:rFonts w:eastAsia="Calibri"/>
                <w:i/>
                <w:lang w:eastAsia="en-US"/>
              </w:rPr>
              <w:t>v návaznosti na snížení výzkumu, v</w:t>
            </w:r>
            <w:r>
              <w:rPr>
                <w:rFonts w:eastAsia="Calibri"/>
                <w:i/>
                <w:lang w:eastAsia="en-US"/>
              </w:rPr>
              <w:t>ývoje a </w:t>
            </w:r>
            <w:r w:rsidRPr="007E02C6">
              <w:rPr>
                <w:rFonts w:eastAsia="Calibri"/>
                <w:i/>
                <w:lang w:eastAsia="en-US"/>
              </w:rPr>
              <w:t>inovací – i</w:t>
            </w:r>
            <w:r>
              <w:rPr>
                <w:rFonts w:eastAsia="Calibri"/>
                <w:i/>
                <w:lang w:eastAsia="en-US"/>
              </w:rPr>
              <w:t>nstitucionální podpory OP VVV o </w:t>
            </w:r>
            <w:r w:rsidRPr="007E02C6">
              <w:rPr>
                <w:rFonts w:eastAsia="Calibri"/>
                <w:i/>
                <w:lang w:eastAsia="en-US"/>
              </w:rPr>
              <w:t>83 000 000 Kč podle usnesení vlády č. 309/2018</w:t>
            </w:r>
            <w:r>
              <w:rPr>
                <w:rFonts w:eastAsia="Calibri"/>
                <w:i/>
                <w:lang w:eastAsia="en-US"/>
              </w:rPr>
              <w:t>;</w:t>
            </w:r>
          </w:p>
          <w:p w14:paraId="6CCE8F75" w14:textId="03CBB0F5" w:rsidR="00853611" w:rsidRPr="007E02C6" w:rsidRDefault="00853611" w:rsidP="0070585C">
            <w:pPr>
              <w:numPr>
                <w:ilvl w:val="0"/>
                <w:numId w:val="14"/>
              </w:numPr>
              <w:rPr>
                <w:rFonts w:eastAsia="Calibri"/>
                <w:i/>
                <w:lang w:eastAsia="en-US"/>
              </w:rPr>
            </w:pPr>
            <w:r>
              <w:rPr>
                <w:rFonts w:eastAsia="Calibri"/>
                <w:i/>
                <w:u w:val="single"/>
                <w:lang w:eastAsia="en-US"/>
              </w:rPr>
              <w:t>v</w:t>
            </w:r>
            <w:r w:rsidRPr="000E3292">
              <w:rPr>
                <w:rFonts w:eastAsia="Calibri"/>
                <w:i/>
                <w:u w:val="single"/>
                <w:lang w:eastAsia="en-US"/>
              </w:rPr>
              <w:t> oblasti RgŠ</w:t>
            </w:r>
            <w:r>
              <w:rPr>
                <w:rFonts w:eastAsia="Calibri"/>
                <w:i/>
                <w:lang w:eastAsia="en-US"/>
              </w:rPr>
              <w:t xml:space="preserve"> </w:t>
            </w:r>
            <w:r w:rsidRPr="007E02C6">
              <w:rPr>
                <w:rFonts w:eastAsia="Calibri"/>
                <w:i/>
                <w:lang w:eastAsia="en-US"/>
              </w:rPr>
              <w:t xml:space="preserve">přesun </w:t>
            </w:r>
            <w:r>
              <w:rPr>
                <w:rFonts w:eastAsia="Calibri"/>
                <w:i/>
                <w:lang w:eastAsia="en-US"/>
              </w:rPr>
              <w:t>56 902 864</w:t>
            </w:r>
            <w:r w:rsidRPr="007E02C6">
              <w:rPr>
                <w:rFonts w:eastAsia="Calibri"/>
                <w:i/>
                <w:lang w:eastAsia="en-US"/>
              </w:rPr>
              <w:t xml:space="preserve"> Kč z R</w:t>
            </w:r>
            <w:r>
              <w:rPr>
                <w:rFonts w:eastAsia="Calibri"/>
                <w:i/>
                <w:lang w:eastAsia="en-US"/>
              </w:rPr>
              <w:t>gŠ, v tom 16 000 000 </w:t>
            </w:r>
            <w:r w:rsidRPr="007E02C6">
              <w:rPr>
                <w:rFonts w:eastAsia="Calibri"/>
                <w:i/>
                <w:lang w:eastAsia="en-US"/>
              </w:rPr>
              <w:t>Kč vý</w:t>
            </w:r>
            <w:r w:rsidR="00B8183F">
              <w:rPr>
                <w:rFonts w:eastAsia="Calibri"/>
                <w:i/>
                <w:lang w:eastAsia="en-US"/>
              </w:rPr>
              <w:t>dajů programového financování a </w:t>
            </w:r>
            <w:r>
              <w:rPr>
                <w:rFonts w:eastAsia="Calibri"/>
                <w:i/>
                <w:lang w:eastAsia="en-US"/>
              </w:rPr>
              <w:t>40 902 864</w:t>
            </w:r>
            <w:r w:rsidRPr="007E02C6">
              <w:rPr>
                <w:rFonts w:eastAsia="Calibri"/>
                <w:i/>
                <w:lang w:eastAsia="en-US"/>
              </w:rPr>
              <w:t xml:space="preserve"> Kč běžných výdajů</w:t>
            </w:r>
            <w:r>
              <w:rPr>
                <w:rFonts w:eastAsia="Calibri"/>
                <w:i/>
                <w:lang w:eastAsia="en-US"/>
              </w:rPr>
              <w:t xml:space="preserve"> na: navýšení platů České školní inspekc</w:t>
            </w:r>
            <w:r w:rsidR="005F53B0">
              <w:rPr>
                <w:rFonts w:eastAsia="Calibri"/>
                <w:i/>
                <w:lang w:eastAsia="en-US"/>
              </w:rPr>
              <w:t>e</w:t>
            </w:r>
            <w:r>
              <w:rPr>
                <w:rFonts w:eastAsia="Calibri"/>
                <w:i/>
                <w:lang w:eastAsia="en-US"/>
              </w:rPr>
              <w:t xml:space="preserve"> (dále jen „ČŠI“) k dorovnání platů inspektorů na úroveň průměrného platu ředitelů škol (25 560 400 Kč), 14 122 424 Kč do ostatních přímo řízených organizací (dále jen „OPŘO“) zejména pro Národní ústav pro vzdělávání (dále jen „NÚV“) k aktualizaci rámcových vzdělávacích programů, komplexní revizi kurikulárních dokumentů a </w:t>
            </w:r>
            <w:r w:rsidRPr="00714919">
              <w:rPr>
                <w:rFonts w:eastAsia="Calibri"/>
                <w:i/>
                <w:lang w:eastAsia="en-US"/>
              </w:rPr>
              <w:t>Národní pedagogické muzeum a knihovna J. A. Komenského</w:t>
            </w:r>
            <w:r>
              <w:rPr>
                <w:rFonts w:eastAsia="Calibri"/>
                <w:i/>
                <w:lang w:eastAsia="en-US"/>
              </w:rPr>
              <w:t xml:space="preserve"> (dále jen „NPMK“) na </w:t>
            </w:r>
            <w:r w:rsidR="005F53B0">
              <w:rPr>
                <w:rFonts w:eastAsia="Calibri"/>
                <w:i/>
                <w:lang w:eastAsia="en-US"/>
              </w:rPr>
              <w:t>pokusné ověřování</w:t>
            </w:r>
            <w:r>
              <w:rPr>
                <w:rFonts w:eastAsia="Calibri"/>
                <w:i/>
                <w:lang w:eastAsia="en-US"/>
              </w:rPr>
              <w:t xml:space="preserve">, dále na přesun 1 220 000 Kč do Národního ústavu </w:t>
            </w:r>
            <w:r w:rsidR="005F53B0">
              <w:rPr>
                <w:rFonts w:eastAsia="Calibri"/>
                <w:i/>
                <w:lang w:eastAsia="en-US"/>
              </w:rPr>
              <w:t xml:space="preserve">pro </w:t>
            </w:r>
            <w:r>
              <w:rPr>
                <w:rFonts w:eastAsia="Calibri"/>
                <w:i/>
                <w:lang w:eastAsia="en-US"/>
              </w:rPr>
              <w:t>další vzdělávání (dále jen „NIDV“) k zabezpečení dotačního systému a přesun 1 178 400 Kč z výdajů určených na plavání do sportu;</w:t>
            </w:r>
          </w:p>
          <w:p w14:paraId="4B627291" w14:textId="77777777" w:rsidR="00853611" w:rsidRPr="007E02C6" w:rsidRDefault="00853611" w:rsidP="0070585C">
            <w:pPr>
              <w:numPr>
                <w:ilvl w:val="0"/>
                <w:numId w:val="14"/>
              </w:numPr>
              <w:rPr>
                <w:rFonts w:eastAsia="Calibri"/>
                <w:i/>
                <w:lang w:eastAsia="en-US"/>
              </w:rPr>
            </w:pPr>
            <w:r w:rsidRPr="00AD04C8">
              <w:rPr>
                <w:rFonts w:eastAsia="Calibri"/>
                <w:i/>
                <w:u w:val="single"/>
                <w:lang w:eastAsia="en-US"/>
              </w:rPr>
              <w:t>v</w:t>
            </w:r>
            <w:r w:rsidRPr="000E3292">
              <w:rPr>
                <w:rFonts w:eastAsia="Calibri"/>
                <w:i/>
                <w:u w:val="single"/>
                <w:lang w:eastAsia="en-US"/>
              </w:rPr>
              <w:t> oblasti mládeže</w:t>
            </w:r>
            <w:r>
              <w:rPr>
                <w:rFonts w:eastAsia="Calibri"/>
                <w:i/>
                <w:lang w:eastAsia="en-US"/>
              </w:rPr>
              <w:t xml:space="preserve"> </w:t>
            </w:r>
            <w:r w:rsidRPr="007E02C6">
              <w:rPr>
                <w:rFonts w:eastAsia="Calibri"/>
                <w:i/>
                <w:lang w:eastAsia="en-US"/>
              </w:rPr>
              <w:t>přesun 4 515 453 Kč z programů podpory mládeže do „ostatní</w:t>
            </w:r>
            <w:r>
              <w:rPr>
                <w:rFonts w:eastAsia="Calibri"/>
                <w:i/>
                <w:lang w:eastAsia="en-US"/>
              </w:rPr>
              <w:t>ch výdajů na zabezpečení činnosti resortu</w:t>
            </w:r>
            <w:r w:rsidRPr="007E02C6">
              <w:rPr>
                <w:rFonts w:eastAsia="Calibri"/>
                <w:i/>
                <w:lang w:eastAsia="en-US"/>
              </w:rPr>
              <w:t xml:space="preserve">“ na financování </w:t>
            </w:r>
            <w:r>
              <w:rPr>
                <w:rFonts w:eastAsia="Calibri"/>
                <w:i/>
                <w:lang w:eastAsia="en-US"/>
              </w:rPr>
              <w:t>soutěží;</w:t>
            </w:r>
          </w:p>
          <w:p w14:paraId="1AD1F048" w14:textId="7B4598A8" w:rsidR="00853611" w:rsidRPr="007E02C6" w:rsidRDefault="00853611" w:rsidP="0070585C">
            <w:pPr>
              <w:numPr>
                <w:ilvl w:val="0"/>
                <w:numId w:val="14"/>
              </w:numPr>
              <w:rPr>
                <w:rFonts w:eastAsia="Calibri"/>
                <w:i/>
                <w:lang w:eastAsia="en-US"/>
              </w:rPr>
            </w:pPr>
            <w:r w:rsidRPr="000E3292">
              <w:rPr>
                <w:rFonts w:eastAsia="Calibri"/>
                <w:i/>
                <w:u w:val="single"/>
                <w:lang w:eastAsia="en-US"/>
              </w:rPr>
              <w:t>v oblasti sportu</w:t>
            </w:r>
            <w:r>
              <w:rPr>
                <w:rFonts w:eastAsia="Calibri"/>
                <w:i/>
                <w:lang w:eastAsia="en-US"/>
              </w:rPr>
              <w:t xml:space="preserve"> </w:t>
            </w:r>
            <w:r w:rsidRPr="007E02C6">
              <w:rPr>
                <w:rFonts w:eastAsia="Calibri"/>
                <w:i/>
                <w:lang w:eastAsia="en-US"/>
              </w:rPr>
              <w:t xml:space="preserve">přesun </w:t>
            </w:r>
            <w:r>
              <w:rPr>
                <w:rFonts w:eastAsia="Calibri"/>
                <w:i/>
                <w:lang w:eastAsia="en-US"/>
              </w:rPr>
              <w:t xml:space="preserve">1 220 000 Kč ze sportu </w:t>
            </w:r>
            <w:r w:rsidRPr="007E02C6">
              <w:rPr>
                <w:rFonts w:eastAsia="Calibri"/>
                <w:i/>
                <w:lang w:eastAsia="en-US"/>
              </w:rPr>
              <w:t xml:space="preserve">do ostatních výdajů </w:t>
            </w:r>
            <w:r>
              <w:rPr>
                <w:rFonts w:eastAsia="Calibri"/>
                <w:i/>
                <w:lang w:eastAsia="en-US"/>
              </w:rPr>
              <w:t xml:space="preserve">na zabezpečení činnosti </w:t>
            </w:r>
            <w:r w:rsidRPr="007E02C6">
              <w:rPr>
                <w:rFonts w:eastAsia="Calibri"/>
                <w:i/>
                <w:lang w:eastAsia="en-US"/>
              </w:rPr>
              <w:t>resortu k zajištění informačního systému o</w:t>
            </w:r>
            <w:r>
              <w:rPr>
                <w:rFonts w:eastAsia="Calibri"/>
                <w:i/>
                <w:lang w:eastAsia="en-US"/>
              </w:rPr>
              <w:t> </w:t>
            </w:r>
            <w:r w:rsidRPr="007E02C6">
              <w:rPr>
                <w:rFonts w:eastAsia="Calibri"/>
                <w:i/>
                <w:lang w:eastAsia="en-US"/>
              </w:rPr>
              <w:t xml:space="preserve">poskytovaných dotacích na </w:t>
            </w:r>
            <w:r>
              <w:rPr>
                <w:rFonts w:eastAsia="Calibri"/>
                <w:i/>
                <w:lang w:eastAsia="en-US"/>
              </w:rPr>
              <w:t>NIDV (p</w:t>
            </w:r>
            <w:r w:rsidR="007641CD">
              <w:rPr>
                <w:rFonts w:eastAsia="Calibri"/>
                <w:i/>
                <w:lang w:eastAsia="en-US"/>
              </w:rPr>
              <w:t>odobně jako přesun z RgŠ) a </w:t>
            </w:r>
            <w:r>
              <w:rPr>
                <w:rFonts w:eastAsia="Calibri"/>
                <w:i/>
                <w:lang w:eastAsia="en-US"/>
              </w:rPr>
              <w:t>dále posílení o 1 178 400 Kč z výdajů na plavání od RgŠ (viz výše);</w:t>
            </w:r>
          </w:p>
          <w:p w14:paraId="02FBB833" w14:textId="482BD088" w:rsidR="00853611" w:rsidRPr="007E02C6" w:rsidRDefault="00853611" w:rsidP="0070585C">
            <w:pPr>
              <w:numPr>
                <w:ilvl w:val="0"/>
                <w:numId w:val="14"/>
              </w:numPr>
              <w:rPr>
                <w:rFonts w:eastAsia="Calibri"/>
                <w:i/>
                <w:lang w:eastAsia="en-US"/>
              </w:rPr>
            </w:pPr>
            <w:r w:rsidRPr="000E3292">
              <w:rPr>
                <w:rFonts w:eastAsia="Calibri"/>
                <w:i/>
                <w:u w:val="single"/>
                <w:lang w:eastAsia="en-US"/>
              </w:rPr>
              <w:t>v oblasti spolufinancovaných programů mimo výzk</w:t>
            </w:r>
            <w:r>
              <w:rPr>
                <w:rFonts w:eastAsia="Calibri"/>
                <w:i/>
                <w:u w:val="single"/>
                <w:lang w:eastAsia="en-US"/>
              </w:rPr>
              <w:t>um, vývoj a </w:t>
            </w:r>
            <w:r w:rsidRPr="000E3292">
              <w:rPr>
                <w:rFonts w:eastAsia="Calibri"/>
                <w:i/>
                <w:u w:val="single"/>
                <w:lang w:eastAsia="en-US"/>
              </w:rPr>
              <w:t>inovace</w:t>
            </w:r>
            <w:r>
              <w:rPr>
                <w:rFonts w:eastAsia="Calibri"/>
                <w:i/>
                <w:lang w:eastAsia="en-US"/>
              </w:rPr>
              <w:t xml:space="preserve"> </w:t>
            </w:r>
            <w:r w:rsidRPr="007E02C6">
              <w:rPr>
                <w:rFonts w:eastAsia="Calibri"/>
                <w:i/>
                <w:lang w:eastAsia="en-US"/>
              </w:rPr>
              <w:t>přesun 113 468 887 Kč (z </w:t>
            </w:r>
            <w:r>
              <w:rPr>
                <w:rFonts w:eastAsia="Calibri"/>
                <w:i/>
                <w:lang w:eastAsia="en-US"/>
              </w:rPr>
              <w:t>OP VVV zahrnutého ve výzkumu ve výši</w:t>
            </w:r>
            <w:r w:rsidRPr="007E02C6">
              <w:rPr>
                <w:rFonts w:eastAsia="Calibri"/>
                <w:i/>
                <w:lang w:eastAsia="en-US"/>
              </w:rPr>
              <w:t xml:space="preserve"> 83 000 000 Kč</w:t>
            </w:r>
            <w:r>
              <w:rPr>
                <w:rFonts w:eastAsia="Calibri"/>
                <w:i/>
                <w:lang w:eastAsia="en-US"/>
              </w:rPr>
              <w:t xml:space="preserve"> – viz výše</w:t>
            </w:r>
            <w:r w:rsidRPr="007E02C6">
              <w:rPr>
                <w:rFonts w:eastAsia="Calibri"/>
                <w:i/>
                <w:lang w:eastAsia="en-US"/>
              </w:rPr>
              <w:t>) do spolufinancovaných programů: OP VVV mimo výzkum ve výši 83</w:t>
            </w:r>
            <w:r w:rsidR="006A420B">
              <w:rPr>
                <w:rFonts w:eastAsia="Calibri"/>
                <w:i/>
                <w:lang w:eastAsia="en-US"/>
              </w:rPr>
              <w:t> </w:t>
            </w:r>
            <w:r w:rsidRPr="007E02C6">
              <w:rPr>
                <w:rFonts w:eastAsia="Calibri"/>
                <w:i/>
                <w:lang w:eastAsia="en-US"/>
              </w:rPr>
              <w:t>000</w:t>
            </w:r>
            <w:r w:rsidR="006A420B">
              <w:rPr>
                <w:rFonts w:eastAsia="Calibri"/>
                <w:i/>
                <w:lang w:eastAsia="en-US"/>
              </w:rPr>
              <w:t> </w:t>
            </w:r>
            <w:r w:rsidRPr="007E02C6">
              <w:rPr>
                <w:rFonts w:eastAsia="Calibri"/>
                <w:i/>
                <w:lang w:eastAsia="en-US"/>
              </w:rPr>
              <w:t>000 Kč a zárove</w:t>
            </w:r>
            <w:r>
              <w:rPr>
                <w:rFonts w:eastAsia="Calibri"/>
                <w:i/>
                <w:lang w:eastAsia="en-US"/>
              </w:rPr>
              <w:t xml:space="preserve">ň snížení </w:t>
            </w:r>
            <w:r w:rsidR="00AA0F36">
              <w:rPr>
                <w:rFonts w:eastAsia="Calibri"/>
                <w:i/>
                <w:lang w:eastAsia="en-US"/>
              </w:rPr>
              <w:t>Operačního programu zaměstnanost (dále jen „</w:t>
            </w:r>
            <w:r>
              <w:rPr>
                <w:rFonts w:eastAsia="Calibri"/>
                <w:i/>
                <w:lang w:eastAsia="en-US"/>
              </w:rPr>
              <w:t>OP Z</w:t>
            </w:r>
            <w:r w:rsidR="00AA0F36">
              <w:rPr>
                <w:rFonts w:eastAsia="Calibri"/>
                <w:i/>
                <w:lang w:eastAsia="en-US"/>
              </w:rPr>
              <w:t xml:space="preserve">“) </w:t>
            </w:r>
            <w:r>
              <w:rPr>
                <w:rFonts w:eastAsia="Calibri"/>
                <w:i/>
                <w:lang w:eastAsia="en-US"/>
              </w:rPr>
              <w:t>o</w:t>
            </w:r>
            <w:r w:rsidR="00AA0F36">
              <w:rPr>
                <w:rFonts w:eastAsia="Calibri"/>
                <w:i/>
                <w:lang w:eastAsia="en-US"/>
              </w:rPr>
              <w:t> </w:t>
            </w:r>
            <w:r>
              <w:rPr>
                <w:rFonts w:eastAsia="Calibri"/>
                <w:i/>
                <w:lang w:eastAsia="en-US"/>
              </w:rPr>
              <w:t>7 430 414 Kč a </w:t>
            </w:r>
            <w:r w:rsidRPr="007E02C6">
              <w:rPr>
                <w:rFonts w:eastAsia="Calibri"/>
                <w:i/>
                <w:lang w:eastAsia="en-US"/>
              </w:rPr>
              <w:t xml:space="preserve">přesun v investicích programového </w:t>
            </w:r>
            <w:r w:rsidRPr="007E02C6">
              <w:rPr>
                <w:rFonts w:eastAsia="Calibri"/>
                <w:i/>
                <w:lang w:eastAsia="en-US"/>
              </w:rPr>
              <w:lastRenderedPageBreak/>
              <w:t>financování ve výši 37 899 301 Kč ze státní správy do Integrovaného regionálního operačního programu (dále jen „IROP“)</w:t>
            </w:r>
            <w:r>
              <w:rPr>
                <w:rFonts w:eastAsia="Calibri"/>
                <w:i/>
                <w:lang w:eastAsia="en-US"/>
              </w:rPr>
              <w:t>;</w:t>
            </w:r>
          </w:p>
          <w:p w14:paraId="0DD63F4B" w14:textId="6B374595" w:rsidR="00853611" w:rsidRPr="000E3292" w:rsidRDefault="00853611" w:rsidP="0070585C">
            <w:pPr>
              <w:numPr>
                <w:ilvl w:val="0"/>
                <w:numId w:val="14"/>
              </w:numPr>
              <w:rPr>
                <w:rFonts w:eastAsia="Calibri"/>
                <w:szCs w:val="24"/>
                <w:lang w:eastAsia="en-US"/>
              </w:rPr>
            </w:pPr>
            <w:r w:rsidRPr="000E3292">
              <w:rPr>
                <w:rFonts w:eastAsia="Calibri"/>
                <w:i/>
                <w:u w:val="single"/>
                <w:lang w:eastAsia="en-US"/>
              </w:rPr>
              <w:t>v oblasti ostatních výdajů na zabezpečení činnosti resortu</w:t>
            </w:r>
            <w:r>
              <w:rPr>
                <w:rFonts w:eastAsia="Calibri"/>
                <w:i/>
                <w:lang w:eastAsia="en-US"/>
              </w:rPr>
              <w:t xml:space="preserve"> </w:t>
            </w:r>
            <w:r w:rsidRPr="007E02C6">
              <w:rPr>
                <w:rFonts w:eastAsia="Calibri"/>
                <w:i/>
                <w:lang w:eastAsia="en-US"/>
              </w:rPr>
              <w:t xml:space="preserve">přesun 34 124 780 Kč, </w:t>
            </w:r>
            <w:r>
              <w:rPr>
                <w:rFonts w:eastAsia="Calibri"/>
                <w:i/>
                <w:lang w:eastAsia="en-US"/>
              </w:rPr>
              <w:t>a sice mimo programové financování</w:t>
            </w:r>
            <w:r w:rsidRPr="007E02C6">
              <w:rPr>
                <w:rFonts w:eastAsia="Calibri"/>
                <w:i/>
                <w:lang w:eastAsia="en-US"/>
              </w:rPr>
              <w:t xml:space="preserve"> </w:t>
            </w:r>
            <w:r w:rsidR="00B8183F">
              <w:rPr>
                <w:rFonts w:eastAsia="Calibri"/>
                <w:i/>
                <w:lang w:eastAsia="en-US"/>
              </w:rPr>
              <w:t>14 122 424 Kč na NÚV  a </w:t>
            </w:r>
            <w:r w:rsidR="00AC4D14">
              <w:rPr>
                <w:rFonts w:eastAsia="Calibri"/>
                <w:i/>
                <w:lang w:eastAsia="en-US"/>
              </w:rPr>
              <w:t>NPMK</w:t>
            </w:r>
            <w:r>
              <w:rPr>
                <w:rFonts w:eastAsia="Calibri"/>
                <w:i/>
                <w:lang w:eastAsia="en-US"/>
              </w:rPr>
              <w:t xml:space="preserve"> – viz výše z RgŠ, přesun z RgŠ na dorovnání platů inspektorů na úroveň průměrného platu ředitelů škol (25 560 400 Kč – viz výše), posílení z RgŠ a ze </w:t>
            </w:r>
            <w:r w:rsidR="00B8183F">
              <w:rPr>
                <w:rFonts w:eastAsia="Calibri"/>
                <w:i/>
                <w:lang w:eastAsia="en-US"/>
              </w:rPr>
              <w:t>sportu celkem ve výši 3 500 000 </w:t>
            </w:r>
            <w:r>
              <w:rPr>
                <w:rFonts w:eastAsia="Calibri"/>
                <w:i/>
                <w:lang w:eastAsia="en-US"/>
              </w:rPr>
              <w:t>Kč do NIDV na dotační systém – viz výše), přesun z mládeže na financování soutěží ve výši 4 515 453 Kč – viz výše. Dále vrácení prostředků po snížení OP Z ve výši 7 430 414 Kč – viz výše;</w:t>
            </w:r>
          </w:p>
          <w:p w14:paraId="6F46CDA7" w14:textId="77777777" w:rsidR="00853611" w:rsidRPr="007E02C6" w:rsidRDefault="00853611" w:rsidP="008678CF">
            <w:pPr>
              <w:ind w:left="360"/>
              <w:rPr>
                <w:rFonts w:eastAsia="Calibri"/>
                <w:szCs w:val="24"/>
                <w:lang w:eastAsia="en-US"/>
              </w:rPr>
            </w:pPr>
            <w:r>
              <w:rPr>
                <w:rFonts w:eastAsia="Calibri"/>
                <w:i/>
                <w:lang w:eastAsia="en-US"/>
              </w:rPr>
              <w:t>Dále v rámci programového financování přesun z RgŠ ve výši 16 000 000 Kč – viz výše a vyvedení 37 899 301 Kč v rámci programového financování ze státní správy do IROP – viz výše. V rámci programového financování se zároveň ve vlastním úřadu vyčleňuje</w:t>
            </w:r>
            <w:r w:rsidRPr="007E02C6">
              <w:rPr>
                <w:rFonts w:eastAsia="Calibri"/>
                <w:i/>
                <w:lang w:eastAsia="en-US"/>
              </w:rPr>
              <w:t xml:space="preserve"> 3 100 000 Kč</w:t>
            </w:r>
            <w:r>
              <w:rPr>
                <w:rFonts w:eastAsia="Calibri"/>
                <w:i/>
                <w:lang w:eastAsia="en-US"/>
              </w:rPr>
              <w:t xml:space="preserve"> na zajištění </w:t>
            </w:r>
            <w:r w:rsidRPr="007E02C6">
              <w:rPr>
                <w:rFonts w:eastAsia="Calibri"/>
                <w:i/>
                <w:lang w:eastAsia="en-US"/>
              </w:rPr>
              <w:t>příprav</w:t>
            </w:r>
            <w:r>
              <w:rPr>
                <w:rFonts w:eastAsia="Calibri"/>
                <w:i/>
                <w:lang w:eastAsia="en-US"/>
              </w:rPr>
              <w:t>y</w:t>
            </w:r>
            <w:r w:rsidRPr="007E02C6">
              <w:rPr>
                <w:rFonts w:eastAsia="Calibri"/>
                <w:i/>
                <w:lang w:eastAsia="en-US"/>
              </w:rPr>
              <w:t xml:space="preserve"> na krizové situace</w:t>
            </w:r>
            <w:r>
              <w:rPr>
                <w:rFonts w:eastAsia="Calibri"/>
                <w:i/>
                <w:lang w:eastAsia="en-US"/>
              </w:rPr>
              <w:t>.</w:t>
            </w:r>
          </w:p>
        </w:tc>
        <w:tc>
          <w:tcPr>
            <w:tcW w:w="284" w:type="dxa"/>
            <w:shd w:val="clear" w:color="auto" w:fill="auto"/>
          </w:tcPr>
          <w:p w14:paraId="0A4C735C" w14:textId="77777777" w:rsidR="00853611" w:rsidRPr="007E02C6" w:rsidRDefault="00853611" w:rsidP="008678CF"/>
        </w:tc>
        <w:tc>
          <w:tcPr>
            <w:tcW w:w="2410" w:type="dxa"/>
            <w:shd w:val="clear" w:color="auto" w:fill="auto"/>
          </w:tcPr>
          <w:p w14:paraId="31F25548" w14:textId="77777777" w:rsidR="00853611" w:rsidRPr="007E02C6" w:rsidRDefault="00853611" w:rsidP="008678CF">
            <w:pPr>
              <w:jc w:val="right"/>
            </w:pPr>
          </w:p>
        </w:tc>
      </w:tr>
    </w:tbl>
    <w:p w14:paraId="7F96A117" w14:textId="77777777" w:rsidR="00853611" w:rsidRDefault="00853611" w:rsidP="0031482F">
      <w:pPr>
        <w:pStyle w:val="Nadpis4"/>
        <w:numPr>
          <w:ilvl w:val="0"/>
          <w:numId w:val="0"/>
        </w:numPr>
      </w:pPr>
    </w:p>
    <w:p w14:paraId="50AEEE22" w14:textId="77777777" w:rsidR="00853611" w:rsidRPr="002F14DD" w:rsidRDefault="00853611" w:rsidP="0031482F">
      <w:pPr>
        <w:pStyle w:val="Nadpis4"/>
      </w:pPr>
      <w:bookmarkStart w:id="28" w:name="_Toc5968815"/>
      <w:r w:rsidRPr="0080150F">
        <w:t xml:space="preserve">Vliv souvztažného </w:t>
      </w:r>
      <w:r w:rsidRPr="002F14DD">
        <w:t>posílení příjmů a výdajů na spolufinancované programy EU a FM:</w:t>
      </w:r>
      <w:bookmarkEnd w:id="28"/>
    </w:p>
    <w:p w14:paraId="61F27514" w14:textId="77777777" w:rsidR="00853611" w:rsidRPr="00F70F78" w:rsidRDefault="00853611" w:rsidP="00853611">
      <w:pPr>
        <w:pStyle w:val="Zkladntextodsazen2"/>
        <w:ind w:left="567" w:firstLine="0"/>
        <w:rPr>
          <w:highlight w:val="yellow"/>
        </w:rPr>
      </w:pPr>
    </w:p>
    <w:tbl>
      <w:tblPr>
        <w:tblW w:w="8615" w:type="dxa"/>
        <w:tblInd w:w="675" w:type="dxa"/>
        <w:tblLayout w:type="fixed"/>
        <w:tblLook w:val="01E0" w:firstRow="1" w:lastRow="1" w:firstColumn="1" w:lastColumn="1" w:noHBand="0" w:noVBand="0"/>
      </w:tblPr>
      <w:tblGrid>
        <w:gridCol w:w="993"/>
        <w:gridCol w:w="4929"/>
        <w:gridCol w:w="283"/>
        <w:gridCol w:w="2410"/>
      </w:tblGrid>
      <w:tr w:rsidR="00853611" w:rsidRPr="00561805" w14:paraId="764D5A46" w14:textId="77777777" w:rsidTr="008678CF">
        <w:tc>
          <w:tcPr>
            <w:tcW w:w="993" w:type="dxa"/>
          </w:tcPr>
          <w:p w14:paraId="2D825B3B" w14:textId="77777777" w:rsidR="00853611" w:rsidRPr="00561805" w:rsidRDefault="00853611" w:rsidP="005B6E93">
            <w:pPr>
              <w:pStyle w:val="Zkladntextodsazen2"/>
              <w:numPr>
                <w:ilvl w:val="0"/>
                <w:numId w:val="19"/>
              </w:numPr>
              <w:jc w:val="center"/>
              <w:rPr>
                <w:b w:val="0"/>
              </w:rPr>
            </w:pPr>
          </w:p>
        </w:tc>
        <w:tc>
          <w:tcPr>
            <w:tcW w:w="4929" w:type="dxa"/>
          </w:tcPr>
          <w:p w14:paraId="7CF2AD8A" w14:textId="77777777" w:rsidR="00853611" w:rsidRPr="00561805" w:rsidRDefault="00853611" w:rsidP="008678CF">
            <w:pPr>
              <w:pStyle w:val="Zkladntextodsazen2"/>
              <w:tabs>
                <w:tab w:val="left" w:pos="-282"/>
                <w:tab w:val="left" w:pos="851"/>
              </w:tabs>
              <w:ind w:left="0" w:firstLine="0"/>
              <w:rPr>
                <w:b w:val="0"/>
              </w:rPr>
            </w:pPr>
            <w:r w:rsidRPr="00561805">
              <w:rPr>
                <w:b w:val="0"/>
              </w:rPr>
              <w:t xml:space="preserve">zvýšení </w:t>
            </w:r>
            <w:r w:rsidRPr="00561805">
              <w:t>příjmů</w:t>
            </w:r>
            <w:r w:rsidRPr="00561805">
              <w:rPr>
                <w:b w:val="0"/>
              </w:rPr>
              <w:t xml:space="preserve"> ………........................................</w:t>
            </w:r>
          </w:p>
        </w:tc>
        <w:tc>
          <w:tcPr>
            <w:tcW w:w="283" w:type="dxa"/>
          </w:tcPr>
          <w:p w14:paraId="04F86F70" w14:textId="77777777" w:rsidR="00853611" w:rsidRPr="00561805" w:rsidRDefault="00853611" w:rsidP="008678CF">
            <w:pPr>
              <w:pStyle w:val="Zkladntextodsazen2"/>
              <w:tabs>
                <w:tab w:val="left" w:pos="709"/>
                <w:tab w:val="left" w:pos="851"/>
              </w:tabs>
              <w:ind w:left="0" w:firstLine="0"/>
              <w:rPr>
                <w:b w:val="0"/>
              </w:rPr>
            </w:pPr>
            <w:r w:rsidRPr="00561805">
              <w:rPr>
                <w:b w:val="0"/>
              </w:rPr>
              <w:t>+</w:t>
            </w:r>
          </w:p>
        </w:tc>
        <w:tc>
          <w:tcPr>
            <w:tcW w:w="2410" w:type="dxa"/>
          </w:tcPr>
          <w:p w14:paraId="49D7C92B" w14:textId="77777777" w:rsidR="00853611" w:rsidRPr="00561805" w:rsidRDefault="00853611" w:rsidP="008678CF">
            <w:pPr>
              <w:pStyle w:val="Zkladntextodsazen2"/>
              <w:tabs>
                <w:tab w:val="left" w:pos="709"/>
                <w:tab w:val="left" w:pos="764"/>
                <w:tab w:val="left" w:pos="851"/>
              </w:tabs>
              <w:ind w:left="0" w:firstLine="0"/>
              <w:jc w:val="right"/>
              <w:rPr>
                <w:b w:val="0"/>
              </w:rPr>
            </w:pPr>
            <w:r>
              <w:rPr>
                <w:b w:val="0"/>
              </w:rPr>
              <w:t>10 058 486 744</w:t>
            </w:r>
            <w:r w:rsidRPr="00561805">
              <w:rPr>
                <w:b w:val="0"/>
              </w:rPr>
              <w:t xml:space="preserve"> Kč</w:t>
            </w:r>
          </w:p>
        </w:tc>
      </w:tr>
      <w:tr w:rsidR="00853611" w:rsidRPr="00561805" w14:paraId="5FDAA731" w14:textId="77777777" w:rsidTr="008678CF">
        <w:tc>
          <w:tcPr>
            <w:tcW w:w="993" w:type="dxa"/>
          </w:tcPr>
          <w:p w14:paraId="108D1F9A" w14:textId="77777777" w:rsidR="00853611" w:rsidRPr="00561805" w:rsidRDefault="00853611" w:rsidP="005B6E93">
            <w:pPr>
              <w:pStyle w:val="Zkladntextodsazen2"/>
              <w:numPr>
                <w:ilvl w:val="0"/>
                <w:numId w:val="19"/>
              </w:numPr>
              <w:jc w:val="center"/>
              <w:rPr>
                <w:b w:val="0"/>
              </w:rPr>
            </w:pPr>
          </w:p>
        </w:tc>
        <w:tc>
          <w:tcPr>
            <w:tcW w:w="4929" w:type="dxa"/>
          </w:tcPr>
          <w:p w14:paraId="11020747" w14:textId="77777777" w:rsidR="00853611" w:rsidRPr="00561805" w:rsidRDefault="00853611" w:rsidP="008678CF">
            <w:pPr>
              <w:pStyle w:val="Zkladntextodsazen2"/>
              <w:tabs>
                <w:tab w:val="left" w:pos="-282"/>
                <w:tab w:val="left" w:pos="851"/>
              </w:tabs>
              <w:ind w:left="0" w:firstLine="0"/>
              <w:rPr>
                <w:b w:val="0"/>
              </w:rPr>
            </w:pPr>
            <w:r w:rsidRPr="00561805">
              <w:rPr>
                <w:b w:val="0"/>
              </w:rPr>
              <w:t xml:space="preserve">zvýšení </w:t>
            </w:r>
            <w:r w:rsidRPr="00561805">
              <w:t>výdajů</w:t>
            </w:r>
            <w:r w:rsidRPr="00561805">
              <w:rPr>
                <w:b w:val="0"/>
              </w:rPr>
              <w:t xml:space="preserve"> ………........................................</w:t>
            </w:r>
          </w:p>
        </w:tc>
        <w:tc>
          <w:tcPr>
            <w:tcW w:w="283" w:type="dxa"/>
          </w:tcPr>
          <w:p w14:paraId="15DDE857" w14:textId="77777777" w:rsidR="00853611" w:rsidRPr="00561805" w:rsidRDefault="00853611" w:rsidP="008678CF">
            <w:pPr>
              <w:pStyle w:val="Zkladntextodsazen2"/>
              <w:tabs>
                <w:tab w:val="left" w:pos="709"/>
                <w:tab w:val="left" w:pos="851"/>
              </w:tabs>
              <w:ind w:left="0" w:firstLine="0"/>
              <w:rPr>
                <w:b w:val="0"/>
              </w:rPr>
            </w:pPr>
            <w:r w:rsidRPr="00561805">
              <w:rPr>
                <w:b w:val="0"/>
              </w:rPr>
              <w:t>+</w:t>
            </w:r>
          </w:p>
        </w:tc>
        <w:tc>
          <w:tcPr>
            <w:tcW w:w="2410" w:type="dxa"/>
          </w:tcPr>
          <w:p w14:paraId="7D271842" w14:textId="77777777" w:rsidR="00853611" w:rsidRPr="00561805" w:rsidRDefault="00853611" w:rsidP="008678CF">
            <w:pPr>
              <w:pStyle w:val="Zkladntextodsazen2"/>
              <w:tabs>
                <w:tab w:val="left" w:pos="709"/>
                <w:tab w:val="left" w:pos="764"/>
                <w:tab w:val="left" w:pos="851"/>
              </w:tabs>
              <w:ind w:left="0" w:firstLine="0"/>
              <w:jc w:val="center"/>
              <w:rPr>
                <w:b w:val="0"/>
              </w:rPr>
            </w:pPr>
            <w:r>
              <w:rPr>
                <w:b w:val="0"/>
              </w:rPr>
              <w:t xml:space="preserve">     10 058 486 744 </w:t>
            </w:r>
            <w:r w:rsidRPr="00561805">
              <w:rPr>
                <w:b w:val="0"/>
              </w:rPr>
              <w:t>Kč</w:t>
            </w:r>
          </w:p>
        </w:tc>
      </w:tr>
    </w:tbl>
    <w:p w14:paraId="624CEF85" w14:textId="77777777" w:rsidR="00853611" w:rsidRDefault="00853611" w:rsidP="00853611">
      <w:pPr>
        <w:ind w:left="1560" w:hanging="993"/>
      </w:pPr>
    </w:p>
    <w:p w14:paraId="3C8DB0A9" w14:textId="77777777" w:rsidR="00853611" w:rsidRDefault="00853611" w:rsidP="00853611">
      <w:pPr>
        <w:ind w:left="1560" w:hanging="993"/>
        <w:rPr>
          <w:highlight w:val="yellow"/>
        </w:rPr>
      </w:pPr>
    </w:p>
    <w:p w14:paraId="22BF1A17" w14:textId="77777777" w:rsidR="00853611" w:rsidRPr="00686BE8" w:rsidRDefault="00853611" w:rsidP="00B26388">
      <w:pPr>
        <w:pStyle w:val="Nadpis3"/>
      </w:pPr>
      <w:bookmarkStart w:id="29" w:name="_Toc5968816"/>
      <w:r w:rsidRPr="00686BE8">
        <w:t>Rozpočet výdajů v členění na kapitálové a běžné</w:t>
      </w:r>
      <w:bookmarkEnd w:id="29"/>
      <w:r w:rsidRPr="00686BE8">
        <w:t xml:space="preserve"> </w:t>
      </w:r>
    </w:p>
    <w:p w14:paraId="18589DE7" w14:textId="77777777" w:rsidR="00853611" w:rsidRPr="00B70F0B" w:rsidRDefault="00853611" w:rsidP="0031482F">
      <w:pPr>
        <w:pStyle w:val="KS4"/>
        <w:rPr>
          <w:highlight w:val="yellow"/>
        </w:rPr>
      </w:pPr>
    </w:p>
    <w:bookmarkEnd w:id="24"/>
    <w:p w14:paraId="1AAE6D94" w14:textId="77777777" w:rsidR="00853611" w:rsidRPr="00F70F78" w:rsidRDefault="00853611" w:rsidP="00853611">
      <w:pPr>
        <w:pStyle w:val="Text"/>
      </w:pPr>
      <w:r w:rsidRPr="00F70F78">
        <w:t>Rozpočet výdajů na rok 201</w:t>
      </w:r>
      <w:r>
        <w:t>9</w:t>
      </w:r>
      <w:r w:rsidRPr="00F70F78">
        <w:t xml:space="preserve"> zahrnuje tyto objemy finančních prostředků a limitů regulace zaměstnanosti v Kč:</w:t>
      </w:r>
      <w:r w:rsidRPr="00F70F78">
        <w:tab/>
      </w:r>
    </w:p>
    <w:tbl>
      <w:tblPr>
        <w:tblW w:w="8930" w:type="dxa"/>
        <w:tblInd w:w="250" w:type="dxa"/>
        <w:tblLayout w:type="fixed"/>
        <w:tblLook w:val="04A0" w:firstRow="1" w:lastRow="0" w:firstColumn="1" w:lastColumn="0" w:noHBand="0" w:noVBand="1"/>
      </w:tblPr>
      <w:tblGrid>
        <w:gridCol w:w="7088"/>
        <w:gridCol w:w="1842"/>
      </w:tblGrid>
      <w:tr w:rsidR="00853611" w:rsidRPr="00736DF9" w14:paraId="27021C9F" w14:textId="77777777" w:rsidTr="008678CF">
        <w:trPr>
          <w:trHeight w:val="266"/>
        </w:trPr>
        <w:tc>
          <w:tcPr>
            <w:tcW w:w="7088" w:type="dxa"/>
            <w:vAlign w:val="center"/>
          </w:tcPr>
          <w:p w14:paraId="30AE8542" w14:textId="77777777" w:rsidR="00853611" w:rsidRPr="00736DF9" w:rsidRDefault="00853611" w:rsidP="008678CF">
            <w:pPr>
              <w:ind w:left="-108"/>
              <w:jc w:val="center"/>
              <w:rPr>
                <w:b/>
                <w:szCs w:val="24"/>
              </w:rPr>
            </w:pPr>
          </w:p>
          <w:p w14:paraId="323AFB2F" w14:textId="77777777" w:rsidR="00853611" w:rsidRPr="00721982" w:rsidRDefault="00853611" w:rsidP="008678CF">
            <w:pPr>
              <w:ind w:left="-108"/>
              <w:rPr>
                <w:b/>
                <w:szCs w:val="24"/>
              </w:rPr>
            </w:pPr>
            <w:r w:rsidRPr="00721982">
              <w:rPr>
                <w:b/>
                <w:szCs w:val="24"/>
              </w:rPr>
              <w:t>Výdaje kapitoly celkem</w:t>
            </w:r>
          </w:p>
        </w:tc>
        <w:tc>
          <w:tcPr>
            <w:tcW w:w="1842" w:type="dxa"/>
            <w:vAlign w:val="bottom"/>
          </w:tcPr>
          <w:p w14:paraId="1BC31B7C" w14:textId="77777777" w:rsidR="00853611" w:rsidRPr="00735BCB" w:rsidRDefault="00853611" w:rsidP="008678CF">
            <w:pPr>
              <w:jc w:val="right"/>
              <w:rPr>
                <w:b/>
                <w:bCs/>
                <w:szCs w:val="24"/>
              </w:rPr>
            </w:pPr>
            <w:r w:rsidRPr="00735BCB">
              <w:rPr>
                <w:b/>
                <w:bCs/>
                <w:szCs w:val="24"/>
              </w:rPr>
              <w:t>205 759 166 364</w:t>
            </w:r>
          </w:p>
        </w:tc>
      </w:tr>
      <w:tr w:rsidR="00853611" w:rsidRPr="00736DF9" w14:paraId="474FAF01" w14:textId="77777777" w:rsidTr="008678CF">
        <w:tc>
          <w:tcPr>
            <w:tcW w:w="7088" w:type="dxa"/>
          </w:tcPr>
          <w:p w14:paraId="1710B88F" w14:textId="77777777" w:rsidR="00853611" w:rsidRPr="00721982" w:rsidRDefault="00853611" w:rsidP="008678CF">
            <w:pPr>
              <w:ind w:left="-108"/>
              <w:rPr>
                <w:b/>
              </w:rPr>
            </w:pPr>
            <w:r w:rsidRPr="00721982">
              <w:t>v tom:</w:t>
            </w:r>
          </w:p>
        </w:tc>
        <w:tc>
          <w:tcPr>
            <w:tcW w:w="1842" w:type="dxa"/>
            <w:vAlign w:val="center"/>
          </w:tcPr>
          <w:p w14:paraId="778513A6" w14:textId="77777777" w:rsidR="00853611" w:rsidRPr="00735BCB" w:rsidRDefault="00853611" w:rsidP="008678CF">
            <w:pPr>
              <w:jc w:val="right"/>
              <w:rPr>
                <w:b/>
                <w:bCs/>
                <w:szCs w:val="24"/>
              </w:rPr>
            </w:pPr>
          </w:p>
        </w:tc>
      </w:tr>
      <w:tr w:rsidR="00853611" w:rsidRPr="00736DF9" w14:paraId="60453ED5" w14:textId="77777777" w:rsidTr="008678CF">
        <w:tc>
          <w:tcPr>
            <w:tcW w:w="7088" w:type="dxa"/>
            <w:vAlign w:val="center"/>
          </w:tcPr>
          <w:p w14:paraId="56F9A230" w14:textId="77777777" w:rsidR="00853611" w:rsidRPr="00345099" w:rsidRDefault="00853611" w:rsidP="008678CF">
            <w:pPr>
              <w:rPr>
                <w:i/>
              </w:rPr>
            </w:pPr>
            <w:r w:rsidRPr="00345099">
              <w:rPr>
                <w:b/>
              </w:rPr>
              <w:t xml:space="preserve">běžné výdaje </w:t>
            </w:r>
            <w:r w:rsidRPr="00345099">
              <w:t>(</w:t>
            </w:r>
            <w:r w:rsidRPr="00345099">
              <w:rPr>
                <w:i/>
              </w:rPr>
              <w:t xml:space="preserve">bez </w:t>
            </w:r>
            <w:r>
              <w:rPr>
                <w:i/>
              </w:rPr>
              <w:t>programového financování</w:t>
            </w:r>
            <w:r w:rsidRPr="00345099">
              <w:rPr>
                <w:i/>
              </w:rPr>
              <w:t>)</w:t>
            </w:r>
          </w:p>
        </w:tc>
        <w:tc>
          <w:tcPr>
            <w:tcW w:w="1842" w:type="dxa"/>
            <w:vAlign w:val="center"/>
          </w:tcPr>
          <w:p w14:paraId="41CFE9B3" w14:textId="77777777" w:rsidR="00853611" w:rsidRPr="00735BCB" w:rsidRDefault="00853611" w:rsidP="008678CF">
            <w:pPr>
              <w:jc w:val="right"/>
              <w:rPr>
                <w:b/>
                <w:bCs/>
                <w:szCs w:val="24"/>
              </w:rPr>
            </w:pPr>
            <w:r w:rsidRPr="00735BCB">
              <w:rPr>
                <w:b/>
                <w:bCs/>
                <w:szCs w:val="24"/>
              </w:rPr>
              <w:t xml:space="preserve">195 398 890 589 </w:t>
            </w:r>
          </w:p>
        </w:tc>
      </w:tr>
      <w:tr w:rsidR="00853611" w:rsidRPr="006847BF" w14:paraId="7BBFB16E" w14:textId="77777777" w:rsidTr="008678CF">
        <w:tc>
          <w:tcPr>
            <w:tcW w:w="7088" w:type="dxa"/>
            <w:shd w:val="clear" w:color="auto" w:fill="auto"/>
          </w:tcPr>
          <w:p w14:paraId="5B88642B" w14:textId="77777777" w:rsidR="00853611" w:rsidRPr="003770A2" w:rsidRDefault="00853611" w:rsidP="008678CF">
            <w:pPr>
              <w:tabs>
                <w:tab w:val="left" w:pos="6696"/>
              </w:tabs>
              <w:ind w:left="459"/>
              <w:rPr>
                <w:b/>
              </w:rPr>
            </w:pPr>
            <w:r w:rsidRPr="003770A2">
              <w:rPr>
                <w:b/>
                <w:color w:val="548DD4"/>
              </w:rPr>
              <w:t xml:space="preserve">  </w:t>
            </w:r>
            <w:r w:rsidRPr="003770A2">
              <w:t xml:space="preserve">v tom: </w:t>
            </w:r>
            <w:r w:rsidRPr="003770A2">
              <w:rPr>
                <w:b/>
              </w:rPr>
              <w:t>výdaje na</w:t>
            </w:r>
            <w:r w:rsidRPr="003770A2">
              <w:t xml:space="preserve"> </w:t>
            </w:r>
            <w:r w:rsidRPr="003770A2">
              <w:rPr>
                <w:b/>
              </w:rPr>
              <w:t>mzdové prostředky</w:t>
            </w:r>
          </w:p>
        </w:tc>
        <w:tc>
          <w:tcPr>
            <w:tcW w:w="1842" w:type="dxa"/>
            <w:shd w:val="clear" w:color="auto" w:fill="auto"/>
            <w:vAlign w:val="center"/>
          </w:tcPr>
          <w:p w14:paraId="1A77A9F4" w14:textId="77777777" w:rsidR="00853611" w:rsidRPr="00735BCB" w:rsidRDefault="00853611" w:rsidP="008678CF">
            <w:pPr>
              <w:jc w:val="right"/>
              <w:rPr>
                <w:b/>
                <w:bCs/>
                <w:szCs w:val="24"/>
              </w:rPr>
            </w:pPr>
            <w:r w:rsidRPr="00735BCB">
              <w:rPr>
                <w:b/>
                <w:bCs/>
                <w:szCs w:val="24"/>
              </w:rPr>
              <w:t>99 387 401 401</w:t>
            </w:r>
          </w:p>
        </w:tc>
      </w:tr>
      <w:tr w:rsidR="00853611" w:rsidRPr="006847BF" w14:paraId="36DE9F91" w14:textId="77777777" w:rsidTr="008678CF">
        <w:tc>
          <w:tcPr>
            <w:tcW w:w="7088" w:type="dxa"/>
            <w:shd w:val="clear" w:color="auto" w:fill="auto"/>
          </w:tcPr>
          <w:p w14:paraId="0406C738" w14:textId="77777777" w:rsidR="00853611" w:rsidRPr="003770A2" w:rsidRDefault="00853611" w:rsidP="008678CF">
            <w:pPr>
              <w:ind w:left="1168"/>
              <w:rPr>
                <w:b/>
              </w:rPr>
            </w:pPr>
            <w:r w:rsidRPr="003770A2">
              <w:t>v tom: platy</w:t>
            </w:r>
          </w:p>
        </w:tc>
        <w:tc>
          <w:tcPr>
            <w:tcW w:w="1842" w:type="dxa"/>
            <w:shd w:val="clear" w:color="auto" w:fill="auto"/>
            <w:vAlign w:val="center"/>
          </w:tcPr>
          <w:p w14:paraId="1315655F" w14:textId="77777777" w:rsidR="00853611" w:rsidRPr="00735BCB" w:rsidRDefault="00853611" w:rsidP="008678CF">
            <w:pPr>
              <w:jc w:val="right"/>
              <w:rPr>
                <w:b/>
                <w:bCs/>
                <w:szCs w:val="24"/>
              </w:rPr>
            </w:pPr>
            <w:r w:rsidRPr="00735BCB">
              <w:rPr>
                <w:b/>
                <w:bCs/>
                <w:szCs w:val="24"/>
              </w:rPr>
              <w:t>98 326 029 486</w:t>
            </w:r>
          </w:p>
        </w:tc>
      </w:tr>
      <w:tr w:rsidR="00853611" w:rsidRPr="006847BF" w14:paraId="242914B1" w14:textId="77777777" w:rsidTr="008678CF">
        <w:tc>
          <w:tcPr>
            <w:tcW w:w="7088" w:type="dxa"/>
            <w:shd w:val="clear" w:color="auto" w:fill="auto"/>
          </w:tcPr>
          <w:p w14:paraId="159C3E0B" w14:textId="77777777" w:rsidR="00853611" w:rsidRPr="003770A2" w:rsidRDefault="00853611" w:rsidP="008678CF">
            <w:pPr>
              <w:ind w:left="1877"/>
              <w:rPr>
                <w:b/>
              </w:rPr>
            </w:pPr>
            <w:r w:rsidRPr="003770A2">
              <w:t>OPPP (vč. OON)</w:t>
            </w:r>
          </w:p>
        </w:tc>
        <w:tc>
          <w:tcPr>
            <w:tcW w:w="1842" w:type="dxa"/>
            <w:shd w:val="clear" w:color="auto" w:fill="auto"/>
            <w:vAlign w:val="center"/>
          </w:tcPr>
          <w:p w14:paraId="2604E099" w14:textId="77777777" w:rsidR="00853611" w:rsidRPr="00735BCB" w:rsidRDefault="00853611" w:rsidP="008678CF">
            <w:pPr>
              <w:jc w:val="right"/>
              <w:rPr>
                <w:b/>
                <w:bCs/>
                <w:szCs w:val="24"/>
              </w:rPr>
            </w:pPr>
            <w:r w:rsidRPr="00735BCB">
              <w:rPr>
                <w:b/>
                <w:bCs/>
                <w:szCs w:val="24"/>
              </w:rPr>
              <w:t>1 061 371 915</w:t>
            </w:r>
          </w:p>
        </w:tc>
      </w:tr>
      <w:tr w:rsidR="00853611" w:rsidRPr="006847BF" w14:paraId="07450E06" w14:textId="77777777" w:rsidTr="008678CF">
        <w:tc>
          <w:tcPr>
            <w:tcW w:w="7088" w:type="dxa"/>
            <w:shd w:val="clear" w:color="auto" w:fill="auto"/>
          </w:tcPr>
          <w:p w14:paraId="570B8C3D" w14:textId="77777777" w:rsidR="00853611" w:rsidRPr="008A46F5" w:rsidRDefault="00853611" w:rsidP="008678CF">
            <w:pPr>
              <w:ind w:left="1168"/>
              <w:rPr>
                <w:b/>
              </w:rPr>
            </w:pPr>
            <w:r w:rsidRPr="008A46F5">
              <w:rPr>
                <w:b/>
              </w:rPr>
              <w:t>zákonné odvody do fondů</w:t>
            </w:r>
          </w:p>
        </w:tc>
        <w:tc>
          <w:tcPr>
            <w:tcW w:w="1842" w:type="dxa"/>
            <w:shd w:val="clear" w:color="auto" w:fill="auto"/>
            <w:vAlign w:val="center"/>
          </w:tcPr>
          <w:p w14:paraId="710FD401" w14:textId="77777777" w:rsidR="00853611" w:rsidRPr="00735BCB" w:rsidRDefault="00853611" w:rsidP="008678CF">
            <w:pPr>
              <w:jc w:val="right"/>
              <w:rPr>
                <w:b/>
                <w:bCs/>
                <w:szCs w:val="24"/>
              </w:rPr>
            </w:pPr>
            <w:r w:rsidRPr="00735BCB">
              <w:rPr>
                <w:b/>
                <w:bCs/>
                <w:szCs w:val="24"/>
              </w:rPr>
              <w:t>35 732 205 416</w:t>
            </w:r>
          </w:p>
        </w:tc>
      </w:tr>
      <w:tr w:rsidR="00853611" w:rsidRPr="00DD24B5" w14:paraId="5944CF1C" w14:textId="77777777" w:rsidTr="008678CF">
        <w:tc>
          <w:tcPr>
            <w:tcW w:w="7088" w:type="dxa"/>
            <w:shd w:val="clear" w:color="auto" w:fill="auto"/>
          </w:tcPr>
          <w:p w14:paraId="7F379FC4" w14:textId="77777777" w:rsidR="00853611" w:rsidRPr="008A46F5" w:rsidRDefault="00853611" w:rsidP="008678CF">
            <w:pPr>
              <w:ind w:left="1168"/>
              <w:rPr>
                <w:b/>
                <w:i/>
              </w:rPr>
            </w:pPr>
            <w:r w:rsidRPr="008A46F5">
              <w:rPr>
                <w:i/>
              </w:rPr>
              <w:t>mzdové prostředky a zákonné odvody do fondů celkem</w:t>
            </w:r>
          </w:p>
        </w:tc>
        <w:tc>
          <w:tcPr>
            <w:tcW w:w="1842" w:type="dxa"/>
            <w:shd w:val="clear" w:color="auto" w:fill="auto"/>
            <w:vAlign w:val="center"/>
          </w:tcPr>
          <w:p w14:paraId="13F92D20" w14:textId="77777777" w:rsidR="00853611" w:rsidRPr="00735BCB" w:rsidRDefault="00853611" w:rsidP="008678CF">
            <w:pPr>
              <w:jc w:val="right"/>
              <w:rPr>
                <w:bCs/>
                <w:i/>
                <w:szCs w:val="24"/>
              </w:rPr>
            </w:pPr>
            <w:r w:rsidRPr="00735BCB">
              <w:rPr>
                <w:bCs/>
                <w:i/>
                <w:szCs w:val="24"/>
              </w:rPr>
              <w:t>135 119 606 817</w:t>
            </w:r>
          </w:p>
        </w:tc>
      </w:tr>
      <w:tr w:rsidR="00853611" w:rsidRPr="00CE4C81" w14:paraId="1C87C04E" w14:textId="77777777" w:rsidTr="008678CF">
        <w:tc>
          <w:tcPr>
            <w:tcW w:w="7088" w:type="dxa"/>
            <w:shd w:val="clear" w:color="auto" w:fill="auto"/>
          </w:tcPr>
          <w:p w14:paraId="3FCA3EA3" w14:textId="77777777" w:rsidR="00F809EC" w:rsidRDefault="00F809EC" w:rsidP="008678CF">
            <w:pPr>
              <w:ind w:left="1168"/>
              <w:rPr>
                <w:b/>
              </w:rPr>
            </w:pPr>
            <w:r>
              <w:rPr>
                <w:b/>
              </w:rPr>
              <w:t>Ostatní běžné výdaje (dále jen „</w:t>
            </w:r>
            <w:r w:rsidR="00853611" w:rsidRPr="008A46F5">
              <w:rPr>
                <w:b/>
              </w:rPr>
              <w:t>OBV</w:t>
            </w:r>
            <w:r>
              <w:rPr>
                <w:b/>
              </w:rPr>
              <w:t>“)</w:t>
            </w:r>
          </w:p>
          <w:p w14:paraId="4CD1C868" w14:textId="77777777" w:rsidR="00853611" w:rsidRPr="008A46F5" w:rsidRDefault="00853611" w:rsidP="008678CF">
            <w:pPr>
              <w:ind w:left="1168"/>
              <w:rPr>
                <w:b/>
              </w:rPr>
            </w:pPr>
            <w:r w:rsidRPr="008A46F5">
              <w:rPr>
                <w:b/>
              </w:rPr>
              <w:t xml:space="preserve">(bez </w:t>
            </w:r>
            <w:r>
              <w:rPr>
                <w:b/>
              </w:rPr>
              <w:t>programového financování</w:t>
            </w:r>
            <w:r w:rsidRPr="008A46F5">
              <w:rPr>
                <w:b/>
              </w:rPr>
              <w:t>)</w:t>
            </w:r>
          </w:p>
        </w:tc>
        <w:tc>
          <w:tcPr>
            <w:tcW w:w="1842" w:type="dxa"/>
            <w:shd w:val="clear" w:color="auto" w:fill="auto"/>
            <w:vAlign w:val="center"/>
          </w:tcPr>
          <w:p w14:paraId="27022BC7" w14:textId="77777777" w:rsidR="00F809EC" w:rsidRDefault="00F809EC" w:rsidP="008678CF">
            <w:pPr>
              <w:jc w:val="right"/>
              <w:rPr>
                <w:b/>
                <w:bCs/>
                <w:szCs w:val="24"/>
              </w:rPr>
            </w:pPr>
          </w:p>
          <w:p w14:paraId="19563DA6" w14:textId="77777777" w:rsidR="00853611" w:rsidRPr="00735BCB" w:rsidRDefault="00853611" w:rsidP="008678CF">
            <w:pPr>
              <w:jc w:val="right"/>
              <w:rPr>
                <w:b/>
                <w:bCs/>
                <w:szCs w:val="24"/>
              </w:rPr>
            </w:pPr>
            <w:r w:rsidRPr="00735BCB">
              <w:rPr>
                <w:b/>
                <w:bCs/>
                <w:szCs w:val="24"/>
              </w:rPr>
              <w:t>60 279 283 772</w:t>
            </w:r>
          </w:p>
        </w:tc>
      </w:tr>
      <w:tr w:rsidR="00853611" w:rsidRPr="00D90901" w14:paraId="042AE50A" w14:textId="77777777" w:rsidTr="008678CF">
        <w:tc>
          <w:tcPr>
            <w:tcW w:w="7088" w:type="dxa"/>
          </w:tcPr>
          <w:p w14:paraId="1EE93041" w14:textId="77777777" w:rsidR="00853611" w:rsidRPr="001A20C6" w:rsidRDefault="00853611" w:rsidP="008678CF">
            <w:pPr>
              <w:tabs>
                <w:tab w:val="left" w:leader="dot" w:pos="6599"/>
              </w:tabs>
              <w:ind w:left="-108" w:right="34"/>
              <w:rPr>
                <w:b/>
              </w:rPr>
            </w:pPr>
            <w:r w:rsidRPr="001A20C6">
              <w:rPr>
                <w:b/>
              </w:rPr>
              <w:t xml:space="preserve">běžné výdaje </w:t>
            </w:r>
            <w:r w:rsidRPr="001A20C6">
              <w:t>zahrnuté v</w:t>
            </w:r>
            <w:r>
              <w:t> programovém financování</w:t>
            </w:r>
          </w:p>
        </w:tc>
        <w:tc>
          <w:tcPr>
            <w:tcW w:w="1842" w:type="dxa"/>
            <w:vAlign w:val="center"/>
          </w:tcPr>
          <w:p w14:paraId="72ECDEC3" w14:textId="77777777" w:rsidR="00853611" w:rsidRPr="00735BCB" w:rsidRDefault="00853611" w:rsidP="008678CF">
            <w:pPr>
              <w:jc w:val="right"/>
              <w:rPr>
                <w:b/>
                <w:bCs/>
                <w:szCs w:val="24"/>
              </w:rPr>
            </w:pPr>
            <w:r w:rsidRPr="00735BCB">
              <w:rPr>
                <w:b/>
                <w:bCs/>
                <w:szCs w:val="24"/>
              </w:rPr>
              <w:t>619 912 616</w:t>
            </w:r>
          </w:p>
        </w:tc>
      </w:tr>
      <w:tr w:rsidR="00853611" w:rsidRPr="00736DF9" w14:paraId="3974A914" w14:textId="77777777" w:rsidTr="008678CF">
        <w:tc>
          <w:tcPr>
            <w:tcW w:w="7088" w:type="dxa"/>
          </w:tcPr>
          <w:p w14:paraId="7CA17065" w14:textId="77777777" w:rsidR="00853611" w:rsidRPr="005659FA" w:rsidRDefault="00853611" w:rsidP="008678CF">
            <w:pPr>
              <w:tabs>
                <w:tab w:val="left" w:pos="6696"/>
              </w:tabs>
              <w:ind w:left="459"/>
              <w:rPr>
                <w:b/>
              </w:rPr>
            </w:pPr>
            <w:r w:rsidRPr="005659FA">
              <w:rPr>
                <w:b/>
                <w:color w:val="548DD4"/>
              </w:rPr>
              <w:t xml:space="preserve">  </w:t>
            </w:r>
            <w:r w:rsidRPr="005659FA">
              <w:t xml:space="preserve">v tom: </w:t>
            </w:r>
            <w:r w:rsidRPr="005659FA">
              <w:rPr>
                <w:b/>
              </w:rPr>
              <w:t>výdaje na</w:t>
            </w:r>
            <w:r w:rsidRPr="005659FA">
              <w:t xml:space="preserve"> </w:t>
            </w:r>
            <w:r w:rsidRPr="005659FA">
              <w:rPr>
                <w:b/>
              </w:rPr>
              <w:t>mzdové prostředky</w:t>
            </w:r>
          </w:p>
        </w:tc>
        <w:tc>
          <w:tcPr>
            <w:tcW w:w="1842" w:type="dxa"/>
            <w:vAlign w:val="center"/>
          </w:tcPr>
          <w:p w14:paraId="5861C2A2" w14:textId="77777777" w:rsidR="00853611" w:rsidRPr="00735BCB" w:rsidRDefault="00853611" w:rsidP="008678CF">
            <w:pPr>
              <w:jc w:val="right"/>
              <w:rPr>
                <w:b/>
                <w:bCs/>
                <w:szCs w:val="24"/>
              </w:rPr>
            </w:pPr>
            <w:r w:rsidRPr="00735BCB">
              <w:rPr>
                <w:b/>
                <w:bCs/>
                <w:szCs w:val="24"/>
              </w:rPr>
              <w:t>63 896 439</w:t>
            </w:r>
          </w:p>
        </w:tc>
      </w:tr>
      <w:tr w:rsidR="00853611" w:rsidRPr="00736DF9" w14:paraId="536DAFFD" w14:textId="77777777" w:rsidTr="008678CF">
        <w:tc>
          <w:tcPr>
            <w:tcW w:w="7088" w:type="dxa"/>
          </w:tcPr>
          <w:p w14:paraId="4B873124" w14:textId="77777777" w:rsidR="00853611" w:rsidRPr="00345099" w:rsidRDefault="00853611" w:rsidP="008678CF">
            <w:pPr>
              <w:ind w:left="1168"/>
              <w:rPr>
                <w:b/>
              </w:rPr>
            </w:pPr>
            <w:r w:rsidRPr="00345099">
              <w:t>v tom: platy</w:t>
            </w:r>
          </w:p>
        </w:tc>
        <w:tc>
          <w:tcPr>
            <w:tcW w:w="1842" w:type="dxa"/>
            <w:vAlign w:val="center"/>
          </w:tcPr>
          <w:p w14:paraId="1C7519DB" w14:textId="77777777" w:rsidR="00853611" w:rsidRPr="00735BCB" w:rsidRDefault="00853611" w:rsidP="008678CF">
            <w:pPr>
              <w:jc w:val="right"/>
              <w:rPr>
                <w:b/>
                <w:bCs/>
                <w:szCs w:val="24"/>
              </w:rPr>
            </w:pPr>
            <w:r w:rsidRPr="00735BCB">
              <w:rPr>
                <w:b/>
                <w:bCs/>
                <w:szCs w:val="24"/>
              </w:rPr>
              <w:t>34 219 475</w:t>
            </w:r>
          </w:p>
        </w:tc>
      </w:tr>
      <w:tr w:rsidR="00853611" w:rsidRPr="002B0977" w14:paraId="3F6B1130" w14:textId="77777777" w:rsidTr="008678CF">
        <w:trPr>
          <w:trHeight w:val="329"/>
        </w:trPr>
        <w:tc>
          <w:tcPr>
            <w:tcW w:w="7088" w:type="dxa"/>
          </w:tcPr>
          <w:p w14:paraId="3205570D" w14:textId="77777777" w:rsidR="00853611" w:rsidRPr="00345099" w:rsidRDefault="00853611" w:rsidP="008678CF">
            <w:pPr>
              <w:ind w:left="1877"/>
              <w:rPr>
                <w:b/>
              </w:rPr>
            </w:pPr>
            <w:r w:rsidRPr="00345099">
              <w:t>OPPP (vč. OON)</w:t>
            </w:r>
          </w:p>
        </w:tc>
        <w:tc>
          <w:tcPr>
            <w:tcW w:w="1842" w:type="dxa"/>
            <w:vAlign w:val="center"/>
          </w:tcPr>
          <w:p w14:paraId="11E954E8" w14:textId="77777777" w:rsidR="00853611" w:rsidRPr="00735BCB" w:rsidRDefault="00853611" w:rsidP="008678CF">
            <w:pPr>
              <w:jc w:val="right"/>
              <w:rPr>
                <w:b/>
                <w:bCs/>
                <w:szCs w:val="24"/>
              </w:rPr>
            </w:pPr>
            <w:r w:rsidRPr="00735BCB">
              <w:rPr>
                <w:b/>
                <w:bCs/>
                <w:szCs w:val="24"/>
              </w:rPr>
              <w:t>29 676 964</w:t>
            </w:r>
          </w:p>
        </w:tc>
      </w:tr>
      <w:tr w:rsidR="00853611" w:rsidRPr="002B0977" w14:paraId="701B5061" w14:textId="77777777" w:rsidTr="008678CF">
        <w:trPr>
          <w:trHeight w:val="340"/>
        </w:trPr>
        <w:tc>
          <w:tcPr>
            <w:tcW w:w="7088" w:type="dxa"/>
          </w:tcPr>
          <w:p w14:paraId="097F2E2A" w14:textId="77777777" w:rsidR="00853611" w:rsidRPr="005659FA" w:rsidRDefault="00853611" w:rsidP="008678CF">
            <w:pPr>
              <w:ind w:left="1168"/>
              <w:rPr>
                <w:b/>
              </w:rPr>
            </w:pPr>
            <w:r w:rsidRPr="005659FA">
              <w:rPr>
                <w:b/>
              </w:rPr>
              <w:lastRenderedPageBreak/>
              <w:t>zákonné odvody do fondů</w:t>
            </w:r>
          </w:p>
        </w:tc>
        <w:tc>
          <w:tcPr>
            <w:tcW w:w="1842" w:type="dxa"/>
            <w:vAlign w:val="center"/>
          </w:tcPr>
          <w:p w14:paraId="6F1ABEEC" w14:textId="77777777" w:rsidR="00853611" w:rsidRPr="00735BCB" w:rsidRDefault="00853611" w:rsidP="008678CF">
            <w:pPr>
              <w:jc w:val="right"/>
              <w:rPr>
                <w:b/>
                <w:bCs/>
                <w:szCs w:val="24"/>
              </w:rPr>
            </w:pPr>
            <w:r w:rsidRPr="00735BCB">
              <w:rPr>
                <w:b/>
                <w:bCs/>
                <w:szCs w:val="24"/>
              </w:rPr>
              <w:t>16 549 689</w:t>
            </w:r>
          </w:p>
        </w:tc>
      </w:tr>
      <w:tr w:rsidR="00853611" w:rsidRPr="002B0977" w14:paraId="0B5B9E05" w14:textId="77777777" w:rsidTr="008678CF">
        <w:trPr>
          <w:trHeight w:val="340"/>
        </w:trPr>
        <w:tc>
          <w:tcPr>
            <w:tcW w:w="7088" w:type="dxa"/>
          </w:tcPr>
          <w:p w14:paraId="62E781C3" w14:textId="77777777" w:rsidR="00853611" w:rsidRPr="005659FA" w:rsidRDefault="00853611" w:rsidP="008678CF">
            <w:pPr>
              <w:ind w:left="1168"/>
              <w:rPr>
                <w:b/>
                <w:i/>
              </w:rPr>
            </w:pPr>
            <w:r w:rsidRPr="005659FA">
              <w:rPr>
                <w:i/>
              </w:rPr>
              <w:t>mzdové prostředky a zákonné odvody do fondů celkem</w:t>
            </w:r>
          </w:p>
        </w:tc>
        <w:tc>
          <w:tcPr>
            <w:tcW w:w="1842" w:type="dxa"/>
            <w:vAlign w:val="center"/>
          </w:tcPr>
          <w:p w14:paraId="6669FEAA" w14:textId="77777777" w:rsidR="00853611" w:rsidRPr="00735BCB" w:rsidRDefault="00853611" w:rsidP="008678CF">
            <w:pPr>
              <w:jc w:val="right"/>
              <w:rPr>
                <w:bCs/>
                <w:i/>
                <w:szCs w:val="24"/>
              </w:rPr>
            </w:pPr>
            <w:r w:rsidRPr="00735BCB">
              <w:rPr>
                <w:bCs/>
                <w:i/>
                <w:szCs w:val="24"/>
              </w:rPr>
              <w:t>80 446 128</w:t>
            </w:r>
          </w:p>
        </w:tc>
      </w:tr>
      <w:tr w:rsidR="00853611" w:rsidRPr="002B0977" w14:paraId="26A83F8E" w14:textId="77777777" w:rsidTr="008678CF">
        <w:trPr>
          <w:trHeight w:val="340"/>
        </w:trPr>
        <w:tc>
          <w:tcPr>
            <w:tcW w:w="7088" w:type="dxa"/>
          </w:tcPr>
          <w:p w14:paraId="54C9EC9F" w14:textId="77777777" w:rsidR="00853611" w:rsidRPr="005659FA" w:rsidRDefault="00853611" w:rsidP="008678CF">
            <w:pPr>
              <w:ind w:left="1168"/>
              <w:rPr>
                <w:b/>
              </w:rPr>
            </w:pPr>
            <w:r w:rsidRPr="005659FA">
              <w:rPr>
                <w:b/>
              </w:rPr>
              <w:t>OBV (zahrnuté v</w:t>
            </w:r>
            <w:r>
              <w:rPr>
                <w:b/>
              </w:rPr>
              <w:t> programovém financování</w:t>
            </w:r>
            <w:r w:rsidRPr="005659FA">
              <w:rPr>
                <w:b/>
              </w:rPr>
              <w:t>)</w:t>
            </w:r>
          </w:p>
        </w:tc>
        <w:tc>
          <w:tcPr>
            <w:tcW w:w="1842" w:type="dxa"/>
            <w:vAlign w:val="center"/>
          </w:tcPr>
          <w:p w14:paraId="6187828D" w14:textId="77777777" w:rsidR="00853611" w:rsidRPr="00735BCB" w:rsidRDefault="00853611" w:rsidP="008678CF">
            <w:pPr>
              <w:jc w:val="right"/>
              <w:rPr>
                <w:b/>
                <w:bCs/>
                <w:szCs w:val="24"/>
              </w:rPr>
            </w:pPr>
            <w:r w:rsidRPr="00735BCB">
              <w:rPr>
                <w:b/>
                <w:bCs/>
                <w:szCs w:val="24"/>
              </w:rPr>
              <w:t>539 466 488</w:t>
            </w:r>
          </w:p>
        </w:tc>
      </w:tr>
      <w:tr w:rsidR="00853611" w:rsidRPr="00514F86" w14:paraId="4AD6A14D" w14:textId="77777777" w:rsidTr="008678CF">
        <w:trPr>
          <w:trHeight w:val="340"/>
        </w:trPr>
        <w:tc>
          <w:tcPr>
            <w:tcW w:w="7088" w:type="dxa"/>
          </w:tcPr>
          <w:p w14:paraId="1F9AE662" w14:textId="77777777" w:rsidR="00853611" w:rsidRPr="001A20C6" w:rsidRDefault="00853611" w:rsidP="008678CF">
            <w:pPr>
              <w:tabs>
                <w:tab w:val="left" w:leader="dot" w:pos="6599"/>
                <w:tab w:val="left" w:pos="6696"/>
              </w:tabs>
              <w:ind w:hanging="108"/>
            </w:pPr>
            <w:r w:rsidRPr="001A20C6">
              <w:rPr>
                <w:b/>
              </w:rPr>
              <w:t xml:space="preserve">kapitálové výdaje </w:t>
            </w:r>
            <w:r w:rsidRPr="001A20C6">
              <w:t>zahrnuté v</w:t>
            </w:r>
            <w:r>
              <w:t> programovém financování</w:t>
            </w:r>
            <w:r w:rsidRPr="001A20C6">
              <w:t xml:space="preserve"> </w:t>
            </w:r>
          </w:p>
        </w:tc>
        <w:tc>
          <w:tcPr>
            <w:tcW w:w="1842" w:type="dxa"/>
            <w:vAlign w:val="center"/>
          </w:tcPr>
          <w:p w14:paraId="1484EF22" w14:textId="77777777" w:rsidR="00853611" w:rsidRPr="00735BCB" w:rsidRDefault="00853611" w:rsidP="008678CF">
            <w:pPr>
              <w:jc w:val="right"/>
              <w:rPr>
                <w:b/>
                <w:bCs/>
                <w:szCs w:val="24"/>
              </w:rPr>
            </w:pPr>
            <w:r>
              <w:rPr>
                <w:b/>
                <w:bCs/>
                <w:szCs w:val="24"/>
              </w:rPr>
              <w:t>5 246 791 379</w:t>
            </w:r>
          </w:p>
        </w:tc>
      </w:tr>
      <w:tr w:rsidR="00853611" w:rsidRPr="00514F86" w14:paraId="3E064C6F" w14:textId="77777777" w:rsidTr="008678CF">
        <w:trPr>
          <w:trHeight w:val="340"/>
        </w:trPr>
        <w:tc>
          <w:tcPr>
            <w:tcW w:w="7088" w:type="dxa"/>
          </w:tcPr>
          <w:p w14:paraId="26F6D86C" w14:textId="77777777" w:rsidR="00853611" w:rsidRPr="001A20C6" w:rsidRDefault="00853611" w:rsidP="008678CF">
            <w:pPr>
              <w:tabs>
                <w:tab w:val="left" w:leader="dot" w:pos="6599"/>
                <w:tab w:val="left" w:pos="6696"/>
              </w:tabs>
              <w:ind w:hanging="108"/>
              <w:rPr>
                <w:b/>
              </w:rPr>
            </w:pPr>
            <w:r w:rsidRPr="001A20C6">
              <w:rPr>
                <w:b/>
              </w:rPr>
              <w:t>výdaje celkem zahrnuté v </w:t>
            </w:r>
            <w:r>
              <w:rPr>
                <w:b/>
              </w:rPr>
              <w:t>programovém financování</w:t>
            </w:r>
          </w:p>
        </w:tc>
        <w:tc>
          <w:tcPr>
            <w:tcW w:w="1842" w:type="dxa"/>
            <w:vAlign w:val="center"/>
          </w:tcPr>
          <w:p w14:paraId="66D96BB7" w14:textId="77777777" w:rsidR="00853611" w:rsidRPr="00735BCB" w:rsidRDefault="00853611" w:rsidP="008678CF">
            <w:pPr>
              <w:tabs>
                <w:tab w:val="left" w:leader="dot" w:pos="6599"/>
                <w:tab w:val="left" w:pos="6696"/>
              </w:tabs>
              <w:ind w:hanging="108"/>
              <w:jc w:val="right"/>
              <w:rPr>
                <w:b/>
              </w:rPr>
            </w:pPr>
            <w:r w:rsidRPr="00735BCB">
              <w:rPr>
                <w:b/>
              </w:rPr>
              <w:t>5 866 703 995</w:t>
            </w:r>
          </w:p>
        </w:tc>
      </w:tr>
      <w:tr w:rsidR="00853611" w:rsidRPr="00514F86" w14:paraId="2DA5900C" w14:textId="77777777" w:rsidTr="008678CF">
        <w:trPr>
          <w:trHeight w:val="340"/>
        </w:trPr>
        <w:tc>
          <w:tcPr>
            <w:tcW w:w="7088" w:type="dxa"/>
            <w:vAlign w:val="center"/>
          </w:tcPr>
          <w:p w14:paraId="12AF08F5" w14:textId="77777777" w:rsidR="00853611" w:rsidRPr="00262BE7" w:rsidRDefault="00853611" w:rsidP="008678CF">
            <w:pPr>
              <w:ind w:left="-108"/>
              <w:rPr>
                <w:i/>
              </w:rPr>
            </w:pPr>
            <w:r w:rsidRPr="00262BE7">
              <w:rPr>
                <w:b/>
              </w:rPr>
              <w:t xml:space="preserve">kapitálové výdaje </w:t>
            </w:r>
            <w:r w:rsidRPr="00262BE7">
              <w:rPr>
                <w:i/>
              </w:rPr>
              <w:t xml:space="preserve">(bez </w:t>
            </w:r>
            <w:r>
              <w:rPr>
                <w:i/>
              </w:rPr>
              <w:t>programového financování</w:t>
            </w:r>
            <w:r w:rsidRPr="00262BE7">
              <w:rPr>
                <w:i/>
              </w:rPr>
              <w:t>)</w:t>
            </w:r>
          </w:p>
        </w:tc>
        <w:tc>
          <w:tcPr>
            <w:tcW w:w="1842" w:type="dxa"/>
            <w:vAlign w:val="bottom"/>
          </w:tcPr>
          <w:p w14:paraId="5FF74F2E" w14:textId="77777777" w:rsidR="00853611" w:rsidRPr="00735BCB" w:rsidRDefault="00853611" w:rsidP="008678CF">
            <w:pPr>
              <w:tabs>
                <w:tab w:val="left" w:leader="dot" w:pos="6599"/>
                <w:tab w:val="left" w:pos="6696"/>
              </w:tabs>
              <w:ind w:hanging="108"/>
              <w:jc w:val="right"/>
              <w:rPr>
                <w:b/>
              </w:rPr>
            </w:pPr>
            <w:r w:rsidRPr="00735BCB">
              <w:rPr>
                <w:b/>
              </w:rPr>
              <w:t>4 493 571 780</w:t>
            </w:r>
          </w:p>
        </w:tc>
      </w:tr>
      <w:tr w:rsidR="00853611" w:rsidRPr="00514F86" w14:paraId="6CA91DE1" w14:textId="77777777" w:rsidTr="008678CF">
        <w:trPr>
          <w:trHeight w:val="340"/>
        </w:trPr>
        <w:tc>
          <w:tcPr>
            <w:tcW w:w="7088" w:type="dxa"/>
            <w:vAlign w:val="center"/>
          </w:tcPr>
          <w:p w14:paraId="4393EB42" w14:textId="77777777" w:rsidR="00853611" w:rsidRPr="001A20C6" w:rsidRDefault="00853611" w:rsidP="008678CF">
            <w:pPr>
              <w:ind w:left="1168"/>
              <w:rPr>
                <w:b/>
              </w:rPr>
            </w:pPr>
            <w:r w:rsidRPr="001A20C6">
              <w:t xml:space="preserve">v tom: VVI vč. </w:t>
            </w:r>
            <w:r>
              <w:t>spolufinancovaných programů</w:t>
            </w:r>
          </w:p>
        </w:tc>
        <w:tc>
          <w:tcPr>
            <w:tcW w:w="1842" w:type="dxa"/>
            <w:vAlign w:val="center"/>
          </w:tcPr>
          <w:p w14:paraId="1CB52715" w14:textId="77777777" w:rsidR="00853611" w:rsidRPr="00735BCB" w:rsidRDefault="00853611" w:rsidP="008678CF">
            <w:pPr>
              <w:jc w:val="right"/>
              <w:rPr>
                <w:b/>
                <w:bCs/>
                <w:szCs w:val="24"/>
              </w:rPr>
            </w:pPr>
            <w:r w:rsidRPr="00735BCB">
              <w:rPr>
                <w:b/>
                <w:bCs/>
                <w:szCs w:val="24"/>
              </w:rPr>
              <w:t>2 715 301 837</w:t>
            </w:r>
          </w:p>
        </w:tc>
      </w:tr>
      <w:tr w:rsidR="00853611" w:rsidRPr="00514F86" w14:paraId="1581EDA0" w14:textId="77777777" w:rsidTr="008678CF">
        <w:trPr>
          <w:trHeight w:val="340"/>
        </w:trPr>
        <w:tc>
          <w:tcPr>
            <w:tcW w:w="7088" w:type="dxa"/>
            <w:vAlign w:val="center"/>
          </w:tcPr>
          <w:p w14:paraId="2EEC24FE" w14:textId="77777777" w:rsidR="00853611" w:rsidRPr="00643ED0" w:rsidRDefault="00853611" w:rsidP="008678CF">
            <w:pPr>
              <w:tabs>
                <w:tab w:val="left" w:pos="6604"/>
              </w:tabs>
              <w:ind w:left="1168"/>
            </w:pPr>
            <w:r w:rsidRPr="00643ED0">
              <w:t xml:space="preserve">            OP VVV mimo VVI (pro VŠ</w:t>
            </w:r>
            <w:r>
              <w:t>, OPŘO a ČŠI</w:t>
            </w:r>
            <w:r w:rsidRPr="00643ED0">
              <w:t>)</w:t>
            </w:r>
          </w:p>
        </w:tc>
        <w:tc>
          <w:tcPr>
            <w:tcW w:w="1842" w:type="dxa"/>
            <w:vAlign w:val="center"/>
          </w:tcPr>
          <w:p w14:paraId="3453FF9D" w14:textId="77777777" w:rsidR="00853611" w:rsidRPr="00735BCB" w:rsidRDefault="00853611" w:rsidP="008678CF">
            <w:pPr>
              <w:jc w:val="right"/>
              <w:rPr>
                <w:b/>
                <w:bCs/>
                <w:szCs w:val="24"/>
              </w:rPr>
            </w:pPr>
            <w:r w:rsidRPr="00735BCB">
              <w:rPr>
                <w:b/>
                <w:bCs/>
                <w:szCs w:val="24"/>
              </w:rPr>
              <w:t>1 228 269 943</w:t>
            </w:r>
          </w:p>
        </w:tc>
      </w:tr>
      <w:tr w:rsidR="00853611" w:rsidRPr="002B0977" w14:paraId="32D542C1" w14:textId="77777777" w:rsidTr="008678CF">
        <w:trPr>
          <w:trHeight w:val="340"/>
        </w:trPr>
        <w:tc>
          <w:tcPr>
            <w:tcW w:w="7088" w:type="dxa"/>
            <w:vAlign w:val="center"/>
          </w:tcPr>
          <w:p w14:paraId="3485C075" w14:textId="77777777" w:rsidR="00853611" w:rsidRPr="00BF27F2" w:rsidRDefault="00853611" w:rsidP="008678CF">
            <w:pPr>
              <w:tabs>
                <w:tab w:val="left" w:pos="6604"/>
              </w:tabs>
              <w:ind w:left="1168"/>
            </w:pPr>
            <w:r w:rsidRPr="00BF27F2">
              <w:t xml:space="preserve">            VŠ mimo OP VVV</w:t>
            </w:r>
          </w:p>
        </w:tc>
        <w:tc>
          <w:tcPr>
            <w:tcW w:w="1842" w:type="dxa"/>
            <w:vAlign w:val="center"/>
          </w:tcPr>
          <w:p w14:paraId="0A351E3A" w14:textId="77777777" w:rsidR="00853611" w:rsidRPr="00735BCB" w:rsidRDefault="00853611" w:rsidP="008678CF">
            <w:pPr>
              <w:jc w:val="right"/>
              <w:rPr>
                <w:b/>
                <w:bCs/>
                <w:szCs w:val="24"/>
              </w:rPr>
            </w:pPr>
            <w:r w:rsidRPr="00735BCB">
              <w:rPr>
                <w:b/>
                <w:bCs/>
                <w:szCs w:val="24"/>
              </w:rPr>
              <w:t>550 000 000</w:t>
            </w:r>
          </w:p>
        </w:tc>
      </w:tr>
    </w:tbl>
    <w:p w14:paraId="3A6EBBFB" w14:textId="77777777" w:rsidR="00853611" w:rsidRDefault="00853611" w:rsidP="00853611">
      <w:pPr>
        <w:pStyle w:val="Text"/>
      </w:pPr>
    </w:p>
    <w:p w14:paraId="452E6C2B" w14:textId="77777777" w:rsidR="00853611" w:rsidRPr="00686BE8" w:rsidRDefault="00853611" w:rsidP="00B26388">
      <w:pPr>
        <w:pStyle w:val="Nadpis3"/>
      </w:pPr>
      <w:bookmarkStart w:id="30" w:name="_Toc5968817"/>
      <w:bookmarkStart w:id="31" w:name="_Toc194990727"/>
      <w:bookmarkStart w:id="32" w:name="_Toc211387749"/>
      <w:r w:rsidRPr="00686BE8">
        <w:t>Rozpracování výdajových limitů na rok 201</w:t>
      </w:r>
      <w:r>
        <w:t>9</w:t>
      </w:r>
      <w:r w:rsidRPr="00686BE8">
        <w:t xml:space="preserve"> do jednotlivých závazných ukazatelů</w:t>
      </w:r>
      <w:bookmarkEnd w:id="30"/>
      <w:r w:rsidRPr="00686BE8">
        <w:t xml:space="preserve"> </w:t>
      </w:r>
    </w:p>
    <w:p w14:paraId="20F87B40" w14:textId="77777777" w:rsidR="00853611" w:rsidRPr="00B70F0B" w:rsidRDefault="00853611" w:rsidP="00853611">
      <w:pPr>
        <w:rPr>
          <w:color w:val="548DD4"/>
          <w:highlight w:val="yellow"/>
        </w:rPr>
      </w:pPr>
    </w:p>
    <w:p w14:paraId="779D009E" w14:textId="460E6B4F" w:rsidR="00853611" w:rsidRPr="00E47ABF" w:rsidRDefault="00853611" w:rsidP="00853611">
      <w:pPr>
        <w:pStyle w:val="Text"/>
      </w:pPr>
      <w:r w:rsidRPr="00E47ABF">
        <w:t xml:space="preserve">V souladu s instrukcemi MF </w:t>
      </w:r>
      <w:r>
        <w:t>byl</w:t>
      </w:r>
      <w:r w:rsidRPr="00E47ABF">
        <w:t xml:space="preserve"> návrh rozpočtu kapitoly MŠMT </w:t>
      </w:r>
      <w:r>
        <w:rPr>
          <w:u w:val="single"/>
        </w:rPr>
        <w:t>zpracován v příjmové a </w:t>
      </w:r>
      <w:r w:rsidRPr="00E47ABF">
        <w:rPr>
          <w:u w:val="single"/>
        </w:rPr>
        <w:t>výdajové struktuře</w:t>
      </w:r>
      <w:r>
        <w:rPr>
          <w:u w:val="single"/>
        </w:rPr>
        <w:t xml:space="preserve"> - </w:t>
      </w:r>
      <w:r w:rsidRPr="00E47ABF">
        <w:rPr>
          <w:u w:val="single"/>
        </w:rPr>
        <w:t>struktuře výdajových bloků a okruhů,</w:t>
      </w:r>
      <w:r w:rsidRPr="00E47ABF">
        <w:t xml:space="preserve"> které jsou specifickými závaznými ukazateli na rok 201</w:t>
      </w:r>
      <w:r w:rsidR="008C6CD8">
        <w:t>9</w:t>
      </w:r>
      <w:r w:rsidRPr="00E47ABF">
        <w:t>.</w:t>
      </w:r>
    </w:p>
    <w:p w14:paraId="5D2D9A58" w14:textId="77777777" w:rsidR="00636DE9" w:rsidRDefault="00636DE9" w:rsidP="00636DE9">
      <w:pPr>
        <w:pStyle w:val="Titulek"/>
        <w:keepNext/>
      </w:pPr>
      <w:bookmarkStart w:id="33" w:name="_Toc5965620"/>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A</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3</w:t>
      </w:r>
      <w:r w:rsidR="005F53B0">
        <w:rPr>
          <w:noProof/>
        </w:rPr>
        <w:fldChar w:fldCharType="end"/>
      </w:r>
      <w:r>
        <w:t xml:space="preserve">: </w:t>
      </w:r>
      <w:r w:rsidRPr="00384A84">
        <w:t>Specifické závazné ukazatele na rok 201</w:t>
      </w:r>
      <w:r>
        <w:t>9</w:t>
      </w:r>
      <w:bookmarkEnd w:id="33"/>
    </w:p>
    <w:tbl>
      <w:tblPr>
        <w:tblW w:w="9072" w:type="dxa"/>
        <w:tblInd w:w="70" w:type="dxa"/>
        <w:tblCellMar>
          <w:left w:w="70" w:type="dxa"/>
          <w:right w:w="70" w:type="dxa"/>
        </w:tblCellMar>
        <w:tblLook w:val="0000" w:firstRow="0" w:lastRow="0" w:firstColumn="0" w:lastColumn="0" w:noHBand="0" w:noVBand="0"/>
      </w:tblPr>
      <w:tblGrid>
        <w:gridCol w:w="7230"/>
        <w:gridCol w:w="1842"/>
      </w:tblGrid>
      <w:tr w:rsidR="00853611" w:rsidRPr="00384A84" w14:paraId="62D869FF" w14:textId="77777777" w:rsidTr="008678CF">
        <w:trPr>
          <w:trHeight w:val="525"/>
        </w:trPr>
        <w:tc>
          <w:tcPr>
            <w:tcW w:w="7230"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9870001" w14:textId="77777777" w:rsidR="00853611" w:rsidRPr="00CE4C81" w:rsidRDefault="00853611" w:rsidP="008678CF">
            <w:pPr>
              <w:jc w:val="center"/>
              <w:rPr>
                <w:b/>
                <w:bCs/>
                <w:szCs w:val="24"/>
              </w:rPr>
            </w:pPr>
            <w:r w:rsidRPr="00CE4C81">
              <w:rPr>
                <w:b/>
                <w:bCs/>
                <w:szCs w:val="24"/>
              </w:rPr>
              <w:t>Specifické ukazatele rozpočtu</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14:paraId="0B17FEA2" w14:textId="77777777" w:rsidR="00853611" w:rsidRPr="00CE4C81" w:rsidRDefault="00853611" w:rsidP="008678CF">
            <w:pPr>
              <w:jc w:val="center"/>
              <w:rPr>
                <w:b/>
                <w:bCs/>
                <w:szCs w:val="24"/>
              </w:rPr>
            </w:pPr>
            <w:r w:rsidRPr="00CE4C81">
              <w:rPr>
                <w:b/>
                <w:bCs/>
                <w:szCs w:val="24"/>
              </w:rPr>
              <w:t xml:space="preserve">celkem MŠMT </w:t>
            </w:r>
          </w:p>
          <w:p w14:paraId="32903F48" w14:textId="77777777" w:rsidR="00853611" w:rsidRPr="00CE4C81" w:rsidRDefault="00853611" w:rsidP="008678CF">
            <w:pPr>
              <w:jc w:val="center"/>
              <w:rPr>
                <w:b/>
                <w:bCs/>
                <w:szCs w:val="24"/>
              </w:rPr>
            </w:pPr>
            <w:r w:rsidRPr="00CE4C81">
              <w:rPr>
                <w:b/>
                <w:bCs/>
                <w:szCs w:val="24"/>
              </w:rPr>
              <w:t>(v Kč)</w:t>
            </w:r>
          </w:p>
        </w:tc>
      </w:tr>
      <w:tr w:rsidR="00853611" w:rsidRPr="00090EFE" w14:paraId="29AED81D" w14:textId="77777777" w:rsidTr="008678CF">
        <w:trPr>
          <w:trHeight w:val="318"/>
        </w:trPr>
        <w:tc>
          <w:tcPr>
            <w:tcW w:w="7230" w:type="dxa"/>
            <w:tcBorders>
              <w:top w:val="nil"/>
              <w:left w:val="single" w:sz="8" w:space="0" w:color="auto"/>
              <w:bottom w:val="nil"/>
              <w:right w:val="nil"/>
            </w:tcBorders>
            <w:shd w:val="clear" w:color="auto" w:fill="auto"/>
            <w:noWrap/>
            <w:vAlign w:val="bottom"/>
          </w:tcPr>
          <w:p w14:paraId="2367485C" w14:textId="77777777" w:rsidR="00853611" w:rsidRPr="00721982" w:rsidRDefault="00853611" w:rsidP="008678CF">
            <w:pPr>
              <w:rPr>
                <w:b/>
                <w:bCs/>
                <w:szCs w:val="24"/>
              </w:rPr>
            </w:pPr>
            <w:r w:rsidRPr="00721982">
              <w:rPr>
                <w:b/>
                <w:bCs/>
                <w:szCs w:val="24"/>
              </w:rPr>
              <w:t>Celkem výdaje MŠMT</w:t>
            </w:r>
          </w:p>
        </w:tc>
        <w:tc>
          <w:tcPr>
            <w:tcW w:w="1842" w:type="dxa"/>
            <w:tcBorders>
              <w:top w:val="nil"/>
              <w:left w:val="single" w:sz="8" w:space="0" w:color="auto"/>
              <w:bottom w:val="single" w:sz="8" w:space="0" w:color="auto"/>
              <w:right w:val="single" w:sz="8" w:space="0" w:color="auto"/>
            </w:tcBorders>
            <w:shd w:val="clear" w:color="auto" w:fill="auto"/>
            <w:noWrap/>
            <w:vAlign w:val="center"/>
          </w:tcPr>
          <w:p w14:paraId="4C4FBA67" w14:textId="77777777" w:rsidR="00853611" w:rsidRPr="00721982" w:rsidRDefault="00853611" w:rsidP="008678CF">
            <w:pPr>
              <w:jc w:val="right"/>
              <w:rPr>
                <w:b/>
                <w:bCs/>
                <w:color w:val="000000"/>
                <w:szCs w:val="24"/>
              </w:rPr>
            </w:pPr>
            <w:r>
              <w:rPr>
                <w:b/>
                <w:bCs/>
                <w:color w:val="000000"/>
                <w:szCs w:val="24"/>
              </w:rPr>
              <w:t>205 759 166 364</w:t>
            </w:r>
          </w:p>
        </w:tc>
      </w:tr>
      <w:tr w:rsidR="00853611" w:rsidRPr="00090EFE" w14:paraId="06C3EB60" w14:textId="77777777" w:rsidTr="008678CF">
        <w:trPr>
          <w:trHeight w:val="255"/>
        </w:trPr>
        <w:tc>
          <w:tcPr>
            <w:tcW w:w="7230" w:type="dxa"/>
            <w:tcBorders>
              <w:top w:val="single" w:sz="4" w:space="0" w:color="auto"/>
              <w:left w:val="single" w:sz="8" w:space="0" w:color="auto"/>
              <w:bottom w:val="single" w:sz="4" w:space="0" w:color="auto"/>
              <w:right w:val="single" w:sz="8" w:space="0" w:color="auto"/>
            </w:tcBorders>
            <w:shd w:val="clear" w:color="auto" w:fill="auto"/>
            <w:vAlign w:val="bottom"/>
          </w:tcPr>
          <w:p w14:paraId="33A58A15" w14:textId="77777777" w:rsidR="00853611" w:rsidRPr="007957C5" w:rsidRDefault="00853611" w:rsidP="008678CF">
            <w:pPr>
              <w:rPr>
                <w:b/>
                <w:bCs/>
                <w:szCs w:val="24"/>
              </w:rPr>
            </w:pPr>
            <w:r w:rsidRPr="007957C5">
              <w:rPr>
                <w:b/>
                <w:bCs/>
                <w:szCs w:val="24"/>
              </w:rPr>
              <w:t>věda a vysoké školy</w:t>
            </w:r>
          </w:p>
        </w:tc>
        <w:tc>
          <w:tcPr>
            <w:tcW w:w="1842" w:type="dxa"/>
            <w:tcBorders>
              <w:top w:val="nil"/>
              <w:left w:val="nil"/>
              <w:bottom w:val="single" w:sz="4" w:space="0" w:color="auto"/>
              <w:right w:val="single" w:sz="8" w:space="0" w:color="auto"/>
            </w:tcBorders>
            <w:shd w:val="clear" w:color="auto" w:fill="auto"/>
            <w:noWrap/>
            <w:vAlign w:val="center"/>
          </w:tcPr>
          <w:p w14:paraId="70AF0E49" w14:textId="77777777" w:rsidR="00853611" w:rsidRPr="007957C5" w:rsidRDefault="00853611" w:rsidP="008678CF">
            <w:pPr>
              <w:jc w:val="right"/>
              <w:rPr>
                <w:b/>
                <w:bCs/>
                <w:color w:val="000000"/>
                <w:szCs w:val="24"/>
              </w:rPr>
            </w:pPr>
            <w:r>
              <w:rPr>
                <w:b/>
                <w:bCs/>
                <w:color w:val="000000"/>
                <w:szCs w:val="24"/>
              </w:rPr>
              <w:t>46 263 016 939</w:t>
            </w:r>
          </w:p>
        </w:tc>
      </w:tr>
      <w:tr w:rsidR="00853611" w:rsidRPr="00384A84" w14:paraId="7C7B5EFB" w14:textId="77777777" w:rsidTr="008678CF">
        <w:trPr>
          <w:trHeight w:val="255"/>
        </w:trPr>
        <w:tc>
          <w:tcPr>
            <w:tcW w:w="7230" w:type="dxa"/>
            <w:tcBorders>
              <w:top w:val="nil"/>
              <w:left w:val="single" w:sz="8" w:space="0" w:color="auto"/>
              <w:bottom w:val="single" w:sz="4" w:space="0" w:color="auto"/>
              <w:right w:val="nil"/>
            </w:tcBorders>
            <w:shd w:val="clear" w:color="auto" w:fill="auto"/>
            <w:vAlign w:val="bottom"/>
          </w:tcPr>
          <w:p w14:paraId="2529883C" w14:textId="77777777" w:rsidR="00853611" w:rsidRPr="007957C5" w:rsidRDefault="00853611" w:rsidP="008678CF">
            <w:pPr>
              <w:rPr>
                <w:szCs w:val="24"/>
              </w:rPr>
            </w:pPr>
            <w:r w:rsidRPr="007957C5">
              <w:rPr>
                <w:szCs w:val="24"/>
              </w:rPr>
              <w:t xml:space="preserve">             v tom: vysoké školy</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455C2EC7" w14:textId="77777777" w:rsidR="00853611" w:rsidRPr="007957C5" w:rsidRDefault="00853611" w:rsidP="008678CF">
            <w:pPr>
              <w:jc w:val="right"/>
              <w:rPr>
                <w:color w:val="000000"/>
                <w:szCs w:val="24"/>
              </w:rPr>
            </w:pPr>
            <w:r>
              <w:rPr>
                <w:color w:val="000000"/>
                <w:szCs w:val="24"/>
              </w:rPr>
              <w:t>26 528 676 980</w:t>
            </w:r>
          </w:p>
        </w:tc>
      </w:tr>
      <w:tr w:rsidR="00853611" w:rsidRPr="00090EFE" w14:paraId="18C18DC0" w14:textId="77777777" w:rsidTr="008678CF">
        <w:trPr>
          <w:trHeight w:val="255"/>
        </w:trPr>
        <w:tc>
          <w:tcPr>
            <w:tcW w:w="7230" w:type="dxa"/>
            <w:tcBorders>
              <w:top w:val="nil"/>
              <w:left w:val="single" w:sz="8" w:space="0" w:color="auto"/>
              <w:bottom w:val="single" w:sz="4" w:space="0" w:color="auto"/>
              <w:right w:val="nil"/>
            </w:tcBorders>
            <w:shd w:val="clear" w:color="auto" w:fill="auto"/>
            <w:vAlign w:val="bottom"/>
          </w:tcPr>
          <w:p w14:paraId="23F7C975" w14:textId="77777777" w:rsidR="00853611" w:rsidRPr="007957C5" w:rsidRDefault="00853611" w:rsidP="008678CF">
            <w:pPr>
              <w:rPr>
                <w:szCs w:val="24"/>
              </w:rPr>
            </w:pPr>
            <w:r w:rsidRPr="007957C5">
              <w:rPr>
                <w:szCs w:val="24"/>
              </w:rPr>
              <w:t xml:space="preserve">                        </w:t>
            </w:r>
            <w:r>
              <w:rPr>
                <w:szCs w:val="24"/>
              </w:rPr>
              <w:t>v</w:t>
            </w:r>
            <w:r w:rsidRPr="007957C5">
              <w:rPr>
                <w:szCs w:val="24"/>
              </w:rPr>
              <w:t>ýzkum, vývoj a inovace</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73F85429" w14:textId="77777777" w:rsidR="00853611" w:rsidRPr="007957C5" w:rsidRDefault="00853611" w:rsidP="008678CF">
            <w:pPr>
              <w:jc w:val="right"/>
              <w:rPr>
                <w:color w:val="000000"/>
                <w:szCs w:val="24"/>
              </w:rPr>
            </w:pPr>
            <w:r>
              <w:rPr>
                <w:color w:val="000000"/>
                <w:szCs w:val="24"/>
              </w:rPr>
              <w:t>19 734 339 959</w:t>
            </w:r>
          </w:p>
        </w:tc>
      </w:tr>
      <w:tr w:rsidR="00853611" w:rsidRPr="00090EFE" w14:paraId="526A8ADC" w14:textId="77777777" w:rsidTr="008678CF">
        <w:trPr>
          <w:trHeight w:val="255"/>
        </w:trPr>
        <w:tc>
          <w:tcPr>
            <w:tcW w:w="7230" w:type="dxa"/>
            <w:tcBorders>
              <w:top w:val="nil"/>
              <w:left w:val="single" w:sz="8" w:space="0" w:color="auto"/>
              <w:bottom w:val="single" w:sz="4" w:space="0" w:color="auto"/>
              <w:right w:val="nil"/>
            </w:tcBorders>
            <w:shd w:val="clear" w:color="auto" w:fill="auto"/>
            <w:vAlign w:val="bottom"/>
          </w:tcPr>
          <w:p w14:paraId="5467C51B" w14:textId="77777777" w:rsidR="00853611" w:rsidRPr="007957C5" w:rsidRDefault="00853611" w:rsidP="008678CF">
            <w:pPr>
              <w:rPr>
                <w:i/>
                <w:iCs/>
                <w:szCs w:val="24"/>
              </w:rPr>
            </w:pPr>
            <w:r w:rsidRPr="007957C5">
              <w:rPr>
                <w:i/>
                <w:iCs/>
                <w:szCs w:val="24"/>
              </w:rPr>
              <w:t xml:space="preserve">                             z toho: programy spolufinancované EU </w:t>
            </w:r>
          </w:p>
        </w:tc>
        <w:tc>
          <w:tcPr>
            <w:tcW w:w="1842" w:type="dxa"/>
            <w:tcBorders>
              <w:top w:val="nil"/>
              <w:left w:val="single" w:sz="8" w:space="0" w:color="auto"/>
              <w:bottom w:val="single" w:sz="4" w:space="0" w:color="auto"/>
              <w:right w:val="single" w:sz="8" w:space="0" w:color="auto"/>
            </w:tcBorders>
            <w:shd w:val="clear" w:color="auto" w:fill="auto"/>
            <w:noWrap/>
            <w:vAlign w:val="bottom"/>
          </w:tcPr>
          <w:p w14:paraId="2C018C27" w14:textId="77777777" w:rsidR="00853611" w:rsidRPr="007957C5" w:rsidRDefault="00853611" w:rsidP="008678CF">
            <w:pPr>
              <w:jc w:val="right"/>
              <w:rPr>
                <w:i/>
                <w:iCs/>
                <w:color w:val="000000"/>
                <w:szCs w:val="24"/>
              </w:rPr>
            </w:pPr>
            <w:r>
              <w:rPr>
                <w:i/>
                <w:iCs/>
                <w:color w:val="000000"/>
                <w:szCs w:val="24"/>
              </w:rPr>
              <w:t>6 411 942 937</w:t>
            </w:r>
          </w:p>
        </w:tc>
      </w:tr>
      <w:tr w:rsidR="00853611" w:rsidRPr="00090EFE" w14:paraId="4A54691F" w14:textId="77777777" w:rsidTr="008678CF">
        <w:trPr>
          <w:trHeight w:val="255"/>
        </w:trPr>
        <w:tc>
          <w:tcPr>
            <w:tcW w:w="7230" w:type="dxa"/>
            <w:tcBorders>
              <w:top w:val="nil"/>
              <w:left w:val="single" w:sz="8" w:space="0" w:color="auto"/>
              <w:bottom w:val="single" w:sz="4" w:space="0" w:color="auto"/>
              <w:right w:val="nil"/>
            </w:tcBorders>
            <w:shd w:val="clear" w:color="auto" w:fill="auto"/>
            <w:vAlign w:val="bottom"/>
          </w:tcPr>
          <w:p w14:paraId="5C5DF9D4" w14:textId="77777777" w:rsidR="00853611" w:rsidRPr="007957C5" w:rsidRDefault="00853611" w:rsidP="008678CF">
            <w:pPr>
              <w:rPr>
                <w:b/>
                <w:bCs/>
                <w:szCs w:val="24"/>
              </w:rPr>
            </w:pPr>
            <w:r w:rsidRPr="007957C5">
              <w:rPr>
                <w:b/>
                <w:bCs/>
                <w:szCs w:val="24"/>
              </w:rPr>
              <w:t xml:space="preserve">výdaje RgŠ a </w:t>
            </w:r>
            <w:r>
              <w:rPr>
                <w:b/>
                <w:bCs/>
                <w:szCs w:val="24"/>
              </w:rPr>
              <w:t>PŘO</w:t>
            </w:r>
            <w:r w:rsidRPr="007957C5">
              <w:rPr>
                <w:b/>
                <w:bCs/>
                <w:szCs w:val="24"/>
              </w:rPr>
              <w:t xml:space="preserve"> </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1C46270A" w14:textId="77777777" w:rsidR="00853611" w:rsidRPr="007957C5" w:rsidRDefault="00853611" w:rsidP="008678CF">
            <w:pPr>
              <w:jc w:val="right"/>
              <w:rPr>
                <w:b/>
                <w:bCs/>
                <w:color w:val="000000"/>
                <w:szCs w:val="24"/>
              </w:rPr>
            </w:pPr>
            <w:r>
              <w:rPr>
                <w:b/>
                <w:bCs/>
                <w:color w:val="000000"/>
                <w:szCs w:val="24"/>
              </w:rPr>
              <w:t>143 723 127 562</w:t>
            </w:r>
          </w:p>
        </w:tc>
      </w:tr>
      <w:tr w:rsidR="00853611" w:rsidRPr="00090EFE" w14:paraId="793EFFF3" w14:textId="77777777" w:rsidTr="008678CF">
        <w:trPr>
          <w:trHeight w:val="255"/>
        </w:trPr>
        <w:tc>
          <w:tcPr>
            <w:tcW w:w="7230" w:type="dxa"/>
            <w:tcBorders>
              <w:top w:val="nil"/>
              <w:left w:val="single" w:sz="8" w:space="0" w:color="auto"/>
              <w:bottom w:val="single" w:sz="4" w:space="0" w:color="auto"/>
              <w:right w:val="nil"/>
            </w:tcBorders>
            <w:shd w:val="clear" w:color="auto" w:fill="auto"/>
            <w:noWrap/>
            <w:vAlign w:val="bottom"/>
          </w:tcPr>
          <w:p w14:paraId="2351B6D6" w14:textId="77777777" w:rsidR="00853611" w:rsidRPr="007957C5" w:rsidRDefault="00853611" w:rsidP="008678CF">
            <w:pPr>
              <w:rPr>
                <w:b/>
                <w:bCs/>
                <w:szCs w:val="24"/>
              </w:rPr>
            </w:pPr>
            <w:r w:rsidRPr="007957C5">
              <w:rPr>
                <w:b/>
                <w:bCs/>
                <w:szCs w:val="24"/>
              </w:rPr>
              <w:t>podpora činnosti v oblasti mládeže</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10DFEACA" w14:textId="77777777" w:rsidR="00853611" w:rsidRPr="007957C5" w:rsidRDefault="00853611" w:rsidP="008678CF">
            <w:pPr>
              <w:jc w:val="right"/>
              <w:rPr>
                <w:b/>
                <w:bCs/>
                <w:color w:val="000000"/>
                <w:szCs w:val="24"/>
              </w:rPr>
            </w:pPr>
            <w:r>
              <w:rPr>
                <w:b/>
                <w:bCs/>
                <w:color w:val="000000"/>
                <w:szCs w:val="24"/>
              </w:rPr>
              <w:t>276 266 938</w:t>
            </w:r>
          </w:p>
        </w:tc>
      </w:tr>
      <w:tr w:rsidR="00853611" w:rsidRPr="00090EFE" w14:paraId="5C030F6D" w14:textId="77777777" w:rsidTr="008678CF">
        <w:trPr>
          <w:trHeight w:val="255"/>
        </w:trPr>
        <w:tc>
          <w:tcPr>
            <w:tcW w:w="7230" w:type="dxa"/>
            <w:tcBorders>
              <w:top w:val="nil"/>
              <w:left w:val="single" w:sz="8" w:space="0" w:color="auto"/>
              <w:bottom w:val="single" w:sz="4" w:space="0" w:color="auto"/>
              <w:right w:val="nil"/>
            </w:tcBorders>
            <w:shd w:val="clear" w:color="auto" w:fill="auto"/>
            <w:noWrap/>
            <w:vAlign w:val="bottom"/>
          </w:tcPr>
          <w:p w14:paraId="00EE12CE" w14:textId="77777777" w:rsidR="00853611" w:rsidRPr="007957C5" w:rsidRDefault="00853611" w:rsidP="008678CF">
            <w:pPr>
              <w:rPr>
                <w:b/>
                <w:bCs/>
                <w:szCs w:val="24"/>
              </w:rPr>
            </w:pPr>
            <w:r w:rsidRPr="007957C5">
              <w:rPr>
                <w:b/>
                <w:bCs/>
                <w:szCs w:val="24"/>
              </w:rPr>
              <w:t xml:space="preserve">podpora činnosti v oblasti sportu </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48541053" w14:textId="77777777" w:rsidR="00853611" w:rsidRPr="007957C5" w:rsidRDefault="00853611" w:rsidP="008678CF">
            <w:pPr>
              <w:jc w:val="right"/>
              <w:rPr>
                <w:b/>
                <w:bCs/>
                <w:color w:val="000000"/>
                <w:szCs w:val="24"/>
              </w:rPr>
            </w:pPr>
            <w:r>
              <w:rPr>
                <w:b/>
                <w:bCs/>
                <w:color w:val="000000"/>
                <w:szCs w:val="24"/>
              </w:rPr>
              <w:t>7 000 000 000</w:t>
            </w:r>
          </w:p>
        </w:tc>
      </w:tr>
      <w:tr w:rsidR="00853611" w:rsidRPr="00090EFE" w14:paraId="79F24A50" w14:textId="77777777" w:rsidTr="008678CF">
        <w:trPr>
          <w:trHeight w:val="255"/>
        </w:trPr>
        <w:tc>
          <w:tcPr>
            <w:tcW w:w="7230" w:type="dxa"/>
            <w:tcBorders>
              <w:top w:val="nil"/>
              <w:left w:val="single" w:sz="8" w:space="0" w:color="auto"/>
              <w:bottom w:val="single" w:sz="4" w:space="0" w:color="auto"/>
              <w:right w:val="nil"/>
            </w:tcBorders>
            <w:shd w:val="clear" w:color="auto" w:fill="auto"/>
            <w:noWrap/>
            <w:vAlign w:val="bottom"/>
          </w:tcPr>
          <w:p w14:paraId="7C73B4A4" w14:textId="77777777" w:rsidR="00853611" w:rsidRPr="007957C5" w:rsidRDefault="00853611" w:rsidP="008678CF">
            <w:pPr>
              <w:rPr>
                <w:szCs w:val="24"/>
              </w:rPr>
            </w:pPr>
            <w:r w:rsidRPr="007957C5">
              <w:rPr>
                <w:szCs w:val="24"/>
              </w:rPr>
              <w:t xml:space="preserve">           v tom: sportovní reprezentace </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7DE5F4EE" w14:textId="77777777" w:rsidR="00853611" w:rsidRPr="007957C5" w:rsidRDefault="00853611" w:rsidP="008678CF">
            <w:pPr>
              <w:jc w:val="right"/>
              <w:rPr>
                <w:color w:val="000000"/>
                <w:szCs w:val="24"/>
              </w:rPr>
            </w:pPr>
            <w:r>
              <w:rPr>
                <w:color w:val="000000"/>
                <w:szCs w:val="24"/>
              </w:rPr>
              <w:t>2 401 101 600</w:t>
            </w:r>
          </w:p>
        </w:tc>
      </w:tr>
      <w:tr w:rsidR="00853611" w:rsidRPr="00090EFE" w14:paraId="027AB2ED" w14:textId="77777777" w:rsidTr="008678CF">
        <w:trPr>
          <w:trHeight w:val="255"/>
        </w:trPr>
        <w:tc>
          <w:tcPr>
            <w:tcW w:w="7230" w:type="dxa"/>
            <w:tcBorders>
              <w:top w:val="nil"/>
              <w:left w:val="single" w:sz="8" w:space="0" w:color="auto"/>
              <w:bottom w:val="single" w:sz="4" w:space="0" w:color="auto"/>
              <w:right w:val="nil"/>
            </w:tcBorders>
            <w:shd w:val="clear" w:color="auto" w:fill="auto"/>
            <w:noWrap/>
            <w:vAlign w:val="bottom"/>
          </w:tcPr>
          <w:p w14:paraId="5F19E901" w14:textId="77777777" w:rsidR="00853611" w:rsidRPr="007957C5" w:rsidRDefault="00853611" w:rsidP="008678CF">
            <w:pPr>
              <w:rPr>
                <w:szCs w:val="24"/>
              </w:rPr>
            </w:pPr>
            <w:r w:rsidRPr="007957C5">
              <w:rPr>
                <w:szCs w:val="24"/>
              </w:rPr>
              <w:t xml:space="preserve">                     všeobecná sportovní činnost </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000CB4A4" w14:textId="77777777" w:rsidR="00853611" w:rsidRPr="007957C5" w:rsidRDefault="00853611" w:rsidP="008678CF">
            <w:pPr>
              <w:jc w:val="right"/>
              <w:rPr>
                <w:color w:val="000000"/>
                <w:szCs w:val="24"/>
              </w:rPr>
            </w:pPr>
            <w:r>
              <w:rPr>
                <w:color w:val="000000"/>
                <w:szCs w:val="24"/>
              </w:rPr>
              <w:t>4 598 898 400</w:t>
            </w:r>
          </w:p>
        </w:tc>
      </w:tr>
      <w:tr w:rsidR="00853611" w:rsidRPr="00090EFE" w14:paraId="39184894" w14:textId="77777777" w:rsidTr="008678CF">
        <w:trPr>
          <w:trHeight w:val="248"/>
        </w:trPr>
        <w:tc>
          <w:tcPr>
            <w:tcW w:w="7230" w:type="dxa"/>
            <w:tcBorders>
              <w:top w:val="nil"/>
              <w:left w:val="single" w:sz="8" w:space="0" w:color="auto"/>
              <w:bottom w:val="single" w:sz="8" w:space="0" w:color="auto"/>
              <w:right w:val="nil"/>
            </w:tcBorders>
            <w:shd w:val="clear" w:color="auto" w:fill="auto"/>
            <w:vAlign w:val="bottom"/>
          </w:tcPr>
          <w:p w14:paraId="382EDC2E" w14:textId="77777777" w:rsidR="00853611" w:rsidRPr="007957C5" w:rsidRDefault="00853611" w:rsidP="008678CF">
            <w:pPr>
              <w:rPr>
                <w:b/>
                <w:bCs/>
                <w:szCs w:val="24"/>
              </w:rPr>
            </w:pPr>
            <w:r w:rsidRPr="007957C5">
              <w:rPr>
                <w:b/>
                <w:bCs/>
                <w:szCs w:val="24"/>
              </w:rPr>
              <w:t>Výdaje na programy spo</w:t>
            </w:r>
            <w:r>
              <w:rPr>
                <w:b/>
                <w:bCs/>
                <w:szCs w:val="24"/>
              </w:rPr>
              <w:t>lufinancované z rozpočtu EU a z </w:t>
            </w:r>
            <w:r w:rsidRPr="007957C5">
              <w:rPr>
                <w:b/>
                <w:bCs/>
                <w:szCs w:val="24"/>
              </w:rPr>
              <w:t>prostředků FM mimo VVI</w:t>
            </w:r>
          </w:p>
        </w:tc>
        <w:tc>
          <w:tcPr>
            <w:tcW w:w="1842" w:type="dxa"/>
            <w:tcBorders>
              <w:top w:val="nil"/>
              <w:left w:val="single" w:sz="8" w:space="0" w:color="auto"/>
              <w:bottom w:val="single" w:sz="8" w:space="0" w:color="auto"/>
              <w:right w:val="single" w:sz="8" w:space="0" w:color="auto"/>
            </w:tcBorders>
            <w:shd w:val="clear" w:color="auto" w:fill="auto"/>
            <w:noWrap/>
            <w:vAlign w:val="center"/>
          </w:tcPr>
          <w:p w14:paraId="78C1AD0A" w14:textId="77777777" w:rsidR="00853611" w:rsidRPr="007957C5" w:rsidRDefault="00853611" w:rsidP="008678CF">
            <w:pPr>
              <w:jc w:val="right"/>
              <w:rPr>
                <w:b/>
                <w:bCs/>
                <w:color w:val="000000"/>
                <w:szCs w:val="24"/>
              </w:rPr>
            </w:pPr>
            <w:r>
              <w:rPr>
                <w:b/>
                <w:bCs/>
                <w:color w:val="000000"/>
                <w:szCs w:val="24"/>
              </w:rPr>
              <w:t>6 257 601 977</w:t>
            </w:r>
          </w:p>
        </w:tc>
      </w:tr>
      <w:tr w:rsidR="00853611" w:rsidRPr="00090EFE" w14:paraId="4A4CFFB6" w14:textId="77777777" w:rsidTr="008678CF">
        <w:trPr>
          <w:trHeight w:val="255"/>
        </w:trPr>
        <w:tc>
          <w:tcPr>
            <w:tcW w:w="7230" w:type="dxa"/>
            <w:tcBorders>
              <w:top w:val="single" w:sz="8" w:space="0" w:color="auto"/>
              <w:left w:val="single" w:sz="8" w:space="0" w:color="auto"/>
              <w:bottom w:val="single" w:sz="4" w:space="0" w:color="auto"/>
              <w:right w:val="nil"/>
            </w:tcBorders>
            <w:shd w:val="clear" w:color="auto" w:fill="auto"/>
            <w:noWrap/>
            <w:vAlign w:val="bottom"/>
          </w:tcPr>
          <w:p w14:paraId="73A517A0" w14:textId="77777777" w:rsidR="00853611" w:rsidRPr="007957C5" w:rsidRDefault="00853611" w:rsidP="008678CF">
            <w:pPr>
              <w:rPr>
                <w:b/>
                <w:bCs/>
                <w:szCs w:val="24"/>
              </w:rPr>
            </w:pPr>
            <w:r w:rsidRPr="007957C5">
              <w:rPr>
                <w:b/>
                <w:bCs/>
                <w:szCs w:val="24"/>
              </w:rPr>
              <w:t xml:space="preserve">Ostatní výdaje na zabezpečení úkolů resortu: </w:t>
            </w:r>
          </w:p>
        </w:tc>
        <w:tc>
          <w:tcPr>
            <w:tcW w:w="184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F88485E" w14:textId="77777777" w:rsidR="00853611" w:rsidRPr="007957C5" w:rsidRDefault="00853611" w:rsidP="008678CF">
            <w:pPr>
              <w:jc w:val="right"/>
              <w:rPr>
                <w:b/>
                <w:bCs/>
                <w:color w:val="000000"/>
                <w:szCs w:val="24"/>
              </w:rPr>
            </w:pPr>
            <w:r>
              <w:rPr>
                <w:b/>
                <w:bCs/>
                <w:color w:val="000000"/>
                <w:szCs w:val="24"/>
              </w:rPr>
              <w:t>2 239 152 948</w:t>
            </w:r>
          </w:p>
        </w:tc>
      </w:tr>
      <w:tr w:rsidR="00853611" w:rsidRPr="00090EFE" w14:paraId="795DD9D8" w14:textId="77777777" w:rsidTr="008678CF">
        <w:trPr>
          <w:trHeight w:val="255"/>
        </w:trPr>
        <w:tc>
          <w:tcPr>
            <w:tcW w:w="7230" w:type="dxa"/>
            <w:tcBorders>
              <w:top w:val="nil"/>
              <w:left w:val="single" w:sz="8" w:space="0" w:color="auto"/>
              <w:bottom w:val="single" w:sz="4" w:space="0" w:color="auto"/>
              <w:right w:val="nil"/>
            </w:tcBorders>
            <w:shd w:val="clear" w:color="auto" w:fill="auto"/>
            <w:noWrap/>
            <w:vAlign w:val="bottom"/>
          </w:tcPr>
          <w:p w14:paraId="06FAC07D" w14:textId="54C871F7" w:rsidR="00853611" w:rsidRPr="007957C5" w:rsidRDefault="00853611" w:rsidP="00BF7850">
            <w:pPr>
              <w:ind w:left="781" w:hanging="781"/>
              <w:rPr>
                <w:iCs/>
                <w:szCs w:val="24"/>
              </w:rPr>
            </w:pPr>
            <w:r w:rsidRPr="007957C5">
              <w:rPr>
                <w:iCs/>
                <w:szCs w:val="24"/>
              </w:rPr>
              <w:t xml:space="preserve"> v tom: OPŘO, program </w:t>
            </w:r>
            <w:r w:rsidR="00BF7850">
              <w:rPr>
                <w:iCs/>
                <w:szCs w:val="24"/>
              </w:rPr>
              <w:t xml:space="preserve">českého </w:t>
            </w:r>
            <w:r w:rsidRPr="007957C5">
              <w:rPr>
                <w:iCs/>
                <w:szCs w:val="24"/>
              </w:rPr>
              <w:t>kulturního dědictví, mezinárodní aktivity</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5CB726F1" w14:textId="77777777" w:rsidR="00853611" w:rsidRPr="007957C5" w:rsidRDefault="00853611" w:rsidP="008678CF">
            <w:pPr>
              <w:jc w:val="right"/>
              <w:rPr>
                <w:color w:val="000000"/>
                <w:szCs w:val="24"/>
              </w:rPr>
            </w:pPr>
            <w:r w:rsidRPr="007957C5">
              <w:rPr>
                <w:color w:val="000000"/>
                <w:szCs w:val="24"/>
              </w:rPr>
              <w:t>1</w:t>
            </w:r>
            <w:r>
              <w:rPr>
                <w:color w:val="000000"/>
                <w:szCs w:val="24"/>
              </w:rPr>
              <w:t> 020 479 482</w:t>
            </w:r>
          </w:p>
        </w:tc>
      </w:tr>
      <w:tr w:rsidR="00853611" w:rsidRPr="00090EFE" w14:paraId="5D089DC7" w14:textId="77777777" w:rsidTr="008678CF">
        <w:trPr>
          <w:trHeight w:val="255"/>
        </w:trPr>
        <w:tc>
          <w:tcPr>
            <w:tcW w:w="7230" w:type="dxa"/>
            <w:tcBorders>
              <w:top w:val="nil"/>
              <w:left w:val="single" w:sz="8" w:space="0" w:color="auto"/>
              <w:bottom w:val="single" w:sz="4" w:space="0" w:color="auto"/>
              <w:right w:val="nil"/>
            </w:tcBorders>
            <w:shd w:val="clear" w:color="auto" w:fill="auto"/>
            <w:noWrap/>
            <w:vAlign w:val="bottom"/>
          </w:tcPr>
          <w:p w14:paraId="207B1BB2" w14:textId="77777777" w:rsidR="00853611" w:rsidRPr="007957C5" w:rsidRDefault="00853611" w:rsidP="008678CF">
            <w:pPr>
              <w:ind w:left="781"/>
              <w:rPr>
                <w:iCs/>
                <w:szCs w:val="24"/>
              </w:rPr>
            </w:pPr>
            <w:r w:rsidRPr="007957C5">
              <w:rPr>
                <w:iCs/>
                <w:szCs w:val="24"/>
              </w:rPr>
              <w:t xml:space="preserve">státní správa </w:t>
            </w:r>
          </w:p>
        </w:tc>
        <w:tc>
          <w:tcPr>
            <w:tcW w:w="1842" w:type="dxa"/>
            <w:tcBorders>
              <w:top w:val="nil"/>
              <w:left w:val="single" w:sz="8" w:space="0" w:color="auto"/>
              <w:bottom w:val="single" w:sz="4" w:space="0" w:color="auto"/>
              <w:right w:val="single" w:sz="8" w:space="0" w:color="auto"/>
            </w:tcBorders>
            <w:shd w:val="clear" w:color="auto" w:fill="auto"/>
            <w:noWrap/>
            <w:vAlign w:val="center"/>
          </w:tcPr>
          <w:p w14:paraId="2DE2489E" w14:textId="77777777" w:rsidR="00853611" w:rsidRPr="007957C5" w:rsidRDefault="00853611" w:rsidP="008678CF">
            <w:pPr>
              <w:jc w:val="right"/>
              <w:rPr>
                <w:color w:val="000000"/>
                <w:szCs w:val="24"/>
              </w:rPr>
            </w:pPr>
            <w:r>
              <w:rPr>
                <w:color w:val="000000"/>
                <w:szCs w:val="24"/>
              </w:rPr>
              <w:t>1 034 360 466</w:t>
            </w:r>
          </w:p>
        </w:tc>
      </w:tr>
      <w:tr w:rsidR="00853611" w:rsidRPr="00090EFE" w14:paraId="3B12508C" w14:textId="77777777" w:rsidTr="008678CF">
        <w:trPr>
          <w:trHeight w:val="255"/>
        </w:trPr>
        <w:tc>
          <w:tcPr>
            <w:tcW w:w="7230" w:type="dxa"/>
            <w:tcBorders>
              <w:top w:val="nil"/>
              <w:left w:val="single" w:sz="8" w:space="0" w:color="auto"/>
              <w:bottom w:val="single" w:sz="8" w:space="0" w:color="auto"/>
              <w:right w:val="nil"/>
            </w:tcBorders>
            <w:shd w:val="clear" w:color="auto" w:fill="auto"/>
            <w:noWrap/>
            <w:vAlign w:val="bottom"/>
          </w:tcPr>
          <w:p w14:paraId="2E99C6F7" w14:textId="77777777" w:rsidR="00853611" w:rsidRPr="007957C5" w:rsidRDefault="00853611" w:rsidP="008678CF">
            <w:pPr>
              <w:ind w:left="781"/>
              <w:rPr>
                <w:szCs w:val="24"/>
              </w:rPr>
            </w:pPr>
            <w:r w:rsidRPr="007957C5">
              <w:rPr>
                <w:szCs w:val="24"/>
              </w:rPr>
              <w:t>zahraniční rozvojová spolupráce</w:t>
            </w:r>
          </w:p>
        </w:tc>
        <w:tc>
          <w:tcPr>
            <w:tcW w:w="1842" w:type="dxa"/>
            <w:tcBorders>
              <w:top w:val="nil"/>
              <w:left w:val="single" w:sz="8" w:space="0" w:color="auto"/>
              <w:bottom w:val="single" w:sz="8" w:space="0" w:color="auto"/>
              <w:right w:val="single" w:sz="8" w:space="0" w:color="auto"/>
            </w:tcBorders>
            <w:shd w:val="clear" w:color="auto" w:fill="auto"/>
            <w:noWrap/>
            <w:vAlign w:val="center"/>
          </w:tcPr>
          <w:p w14:paraId="5C72CC3E" w14:textId="77777777" w:rsidR="00853611" w:rsidRPr="007957C5" w:rsidRDefault="00853611" w:rsidP="008678CF">
            <w:pPr>
              <w:jc w:val="right"/>
              <w:rPr>
                <w:color w:val="000000"/>
                <w:szCs w:val="24"/>
              </w:rPr>
            </w:pPr>
            <w:r>
              <w:rPr>
                <w:color w:val="000000"/>
                <w:szCs w:val="24"/>
              </w:rPr>
              <w:t>125 5</w:t>
            </w:r>
            <w:r w:rsidRPr="007957C5">
              <w:rPr>
                <w:color w:val="000000"/>
                <w:szCs w:val="24"/>
              </w:rPr>
              <w:t>00 000</w:t>
            </w:r>
          </w:p>
        </w:tc>
      </w:tr>
      <w:tr w:rsidR="00853611" w:rsidRPr="00090EFE" w14:paraId="70DBD136" w14:textId="77777777" w:rsidTr="008678CF">
        <w:trPr>
          <w:trHeight w:val="255"/>
        </w:trPr>
        <w:tc>
          <w:tcPr>
            <w:tcW w:w="7230" w:type="dxa"/>
            <w:tcBorders>
              <w:top w:val="nil"/>
              <w:left w:val="single" w:sz="8" w:space="0" w:color="auto"/>
              <w:bottom w:val="single" w:sz="8" w:space="0" w:color="auto"/>
              <w:right w:val="nil"/>
            </w:tcBorders>
            <w:shd w:val="clear" w:color="auto" w:fill="auto"/>
            <w:noWrap/>
            <w:vAlign w:val="bottom"/>
          </w:tcPr>
          <w:p w14:paraId="48A8E586" w14:textId="77777777" w:rsidR="00853611" w:rsidRPr="007957C5" w:rsidRDefault="00853611" w:rsidP="008678CF">
            <w:pPr>
              <w:ind w:left="781"/>
              <w:rPr>
                <w:iCs/>
                <w:szCs w:val="24"/>
              </w:rPr>
            </w:pPr>
            <w:r w:rsidRPr="007957C5">
              <w:rPr>
                <w:iCs/>
                <w:szCs w:val="24"/>
              </w:rPr>
              <w:t>program podpory vzdělávání v </w:t>
            </w:r>
            <w:r>
              <w:rPr>
                <w:iCs/>
                <w:szCs w:val="24"/>
              </w:rPr>
              <w:t>jazycích národnostních menšin a </w:t>
            </w:r>
            <w:r w:rsidRPr="007957C5">
              <w:rPr>
                <w:iCs/>
                <w:szCs w:val="24"/>
              </w:rPr>
              <w:t>multikulturní výchova</w:t>
            </w:r>
          </w:p>
        </w:tc>
        <w:tc>
          <w:tcPr>
            <w:tcW w:w="1842" w:type="dxa"/>
            <w:tcBorders>
              <w:top w:val="nil"/>
              <w:left w:val="single" w:sz="8" w:space="0" w:color="auto"/>
              <w:bottom w:val="single" w:sz="8" w:space="0" w:color="auto"/>
              <w:right w:val="single" w:sz="8" w:space="0" w:color="auto"/>
            </w:tcBorders>
            <w:shd w:val="clear" w:color="auto" w:fill="auto"/>
            <w:noWrap/>
            <w:vAlign w:val="center"/>
          </w:tcPr>
          <w:p w14:paraId="127A1748" w14:textId="77777777" w:rsidR="00853611" w:rsidRPr="007957C5" w:rsidRDefault="00853611" w:rsidP="008678CF">
            <w:pPr>
              <w:jc w:val="right"/>
              <w:rPr>
                <w:color w:val="000000"/>
                <w:szCs w:val="24"/>
              </w:rPr>
            </w:pPr>
            <w:r w:rsidRPr="007957C5">
              <w:rPr>
                <w:color w:val="000000"/>
                <w:szCs w:val="24"/>
              </w:rPr>
              <w:t>15 039 000</w:t>
            </w:r>
          </w:p>
        </w:tc>
      </w:tr>
      <w:tr w:rsidR="00853611" w:rsidRPr="00090EFE" w14:paraId="2ABCE290" w14:textId="77777777" w:rsidTr="008678CF">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14:paraId="3BF5FD54" w14:textId="77777777" w:rsidR="00853611" w:rsidRPr="007957C5" w:rsidRDefault="00853611" w:rsidP="008678CF">
            <w:pPr>
              <w:ind w:left="781"/>
              <w:rPr>
                <w:iCs/>
                <w:szCs w:val="24"/>
              </w:rPr>
            </w:pPr>
            <w:r w:rsidRPr="007957C5">
              <w:rPr>
                <w:iCs/>
                <w:szCs w:val="24"/>
              </w:rPr>
              <w:t>program sociální prevence a prevence kriminality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7044AF7" w14:textId="77777777" w:rsidR="00853611" w:rsidRPr="007957C5" w:rsidRDefault="00853611" w:rsidP="008678CF">
            <w:pPr>
              <w:jc w:val="right"/>
              <w:rPr>
                <w:color w:val="000000"/>
                <w:szCs w:val="24"/>
              </w:rPr>
            </w:pPr>
            <w:r w:rsidRPr="007957C5">
              <w:rPr>
                <w:color w:val="000000"/>
                <w:szCs w:val="24"/>
              </w:rPr>
              <w:t>8 132 000</w:t>
            </w:r>
          </w:p>
        </w:tc>
      </w:tr>
      <w:tr w:rsidR="00853611" w:rsidRPr="00090EFE" w14:paraId="63135824" w14:textId="77777777" w:rsidTr="008678CF">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14:paraId="2B4C7951" w14:textId="77777777" w:rsidR="00853611" w:rsidRPr="007957C5" w:rsidRDefault="00853611" w:rsidP="008678CF">
            <w:pPr>
              <w:ind w:left="781"/>
              <w:rPr>
                <w:iCs/>
                <w:szCs w:val="24"/>
              </w:rPr>
            </w:pPr>
            <w:r w:rsidRPr="007957C5">
              <w:rPr>
                <w:iCs/>
                <w:szCs w:val="24"/>
              </w:rPr>
              <w:t>program protidrogové politiky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FD6EB73" w14:textId="77777777" w:rsidR="00853611" w:rsidRPr="007957C5" w:rsidRDefault="00853611" w:rsidP="008678CF">
            <w:pPr>
              <w:jc w:val="right"/>
              <w:rPr>
                <w:color w:val="000000"/>
                <w:szCs w:val="24"/>
              </w:rPr>
            </w:pPr>
            <w:r w:rsidRPr="007957C5">
              <w:rPr>
                <w:color w:val="000000"/>
                <w:szCs w:val="24"/>
              </w:rPr>
              <w:t>12 197 000</w:t>
            </w:r>
          </w:p>
        </w:tc>
      </w:tr>
      <w:tr w:rsidR="00853611" w:rsidRPr="00090EFE" w14:paraId="199CE5B6" w14:textId="77777777" w:rsidTr="008678CF">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14:paraId="78295436" w14:textId="77777777" w:rsidR="00853611" w:rsidRPr="007957C5" w:rsidRDefault="00853611" w:rsidP="008678CF">
            <w:pPr>
              <w:ind w:left="781"/>
              <w:rPr>
                <w:iCs/>
                <w:szCs w:val="24"/>
              </w:rPr>
            </w:pPr>
            <w:r w:rsidRPr="007957C5">
              <w:rPr>
                <w:iCs/>
                <w:szCs w:val="24"/>
              </w:rPr>
              <w:t>podpora projektů integrace příslušníků romské komunity</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90947A" w14:textId="77777777" w:rsidR="00853611" w:rsidRPr="007957C5" w:rsidRDefault="00853611" w:rsidP="008678CF">
            <w:pPr>
              <w:jc w:val="right"/>
              <w:rPr>
                <w:color w:val="000000"/>
                <w:szCs w:val="24"/>
              </w:rPr>
            </w:pPr>
            <w:r w:rsidRPr="007957C5">
              <w:rPr>
                <w:color w:val="000000"/>
                <w:szCs w:val="24"/>
              </w:rPr>
              <w:t>19 875 000</w:t>
            </w:r>
          </w:p>
        </w:tc>
      </w:tr>
      <w:tr w:rsidR="00853611" w:rsidRPr="00090EFE" w14:paraId="760EE12E" w14:textId="77777777" w:rsidTr="008678CF">
        <w:trPr>
          <w:trHeight w:val="255"/>
        </w:trPr>
        <w:tc>
          <w:tcPr>
            <w:tcW w:w="7230" w:type="dxa"/>
            <w:tcBorders>
              <w:top w:val="single" w:sz="8" w:space="0" w:color="auto"/>
              <w:left w:val="single" w:sz="8" w:space="0" w:color="auto"/>
              <w:bottom w:val="single" w:sz="8" w:space="0" w:color="auto"/>
              <w:right w:val="nil"/>
            </w:tcBorders>
            <w:shd w:val="clear" w:color="auto" w:fill="auto"/>
            <w:noWrap/>
            <w:vAlign w:val="bottom"/>
          </w:tcPr>
          <w:p w14:paraId="33254558" w14:textId="77777777" w:rsidR="00853611" w:rsidRPr="007957C5" w:rsidRDefault="00853611" w:rsidP="008678CF">
            <w:pPr>
              <w:ind w:left="781"/>
              <w:rPr>
                <w:iCs/>
                <w:szCs w:val="24"/>
              </w:rPr>
            </w:pPr>
            <w:r w:rsidRPr="007957C5">
              <w:rPr>
                <w:iCs/>
                <w:szCs w:val="24"/>
              </w:rPr>
              <w:t>zajištění přípravy na krizové situace podle zákona č. 240/2000 Sb.</w:t>
            </w:r>
          </w:p>
        </w:tc>
        <w:tc>
          <w:tcPr>
            <w:tcW w:w="184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7E20CB9" w14:textId="77777777" w:rsidR="00853611" w:rsidRPr="007957C5" w:rsidRDefault="00853611" w:rsidP="008678CF">
            <w:pPr>
              <w:jc w:val="right"/>
              <w:rPr>
                <w:color w:val="000000"/>
                <w:szCs w:val="24"/>
              </w:rPr>
            </w:pPr>
            <w:r>
              <w:rPr>
                <w:color w:val="000000"/>
                <w:szCs w:val="24"/>
              </w:rPr>
              <w:t>3 570</w:t>
            </w:r>
            <w:r w:rsidRPr="007957C5">
              <w:rPr>
                <w:color w:val="000000"/>
                <w:szCs w:val="24"/>
              </w:rPr>
              <w:t xml:space="preserve"> 000</w:t>
            </w:r>
          </w:p>
        </w:tc>
      </w:tr>
    </w:tbl>
    <w:p w14:paraId="03FA3133" w14:textId="6220B8E8" w:rsidR="00853611" w:rsidRDefault="00853611" w:rsidP="00853611">
      <w:pPr>
        <w:pStyle w:val="Text"/>
      </w:pPr>
      <w:r>
        <w:t>Rozpočet</w:t>
      </w:r>
      <w:r w:rsidRPr="007B0835">
        <w:t xml:space="preserve"> na rok 201</w:t>
      </w:r>
      <w:r>
        <w:t>9</w:t>
      </w:r>
      <w:r w:rsidRPr="007B0835">
        <w:t xml:space="preserve"> </w:t>
      </w:r>
      <w:r>
        <w:t>byl na MF předán</w:t>
      </w:r>
      <w:r w:rsidRPr="008918F1">
        <w:t xml:space="preserve"> prostřednictvím </w:t>
      </w:r>
      <w:r w:rsidRPr="00B729DC">
        <w:rPr>
          <w:b/>
        </w:rPr>
        <w:t>IISSP</w:t>
      </w:r>
      <w:r w:rsidRPr="008918F1">
        <w:t xml:space="preserve"> a jeho modulu </w:t>
      </w:r>
      <w:r w:rsidRPr="008918F1">
        <w:rPr>
          <w:b/>
        </w:rPr>
        <w:t>Rozpočtového informačního systému pro přípravu rozpočtu (dále jen „RISPR“)</w:t>
      </w:r>
      <w:r w:rsidRPr="008918F1">
        <w:t xml:space="preserve">. MŠMT zabezpečilo import dat do RISPR z ekonomického systému úřadu ISROS. V RISPR se návrh </w:t>
      </w:r>
      <w:r w:rsidRPr="008918F1">
        <w:lastRenderedPageBreak/>
        <w:t>rozpočtu sestavuje</w:t>
      </w:r>
      <w:r>
        <w:t xml:space="preserve"> </w:t>
      </w:r>
      <w:r w:rsidRPr="008918F1">
        <w:rPr>
          <w:b/>
        </w:rPr>
        <w:t>po</w:t>
      </w:r>
      <w:r>
        <w:rPr>
          <w:b/>
        </w:rPr>
        <w:t xml:space="preserve"> </w:t>
      </w:r>
      <w:r w:rsidRPr="008918F1">
        <w:rPr>
          <w:b/>
        </w:rPr>
        <w:t>jednotlivých</w:t>
      </w:r>
      <w:r>
        <w:rPr>
          <w:b/>
        </w:rPr>
        <w:t xml:space="preserve"> </w:t>
      </w:r>
      <w:r w:rsidRPr="008918F1">
        <w:rPr>
          <w:b/>
        </w:rPr>
        <w:t>OSS</w:t>
      </w:r>
      <w:r w:rsidRPr="008918F1">
        <w:t xml:space="preserve">. Správcem rozpočtu kapitoly MŠMT byly ČŠI a Vysokoškolskému sportovnímu centru (dále jen „VSC“) nastaveny závazné parametry, které OSS samy rozepsaly a systémem předaly správci kapitoly </w:t>
      </w:r>
      <w:r>
        <w:t xml:space="preserve">MŠMT </w:t>
      </w:r>
      <w:r w:rsidR="00B8183F">
        <w:t>zpět k zapracování do </w:t>
      </w:r>
      <w:r w:rsidRPr="008918F1">
        <w:t xml:space="preserve">celku návrhu příjmů a výdajů za kapitolu MŠMT, který je svodně opět systémem odeslal na MF. </w:t>
      </w:r>
    </w:p>
    <w:p w14:paraId="303E121F" w14:textId="77777777" w:rsidR="00853611" w:rsidRDefault="00853611" w:rsidP="00853611">
      <w:pPr>
        <w:rPr>
          <w:b/>
          <w:highlight w:val="yellow"/>
        </w:rPr>
      </w:pPr>
    </w:p>
    <w:p w14:paraId="584A09A0" w14:textId="77777777" w:rsidR="00853611" w:rsidRPr="006C58B3" w:rsidRDefault="00853611" w:rsidP="00853611">
      <w:r w:rsidRPr="006C58B3">
        <w:rPr>
          <w:b/>
        </w:rPr>
        <w:t>V r. 201</w:t>
      </w:r>
      <w:r>
        <w:rPr>
          <w:b/>
        </w:rPr>
        <w:t>9</w:t>
      </w:r>
      <w:r w:rsidRPr="006C58B3">
        <w:rPr>
          <w:b/>
        </w:rPr>
        <w:t xml:space="preserve"> </w:t>
      </w:r>
      <w:r>
        <w:rPr>
          <w:b/>
        </w:rPr>
        <w:t>je</w:t>
      </w:r>
      <w:r w:rsidRPr="006C58B3">
        <w:rPr>
          <w:b/>
        </w:rPr>
        <w:t xml:space="preserve"> kapitola MŠMT strukturována následovně</w:t>
      </w:r>
      <w:r w:rsidRPr="006C58B3">
        <w:t>:</w:t>
      </w:r>
    </w:p>
    <w:p w14:paraId="2B601B37" w14:textId="77777777" w:rsidR="00853611" w:rsidRPr="00F70F78" w:rsidRDefault="00853611" w:rsidP="00853611">
      <w:pPr>
        <w:rPr>
          <w:highlight w:val="yellow"/>
        </w:rPr>
      </w:pPr>
    </w:p>
    <w:p w14:paraId="2100C986" w14:textId="77777777" w:rsidR="00853611" w:rsidRPr="00090EFE" w:rsidRDefault="00853611" w:rsidP="0070585C">
      <w:pPr>
        <w:numPr>
          <w:ilvl w:val="0"/>
          <w:numId w:val="15"/>
        </w:numPr>
        <w:ind w:left="709" w:hanging="425"/>
        <w:rPr>
          <w:u w:val="single"/>
        </w:rPr>
      </w:pPr>
      <w:r w:rsidRPr="00090EFE">
        <w:rPr>
          <w:u w:val="single"/>
        </w:rPr>
        <w:t>3 organizační složky státu:</w:t>
      </w:r>
    </w:p>
    <w:p w14:paraId="363FEA87" w14:textId="77777777" w:rsidR="00853611" w:rsidRPr="00090EFE" w:rsidRDefault="00853611" w:rsidP="0070585C">
      <w:pPr>
        <w:numPr>
          <w:ilvl w:val="1"/>
          <w:numId w:val="12"/>
        </w:numPr>
        <w:ind w:left="1026" w:firstLine="0"/>
      </w:pPr>
      <w:r w:rsidRPr="00090EFE">
        <w:t>státní správa: MŠMT a ČŠI</w:t>
      </w:r>
      <w:r>
        <w:t>;</w:t>
      </w:r>
    </w:p>
    <w:p w14:paraId="4D151682" w14:textId="77777777" w:rsidR="00853611" w:rsidRPr="00090EFE" w:rsidRDefault="00853611" w:rsidP="0070585C">
      <w:pPr>
        <w:numPr>
          <w:ilvl w:val="1"/>
          <w:numId w:val="12"/>
        </w:numPr>
        <w:ind w:left="1026" w:firstLine="0"/>
      </w:pPr>
      <w:r w:rsidRPr="00090EFE">
        <w:t>ostatní: VSC</w:t>
      </w:r>
      <w:r>
        <w:t>;</w:t>
      </w:r>
    </w:p>
    <w:p w14:paraId="3D0D4E6C" w14:textId="77777777" w:rsidR="00853611" w:rsidRPr="00090EFE" w:rsidRDefault="00853611" w:rsidP="00853611">
      <w:pPr>
        <w:ind w:left="666"/>
      </w:pPr>
    </w:p>
    <w:p w14:paraId="42864CDE" w14:textId="77777777" w:rsidR="00853611" w:rsidRPr="00090EFE" w:rsidRDefault="00853611" w:rsidP="0070585C">
      <w:pPr>
        <w:numPr>
          <w:ilvl w:val="0"/>
          <w:numId w:val="15"/>
        </w:numPr>
        <w:ind w:left="709" w:hanging="425"/>
        <w:rPr>
          <w:u w:val="single"/>
        </w:rPr>
      </w:pPr>
      <w:r>
        <w:rPr>
          <w:u w:val="single"/>
        </w:rPr>
        <w:t>78</w:t>
      </w:r>
      <w:r w:rsidRPr="00090EFE">
        <w:rPr>
          <w:u w:val="single"/>
        </w:rPr>
        <w:t xml:space="preserve"> </w:t>
      </w:r>
      <w:r>
        <w:rPr>
          <w:u w:val="single"/>
        </w:rPr>
        <w:t xml:space="preserve">státních </w:t>
      </w:r>
      <w:r w:rsidRPr="00090EFE">
        <w:rPr>
          <w:u w:val="single"/>
        </w:rPr>
        <w:t>příspěvkových organizací:</w:t>
      </w:r>
    </w:p>
    <w:p w14:paraId="353FAD00" w14:textId="6C28FD7C" w:rsidR="00853611" w:rsidRPr="00090EFE" w:rsidRDefault="00853611" w:rsidP="00BF7850">
      <w:pPr>
        <w:numPr>
          <w:ilvl w:val="1"/>
          <w:numId w:val="16"/>
        </w:numPr>
        <w:ind w:left="1418" w:hanging="425"/>
      </w:pPr>
      <w:r w:rsidRPr="00090EFE">
        <w:t xml:space="preserve">58 </w:t>
      </w:r>
      <w:r w:rsidR="00BF7850" w:rsidRPr="00BF7850">
        <w:t>školských zařízení pro výkon ústavní výchovy</w:t>
      </w:r>
      <w:r w:rsidR="00BF7850">
        <w:t>,</w:t>
      </w:r>
      <w:r w:rsidR="00BF7850" w:rsidRPr="00BF7850">
        <w:t xml:space="preserve"> ochranné výchovy</w:t>
      </w:r>
      <w:r w:rsidR="00BF7850">
        <w:t xml:space="preserve"> a zařízení pro preventivně výchovnou péči</w:t>
      </w:r>
      <w:r w:rsidRPr="00090EFE">
        <w:t xml:space="preserve"> (diagnostické ústavy, výchovné ústavy, dětské domovy se školou, střediska výchovné péče)</w:t>
      </w:r>
      <w:r>
        <w:t>;</w:t>
      </w:r>
    </w:p>
    <w:p w14:paraId="66DCB65C" w14:textId="170FB5B9" w:rsidR="00853611" w:rsidRPr="00090EFE" w:rsidRDefault="00853611" w:rsidP="0070585C">
      <w:pPr>
        <w:numPr>
          <w:ilvl w:val="1"/>
          <w:numId w:val="16"/>
        </w:numPr>
        <w:ind w:left="1418" w:hanging="414"/>
      </w:pPr>
      <w:r w:rsidRPr="00090EFE">
        <w:t>11 škol</w:t>
      </w:r>
      <w:r>
        <w:t>;</w:t>
      </w:r>
    </w:p>
    <w:p w14:paraId="3C4CCDB3" w14:textId="52FC9027" w:rsidR="00853611" w:rsidRPr="00090EFE" w:rsidRDefault="00853611" w:rsidP="0070585C">
      <w:pPr>
        <w:numPr>
          <w:ilvl w:val="1"/>
          <w:numId w:val="16"/>
        </w:numPr>
        <w:ind w:left="1004" w:firstLine="0"/>
      </w:pPr>
      <w:r w:rsidRPr="00090EFE">
        <w:t xml:space="preserve">9 OPŘO (včetně </w:t>
      </w:r>
      <w:r w:rsidR="008A11CA">
        <w:t>Komise J.W. Fullbrighta - dále jen „</w:t>
      </w:r>
      <w:r>
        <w:t>KJWF</w:t>
      </w:r>
      <w:r w:rsidR="008A11CA">
        <w:t>“</w:t>
      </w:r>
      <w:r w:rsidRPr="00090EFE">
        <w:t>)</w:t>
      </w:r>
      <w:r>
        <w:t>;</w:t>
      </w:r>
    </w:p>
    <w:p w14:paraId="697C238B" w14:textId="77777777" w:rsidR="00853611" w:rsidRPr="00090EFE" w:rsidRDefault="00853611" w:rsidP="00853611">
      <w:pPr>
        <w:ind w:left="720"/>
      </w:pPr>
    </w:p>
    <w:p w14:paraId="5A6C6B54" w14:textId="77777777" w:rsidR="00853611" w:rsidRPr="00090EFE" w:rsidRDefault="00853611" w:rsidP="0070585C">
      <w:pPr>
        <w:numPr>
          <w:ilvl w:val="0"/>
          <w:numId w:val="15"/>
        </w:numPr>
        <w:ind w:left="709" w:hanging="425"/>
      </w:pPr>
      <w:r w:rsidRPr="00090EFE">
        <w:rPr>
          <w:u w:val="single"/>
        </w:rPr>
        <w:t>1 veřejná výzkumná instituce:</w:t>
      </w:r>
      <w:r w:rsidRPr="00090EFE">
        <w:t xml:space="preserve"> Centrum pro studium vysokého školství.</w:t>
      </w:r>
    </w:p>
    <w:p w14:paraId="0C5E5B92" w14:textId="77777777" w:rsidR="00853611" w:rsidRDefault="00853611" w:rsidP="00853611">
      <w:pPr>
        <w:rPr>
          <w:u w:val="single"/>
        </w:rPr>
      </w:pPr>
    </w:p>
    <w:p w14:paraId="1AEBB2A7" w14:textId="77777777" w:rsidR="00853611" w:rsidRPr="00686BE8" w:rsidRDefault="00853611" w:rsidP="00853611">
      <w:pPr>
        <w:rPr>
          <w:u w:val="single"/>
        </w:rPr>
      </w:pPr>
    </w:p>
    <w:p w14:paraId="5F317680" w14:textId="77777777" w:rsidR="00853611" w:rsidRPr="00686BE8" w:rsidRDefault="00853611" w:rsidP="00B26388">
      <w:pPr>
        <w:pStyle w:val="Nadpis3"/>
      </w:pPr>
      <w:bookmarkStart w:id="34" w:name="_Toc5968818"/>
      <w:r w:rsidRPr="00686BE8">
        <w:t>Příjmy kapitoly</w:t>
      </w:r>
      <w:bookmarkEnd w:id="34"/>
    </w:p>
    <w:p w14:paraId="079BF16F" w14:textId="77777777" w:rsidR="00853611" w:rsidRPr="00B70F0B" w:rsidRDefault="00853611" w:rsidP="00853611">
      <w:pPr>
        <w:rPr>
          <w:highlight w:val="yellow"/>
          <w:u w:val="single"/>
        </w:rPr>
      </w:pPr>
    </w:p>
    <w:p w14:paraId="0489D624" w14:textId="77777777" w:rsidR="00853611" w:rsidRPr="006C58B3" w:rsidRDefault="00853611" w:rsidP="00853611">
      <w:pPr>
        <w:pStyle w:val="Text"/>
      </w:pPr>
      <w:r>
        <w:t>Rozpočet příjmů na rok 2019</w:t>
      </w:r>
      <w:r w:rsidRPr="006C58B3">
        <w:t xml:space="preserve"> je stanoven ve výši </w:t>
      </w:r>
      <w:r>
        <w:rPr>
          <w:b/>
          <w:spacing w:val="8"/>
        </w:rPr>
        <w:t xml:space="preserve">10 151 242 744 </w:t>
      </w:r>
      <w:r w:rsidRPr="006C58B3">
        <w:rPr>
          <w:b/>
        </w:rPr>
        <w:t>Kč</w:t>
      </w:r>
      <w:r w:rsidRPr="006C58B3">
        <w:t xml:space="preserve">. </w:t>
      </w:r>
      <w:r>
        <w:t>V tom:</w:t>
      </w:r>
    </w:p>
    <w:p w14:paraId="36E8DA00" w14:textId="77777777" w:rsidR="00853611" w:rsidRPr="00F70F78" w:rsidRDefault="00853611" w:rsidP="00853611">
      <w:pPr>
        <w:ind w:left="284"/>
        <w:rPr>
          <w:sz w:val="16"/>
          <w:szCs w:val="16"/>
          <w:highlight w:val="yellow"/>
        </w:rPr>
      </w:pPr>
    </w:p>
    <w:p w14:paraId="1E001150" w14:textId="006C66B2" w:rsidR="00853611" w:rsidRPr="005353D4" w:rsidRDefault="00853611" w:rsidP="00853611">
      <w:pPr>
        <w:numPr>
          <w:ilvl w:val="0"/>
          <w:numId w:val="6"/>
        </w:numPr>
        <w:ind w:left="1418" w:hanging="709"/>
      </w:pPr>
      <w:r w:rsidRPr="005353D4">
        <w:t>příjm</w:t>
      </w:r>
      <w:r w:rsidR="00BF7850">
        <w:t>y</w:t>
      </w:r>
      <w:r w:rsidRPr="005353D4">
        <w:t xml:space="preserve"> z EU a FM</w:t>
      </w:r>
      <w:r w:rsidRPr="005353D4">
        <w:rPr>
          <w:b/>
        </w:rPr>
        <w:t xml:space="preserve"> </w:t>
      </w:r>
      <w:r>
        <w:rPr>
          <w:b/>
        </w:rPr>
        <w:t>10 058 486 744</w:t>
      </w:r>
      <w:r w:rsidRPr="005353D4">
        <w:rPr>
          <w:b/>
        </w:rPr>
        <w:t xml:space="preserve"> Kč</w:t>
      </w:r>
      <w:r w:rsidRPr="005353D4">
        <w:t xml:space="preserve">. </w:t>
      </w:r>
    </w:p>
    <w:p w14:paraId="03A4DF57" w14:textId="77777777" w:rsidR="00853611" w:rsidRPr="007F67D2" w:rsidRDefault="00853611" w:rsidP="00853611">
      <w:pPr>
        <w:ind w:left="709"/>
        <w:rPr>
          <w:highlight w:val="yellow"/>
        </w:rPr>
      </w:pPr>
    </w:p>
    <w:p w14:paraId="6718C5B3" w14:textId="746F5A60" w:rsidR="00853611" w:rsidRPr="00E95D48" w:rsidRDefault="00853611" w:rsidP="00911311">
      <w:pPr>
        <w:pStyle w:val="Text"/>
      </w:pPr>
      <w:r w:rsidRPr="005353D4">
        <w:t>Proti schválenému rozpočtu roku 201</w:t>
      </w:r>
      <w:r>
        <w:t>8</w:t>
      </w:r>
      <w:r w:rsidRPr="005353D4">
        <w:t xml:space="preserve"> jsou</w:t>
      </w:r>
      <w:r>
        <w:t xml:space="preserve"> celkové</w:t>
      </w:r>
      <w:r w:rsidRPr="005353D4">
        <w:t xml:space="preserve"> příjmy </w:t>
      </w:r>
      <w:r w:rsidRPr="00E95D48">
        <w:rPr>
          <w:b/>
        </w:rPr>
        <w:t>absolutně vyšší o 2 958 260 586 Kč</w:t>
      </w:r>
      <w:r>
        <w:rPr>
          <w:b/>
        </w:rPr>
        <w:t xml:space="preserve">. </w:t>
      </w:r>
      <w:r w:rsidRPr="00E95D48">
        <w:t xml:space="preserve">Kromě navýšení příjmů od EU, </w:t>
      </w:r>
      <w:r>
        <w:t xml:space="preserve">se </w:t>
      </w:r>
      <w:r w:rsidRPr="00E95D48">
        <w:t xml:space="preserve">navyšují </w:t>
      </w:r>
      <w:r>
        <w:t>daňové příjmy o 500 000 Kč a nedaňové</w:t>
      </w:r>
      <w:r w:rsidRPr="00E95D48">
        <w:t xml:space="preserve"> příjmy o </w:t>
      </w:r>
      <w:r>
        <w:t>2 304 000 Kč. U daňových příjmů se jedná zejména o správní poplatky v souvislosti se žádostmi o uznávání zahraničního vysok</w:t>
      </w:r>
      <w:r w:rsidR="00B8183F">
        <w:t>oškolského vzdělání a dokladu o </w:t>
      </w:r>
      <w:r>
        <w:t>zahraničním vysokoškolském vzdělání. Nárůst nedaňových příjmů vychází z nárůstu pronájmů nemovitostí a přijatých nekapitálových náhrad na ústředním orgánu a na ČŠI.</w:t>
      </w:r>
    </w:p>
    <w:p w14:paraId="3C654D9A" w14:textId="77777777" w:rsidR="00853611" w:rsidRPr="001C0329" w:rsidRDefault="00853611" w:rsidP="00853611">
      <w:pPr>
        <w:spacing w:before="120" w:after="120"/>
        <w:ind w:left="284" w:firstLine="851"/>
        <w:rPr>
          <w:spacing w:val="8"/>
        </w:rPr>
      </w:pPr>
      <w:r w:rsidRPr="001C0329">
        <w:rPr>
          <w:spacing w:val="8"/>
        </w:rPr>
        <w:t>V působnosti resortu školství jsou na rok 201</w:t>
      </w:r>
      <w:r>
        <w:rPr>
          <w:spacing w:val="8"/>
        </w:rPr>
        <w:t>9</w:t>
      </w:r>
      <w:r w:rsidRPr="001C0329">
        <w:rPr>
          <w:spacing w:val="8"/>
        </w:rPr>
        <w:t xml:space="preserve"> rozpočtovány příjmy:</w:t>
      </w:r>
    </w:p>
    <w:tbl>
      <w:tblPr>
        <w:tblW w:w="0" w:type="auto"/>
        <w:tblInd w:w="709" w:type="dxa"/>
        <w:tblLook w:val="04A0" w:firstRow="1" w:lastRow="0" w:firstColumn="1" w:lastColumn="0" w:noHBand="0" w:noVBand="1"/>
      </w:tblPr>
      <w:tblGrid>
        <w:gridCol w:w="675"/>
        <w:gridCol w:w="4961"/>
        <w:gridCol w:w="2694"/>
      </w:tblGrid>
      <w:tr w:rsidR="00853611" w:rsidRPr="001C0329" w14:paraId="3710AB85" w14:textId="77777777" w:rsidTr="008678CF">
        <w:tc>
          <w:tcPr>
            <w:tcW w:w="5636" w:type="dxa"/>
            <w:gridSpan w:val="2"/>
            <w:tcBorders>
              <w:bottom w:val="single" w:sz="4" w:space="0" w:color="auto"/>
            </w:tcBorders>
            <w:shd w:val="clear" w:color="auto" w:fill="auto"/>
          </w:tcPr>
          <w:p w14:paraId="155EE42A" w14:textId="77777777" w:rsidR="00853611" w:rsidRPr="00264176" w:rsidRDefault="00853611" w:rsidP="008678CF">
            <w:pPr>
              <w:rPr>
                <w:i/>
              </w:rPr>
            </w:pPr>
            <w:r w:rsidRPr="00264176">
              <w:t xml:space="preserve">pro 3 OSS   </w:t>
            </w:r>
          </w:p>
        </w:tc>
        <w:tc>
          <w:tcPr>
            <w:tcW w:w="2694" w:type="dxa"/>
            <w:tcBorders>
              <w:bottom w:val="single" w:sz="4" w:space="0" w:color="auto"/>
            </w:tcBorders>
            <w:shd w:val="clear" w:color="auto" w:fill="auto"/>
          </w:tcPr>
          <w:p w14:paraId="7463E337" w14:textId="77777777" w:rsidR="00853611" w:rsidRPr="00264176" w:rsidRDefault="00853611" w:rsidP="008678CF">
            <w:pPr>
              <w:ind w:right="175"/>
              <w:jc w:val="right"/>
              <w:rPr>
                <w:i/>
              </w:rPr>
            </w:pPr>
            <w:r>
              <w:t>10 151 242 744</w:t>
            </w:r>
            <w:r w:rsidRPr="00264176">
              <w:t xml:space="preserve"> Kč</w:t>
            </w:r>
          </w:p>
        </w:tc>
      </w:tr>
      <w:tr w:rsidR="00853611" w:rsidRPr="001C0329" w14:paraId="33E2E725" w14:textId="77777777" w:rsidTr="008678CF">
        <w:tc>
          <w:tcPr>
            <w:tcW w:w="5636" w:type="dxa"/>
            <w:gridSpan w:val="2"/>
            <w:tcBorders>
              <w:top w:val="single" w:sz="4" w:space="0" w:color="auto"/>
            </w:tcBorders>
            <w:shd w:val="clear" w:color="auto" w:fill="auto"/>
          </w:tcPr>
          <w:p w14:paraId="1590CE95" w14:textId="77777777" w:rsidR="00853611" w:rsidRPr="00264176" w:rsidRDefault="00853611" w:rsidP="008678CF">
            <w:pPr>
              <w:rPr>
                <w:i/>
              </w:rPr>
            </w:pPr>
            <w:r w:rsidRPr="00264176">
              <w:rPr>
                <w:i/>
              </w:rPr>
              <w:t>v tom:</w:t>
            </w:r>
          </w:p>
        </w:tc>
        <w:tc>
          <w:tcPr>
            <w:tcW w:w="2694" w:type="dxa"/>
            <w:tcBorders>
              <w:top w:val="single" w:sz="4" w:space="0" w:color="auto"/>
            </w:tcBorders>
            <w:shd w:val="clear" w:color="auto" w:fill="auto"/>
          </w:tcPr>
          <w:p w14:paraId="6F51E59F" w14:textId="77777777" w:rsidR="00853611" w:rsidRPr="00264176" w:rsidRDefault="00853611" w:rsidP="008678CF">
            <w:pPr>
              <w:ind w:right="175"/>
              <w:jc w:val="right"/>
              <w:rPr>
                <w:i/>
              </w:rPr>
            </w:pPr>
          </w:p>
        </w:tc>
      </w:tr>
      <w:tr w:rsidR="00853611" w:rsidRPr="001C0329" w14:paraId="4B4838B1" w14:textId="77777777" w:rsidTr="008678CF">
        <w:tc>
          <w:tcPr>
            <w:tcW w:w="675" w:type="dxa"/>
            <w:shd w:val="clear" w:color="auto" w:fill="auto"/>
          </w:tcPr>
          <w:p w14:paraId="22CA3CF3" w14:textId="77777777" w:rsidR="00853611" w:rsidRPr="00264176" w:rsidRDefault="00853611" w:rsidP="0070585C">
            <w:pPr>
              <w:numPr>
                <w:ilvl w:val="0"/>
                <w:numId w:val="10"/>
              </w:numPr>
              <w:rPr>
                <w:i/>
              </w:rPr>
            </w:pPr>
          </w:p>
        </w:tc>
        <w:tc>
          <w:tcPr>
            <w:tcW w:w="4961" w:type="dxa"/>
            <w:shd w:val="clear" w:color="auto" w:fill="auto"/>
          </w:tcPr>
          <w:p w14:paraId="43910D32" w14:textId="77777777" w:rsidR="00853611" w:rsidRPr="00264176" w:rsidRDefault="00853611" w:rsidP="008678CF">
            <w:pPr>
              <w:rPr>
                <w:i/>
              </w:rPr>
            </w:pPr>
            <w:r w:rsidRPr="00264176">
              <w:rPr>
                <w:i/>
              </w:rPr>
              <w:t xml:space="preserve">MŠMT </w:t>
            </w:r>
          </w:p>
        </w:tc>
        <w:tc>
          <w:tcPr>
            <w:tcW w:w="2694" w:type="dxa"/>
            <w:shd w:val="clear" w:color="auto" w:fill="auto"/>
          </w:tcPr>
          <w:p w14:paraId="2EB4059E" w14:textId="77777777" w:rsidR="00853611" w:rsidRPr="00264176" w:rsidRDefault="00853611" w:rsidP="008678CF">
            <w:pPr>
              <w:ind w:right="175"/>
              <w:jc w:val="right"/>
              <w:rPr>
                <w:i/>
              </w:rPr>
            </w:pPr>
            <w:r w:rsidRPr="00264176">
              <w:rPr>
                <w:i/>
              </w:rPr>
              <w:t xml:space="preserve">    </w:t>
            </w:r>
            <w:r>
              <w:rPr>
                <w:i/>
              </w:rPr>
              <w:t>10 099 540 301</w:t>
            </w:r>
            <w:r w:rsidRPr="00264176">
              <w:rPr>
                <w:i/>
              </w:rPr>
              <w:t xml:space="preserve"> Kč</w:t>
            </w:r>
          </w:p>
        </w:tc>
      </w:tr>
      <w:tr w:rsidR="00853611" w:rsidRPr="001C0329" w14:paraId="2982B527" w14:textId="77777777" w:rsidTr="008678CF">
        <w:tc>
          <w:tcPr>
            <w:tcW w:w="675" w:type="dxa"/>
            <w:shd w:val="clear" w:color="auto" w:fill="auto"/>
          </w:tcPr>
          <w:p w14:paraId="2CB3C448" w14:textId="77777777" w:rsidR="00853611" w:rsidRPr="00264176" w:rsidRDefault="00853611" w:rsidP="0070585C">
            <w:pPr>
              <w:numPr>
                <w:ilvl w:val="0"/>
                <w:numId w:val="10"/>
              </w:numPr>
              <w:rPr>
                <w:i/>
              </w:rPr>
            </w:pPr>
          </w:p>
        </w:tc>
        <w:tc>
          <w:tcPr>
            <w:tcW w:w="4961" w:type="dxa"/>
            <w:shd w:val="clear" w:color="auto" w:fill="auto"/>
          </w:tcPr>
          <w:p w14:paraId="077DB9CE" w14:textId="77777777" w:rsidR="00853611" w:rsidRPr="00264176" w:rsidRDefault="00853611" w:rsidP="008678CF">
            <w:pPr>
              <w:rPr>
                <w:i/>
              </w:rPr>
            </w:pPr>
            <w:r w:rsidRPr="00264176">
              <w:rPr>
                <w:i/>
              </w:rPr>
              <w:t>ČŠI</w:t>
            </w:r>
          </w:p>
        </w:tc>
        <w:tc>
          <w:tcPr>
            <w:tcW w:w="2694" w:type="dxa"/>
            <w:shd w:val="clear" w:color="auto" w:fill="auto"/>
          </w:tcPr>
          <w:p w14:paraId="7D4DB76C" w14:textId="77777777" w:rsidR="00853611" w:rsidRPr="00264176" w:rsidRDefault="00853611" w:rsidP="008678CF">
            <w:pPr>
              <w:ind w:left="426" w:right="175"/>
              <w:jc w:val="right"/>
              <w:rPr>
                <w:i/>
              </w:rPr>
            </w:pPr>
            <w:r w:rsidRPr="00264176">
              <w:rPr>
                <w:i/>
              </w:rPr>
              <w:t xml:space="preserve"> </w:t>
            </w:r>
            <w:r>
              <w:rPr>
                <w:i/>
              </w:rPr>
              <w:t xml:space="preserve">51 636 443 </w:t>
            </w:r>
            <w:r w:rsidRPr="00264176">
              <w:rPr>
                <w:i/>
              </w:rPr>
              <w:t>Kč</w:t>
            </w:r>
          </w:p>
        </w:tc>
      </w:tr>
      <w:tr w:rsidR="00853611" w:rsidRPr="001C0329" w14:paraId="5705724E" w14:textId="77777777" w:rsidTr="008678CF">
        <w:trPr>
          <w:trHeight w:val="386"/>
        </w:trPr>
        <w:tc>
          <w:tcPr>
            <w:tcW w:w="675" w:type="dxa"/>
            <w:shd w:val="clear" w:color="auto" w:fill="auto"/>
          </w:tcPr>
          <w:p w14:paraId="166C6A05" w14:textId="77777777" w:rsidR="00853611" w:rsidRPr="00264176" w:rsidRDefault="00853611" w:rsidP="0070585C">
            <w:pPr>
              <w:numPr>
                <w:ilvl w:val="0"/>
                <w:numId w:val="10"/>
              </w:numPr>
              <w:rPr>
                <w:i/>
              </w:rPr>
            </w:pPr>
          </w:p>
        </w:tc>
        <w:tc>
          <w:tcPr>
            <w:tcW w:w="4961" w:type="dxa"/>
            <w:shd w:val="clear" w:color="auto" w:fill="auto"/>
          </w:tcPr>
          <w:p w14:paraId="582BF4EB" w14:textId="77777777" w:rsidR="00853611" w:rsidRPr="00264176" w:rsidRDefault="00853611" w:rsidP="008678CF">
            <w:pPr>
              <w:rPr>
                <w:i/>
              </w:rPr>
            </w:pPr>
            <w:r w:rsidRPr="00264176">
              <w:rPr>
                <w:i/>
              </w:rPr>
              <w:t xml:space="preserve">VSC  </w:t>
            </w:r>
            <w:r w:rsidRPr="00264176">
              <w:rPr>
                <w:i/>
              </w:rPr>
              <w:tab/>
              <w:t xml:space="preserve">     </w:t>
            </w:r>
            <w:r w:rsidRPr="00264176">
              <w:rPr>
                <w:i/>
              </w:rPr>
              <w:tab/>
            </w:r>
          </w:p>
        </w:tc>
        <w:tc>
          <w:tcPr>
            <w:tcW w:w="2694" w:type="dxa"/>
            <w:shd w:val="clear" w:color="auto" w:fill="auto"/>
          </w:tcPr>
          <w:p w14:paraId="295FB091" w14:textId="77777777" w:rsidR="00853611" w:rsidRPr="00264176" w:rsidRDefault="00853611" w:rsidP="005B6E93">
            <w:pPr>
              <w:numPr>
                <w:ilvl w:val="0"/>
                <w:numId w:val="20"/>
              </w:numPr>
              <w:ind w:right="175"/>
              <w:jc w:val="right"/>
              <w:rPr>
                <w:i/>
              </w:rPr>
            </w:pPr>
            <w:r w:rsidRPr="00264176">
              <w:rPr>
                <w:i/>
              </w:rPr>
              <w:t>000 Kč</w:t>
            </w:r>
          </w:p>
        </w:tc>
      </w:tr>
    </w:tbl>
    <w:p w14:paraId="06FF0D0E" w14:textId="77777777" w:rsidR="00853611" w:rsidRPr="001C0329" w:rsidRDefault="00853611" w:rsidP="00853611">
      <w:pPr>
        <w:ind w:left="426"/>
        <w:rPr>
          <w:i/>
          <w:sz w:val="16"/>
          <w:szCs w:val="16"/>
          <w:highlight w:val="yellow"/>
        </w:rPr>
      </w:pPr>
    </w:p>
    <w:p w14:paraId="01A48916" w14:textId="77777777" w:rsidR="00853611" w:rsidRPr="00264176" w:rsidRDefault="00853611" w:rsidP="00911311">
      <w:pPr>
        <w:pStyle w:val="Text"/>
      </w:pPr>
      <w:r>
        <w:t>V tom p</w:t>
      </w:r>
      <w:r w:rsidRPr="00264176">
        <w:t>ro společné financování projektů ČR a EU programov</w:t>
      </w:r>
      <w:r>
        <w:t>ého</w:t>
      </w:r>
      <w:r w:rsidRPr="00264176">
        <w:t xml:space="preserve"> období 2014-2020</w:t>
      </w:r>
      <w:r>
        <w:t xml:space="preserve"> jsou příjmy rozepsány</w:t>
      </w:r>
      <w:r w:rsidRPr="00264176">
        <w:t>:</w:t>
      </w:r>
    </w:p>
    <w:tbl>
      <w:tblPr>
        <w:tblW w:w="0" w:type="auto"/>
        <w:tblInd w:w="675" w:type="dxa"/>
        <w:tblLook w:val="04A0" w:firstRow="1" w:lastRow="0" w:firstColumn="1" w:lastColumn="0" w:noHBand="0" w:noVBand="1"/>
      </w:tblPr>
      <w:tblGrid>
        <w:gridCol w:w="709"/>
        <w:gridCol w:w="4950"/>
        <w:gridCol w:w="2705"/>
      </w:tblGrid>
      <w:tr w:rsidR="00853611" w:rsidRPr="00264176" w14:paraId="576F1C71" w14:textId="77777777" w:rsidTr="008678CF">
        <w:tc>
          <w:tcPr>
            <w:tcW w:w="5659" w:type="dxa"/>
            <w:gridSpan w:val="2"/>
          </w:tcPr>
          <w:p w14:paraId="202BD0E9" w14:textId="77777777" w:rsidR="00853611" w:rsidRPr="00264176" w:rsidRDefault="00853611" w:rsidP="008678CF">
            <w:pPr>
              <w:rPr>
                <w:b/>
              </w:rPr>
            </w:pPr>
            <w:r w:rsidRPr="00264176">
              <w:rPr>
                <w:b/>
              </w:rPr>
              <w:t>Celkem</w:t>
            </w:r>
          </w:p>
        </w:tc>
        <w:tc>
          <w:tcPr>
            <w:tcW w:w="2705" w:type="dxa"/>
          </w:tcPr>
          <w:p w14:paraId="4BFA2BCC" w14:textId="77777777" w:rsidR="00853611" w:rsidRPr="00264176" w:rsidRDefault="00853611" w:rsidP="008678CF">
            <w:pPr>
              <w:jc w:val="right"/>
              <w:rPr>
                <w:b/>
              </w:rPr>
            </w:pPr>
            <w:r>
              <w:rPr>
                <w:b/>
              </w:rPr>
              <w:t xml:space="preserve">10 058 486 744 </w:t>
            </w:r>
            <w:r w:rsidRPr="00264176">
              <w:rPr>
                <w:b/>
              </w:rPr>
              <w:t>Kč</w:t>
            </w:r>
          </w:p>
        </w:tc>
      </w:tr>
      <w:tr w:rsidR="00853611" w:rsidRPr="00264176" w14:paraId="2F6DA6A4" w14:textId="77777777" w:rsidTr="008678CF">
        <w:tc>
          <w:tcPr>
            <w:tcW w:w="5659" w:type="dxa"/>
            <w:gridSpan w:val="2"/>
          </w:tcPr>
          <w:p w14:paraId="5CA30FCA" w14:textId="77777777" w:rsidR="00853611" w:rsidRPr="00264176" w:rsidRDefault="00853611" w:rsidP="008678CF">
            <w:pPr>
              <w:rPr>
                <w:i/>
              </w:rPr>
            </w:pPr>
            <w:r w:rsidRPr="00264176">
              <w:rPr>
                <w:i/>
              </w:rPr>
              <w:t>v tom:</w:t>
            </w:r>
          </w:p>
        </w:tc>
        <w:tc>
          <w:tcPr>
            <w:tcW w:w="2705" w:type="dxa"/>
          </w:tcPr>
          <w:p w14:paraId="76A19212" w14:textId="77777777" w:rsidR="00853611" w:rsidRPr="00264176" w:rsidRDefault="00853611" w:rsidP="008678CF">
            <w:pPr>
              <w:ind w:left="426"/>
              <w:jc w:val="right"/>
              <w:rPr>
                <w:i/>
              </w:rPr>
            </w:pPr>
          </w:p>
        </w:tc>
      </w:tr>
      <w:tr w:rsidR="00853611" w:rsidRPr="00C9259B" w14:paraId="2343A9F7" w14:textId="77777777" w:rsidTr="008678CF">
        <w:tc>
          <w:tcPr>
            <w:tcW w:w="709" w:type="dxa"/>
          </w:tcPr>
          <w:p w14:paraId="1C9E9CD9" w14:textId="77777777" w:rsidR="00853611" w:rsidRPr="00264176" w:rsidRDefault="00853611" w:rsidP="0070585C">
            <w:pPr>
              <w:numPr>
                <w:ilvl w:val="0"/>
                <w:numId w:val="10"/>
              </w:numPr>
              <w:rPr>
                <w:i/>
              </w:rPr>
            </w:pPr>
          </w:p>
        </w:tc>
        <w:tc>
          <w:tcPr>
            <w:tcW w:w="4950" w:type="dxa"/>
          </w:tcPr>
          <w:p w14:paraId="0BF3FE50" w14:textId="77777777" w:rsidR="00853611" w:rsidRPr="00264176" w:rsidRDefault="00853611" w:rsidP="008678CF">
            <w:pPr>
              <w:rPr>
                <w:i/>
              </w:rPr>
            </w:pPr>
            <w:r w:rsidRPr="00264176">
              <w:rPr>
                <w:i/>
              </w:rPr>
              <w:t>OP VVV</w:t>
            </w:r>
            <w:r>
              <w:rPr>
                <w:i/>
              </w:rPr>
              <w:t xml:space="preserve"> - MŠMT            </w:t>
            </w:r>
          </w:p>
        </w:tc>
        <w:tc>
          <w:tcPr>
            <w:tcW w:w="2705" w:type="dxa"/>
          </w:tcPr>
          <w:p w14:paraId="2A6FEF7F" w14:textId="77777777" w:rsidR="00853611" w:rsidRPr="00C9259B" w:rsidRDefault="00853611" w:rsidP="008678CF">
            <w:pPr>
              <w:jc w:val="right"/>
              <w:rPr>
                <w:i/>
              </w:rPr>
            </w:pPr>
            <w:r>
              <w:rPr>
                <w:i/>
              </w:rPr>
              <w:t>9 753 385 557</w:t>
            </w:r>
            <w:r w:rsidRPr="00C9259B">
              <w:rPr>
                <w:i/>
              </w:rPr>
              <w:t xml:space="preserve"> Kč</w:t>
            </w:r>
          </w:p>
        </w:tc>
      </w:tr>
      <w:tr w:rsidR="00853611" w:rsidRPr="00264176" w14:paraId="6655B94C" w14:textId="77777777" w:rsidTr="008678CF">
        <w:tc>
          <w:tcPr>
            <w:tcW w:w="709" w:type="dxa"/>
          </w:tcPr>
          <w:p w14:paraId="75DC1F80" w14:textId="77777777" w:rsidR="00853611" w:rsidRPr="00264176" w:rsidRDefault="00853611" w:rsidP="0070585C">
            <w:pPr>
              <w:numPr>
                <w:ilvl w:val="0"/>
                <w:numId w:val="10"/>
              </w:numPr>
              <w:rPr>
                <w:i/>
              </w:rPr>
            </w:pPr>
          </w:p>
        </w:tc>
        <w:tc>
          <w:tcPr>
            <w:tcW w:w="4950" w:type="dxa"/>
          </w:tcPr>
          <w:p w14:paraId="18B1693D" w14:textId="77777777" w:rsidR="00853611" w:rsidRPr="00264176" w:rsidRDefault="00853611" w:rsidP="008678CF">
            <w:pPr>
              <w:rPr>
                <w:i/>
              </w:rPr>
            </w:pPr>
            <w:r>
              <w:rPr>
                <w:i/>
              </w:rPr>
              <w:t>OP VVV - ČŠI</w:t>
            </w:r>
          </w:p>
        </w:tc>
        <w:tc>
          <w:tcPr>
            <w:tcW w:w="2705" w:type="dxa"/>
          </w:tcPr>
          <w:p w14:paraId="691F06D3" w14:textId="77777777" w:rsidR="00853611" w:rsidRDefault="00853611" w:rsidP="008678CF">
            <w:pPr>
              <w:jc w:val="right"/>
              <w:rPr>
                <w:i/>
              </w:rPr>
            </w:pPr>
            <w:r>
              <w:rPr>
                <w:i/>
              </w:rPr>
              <w:t>46 614 443</w:t>
            </w:r>
            <w:r w:rsidRPr="00264176">
              <w:rPr>
                <w:i/>
              </w:rPr>
              <w:t xml:space="preserve"> Kč</w:t>
            </w:r>
          </w:p>
        </w:tc>
      </w:tr>
      <w:tr w:rsidR="00853611" w:rsidRPr="00264176" w14:paraId="00B12E31" w14:textId="77777777" w:rsidTr="008678CF">
        <w:tc>
          <w:tcPr>
            <w:tcW w:w="709" w:type="dxa"/>
          </w:tcPr>
          <w:p w14:paraId="01B280FD" w14:textId="77777777" w:rsidR="00853611" w:rsidRPr="00264176" w:rsidRDefault="00853611" w:rsidP="0070585C">
            <w:pPr>
              <w:numPr>
                <w:ilvl w:val="0"/>
                <w:numId w:val="10"/>
              </w:numPr>
              <w:rPr>
                <w:i/>
              </w:rPr>
            </w:pPr>
          </w:p>
        </w:tc>
        <w:tc>
          <w:tcPr>
            <w:tcW w:w="4950" w:type="dxa"/>
          </w:tcPr>
          <w:p w14:paraId="380B1E5C" w14:textId="77777777" w:rsidR="00853611" w:rsidRPr="00264176" w:rsidRDefault="00853611" w:rsidP="008678CF">
            <w:pPr>
              <w:rPr>
                <w:i/>
              </w:rPr>
            </w:pPr>
            <w:r>
              <w:rPr>
                <w:i/>
              </w:rPr>
              <w:t>OP Z - MŠMT</w:t>
            </w:r>
          </w:p>
        </w:tc>
        <w:tc>
          <w:tcPr>
            <w:tcW w:w="2705" w:type="dxa"/>
          </w:tcPr>
          <w:p w14:paraId="1D988EF6" w14:textId="77777777" w:rsidR="00853611" w:rsidRPr="00E95D48" w:rsidRDefault="00853611" w:rsidP="008678CF">
            <w:pPr>
              <w:jc w:val="right"/>
              <w:rPr>
                <w:i/>
                <w:highlight w:val="yellow"/>
              </w:rPr>
            </w:pPr>
            <w:r>
              <w:rPr>
                <w:i/>
              </w:rPr>
              <w:t>83 866 567</w:t>
            </w:r>
            <w:r w:rsidRPr="00C9259B">
              <w:rPr>
                <w:i/>
              </w:rPr>
              <w:t xml:space="preserve"> Kč</w:t>
            </w:r>
          </w:p>
        </w:tc>
      </w:tr>
      <w:tr w:rsidR="00853611" w:rsidRPr="00264176" w14:paraId="09E19B5B" w14:textId="77777777" w:rsidTr="008678CF">
        <w:tc>
          <w:tcPr>
            <w:tcW w:w="709" w:type="dxa"/>
          </w:tcPr>
          <w:p w14:paraId="2845B178" w14:textId="77777777" w:rsidR="00853611" w:rsidRPr="00264176" w:rsidRDefault="00853611" w:rsidP="0070585C">
            <w:pPr>
              <w:numPr>
                <w:ilvl w:val="0"/>
                <w:numId w:val="10"/>
              </w:numPr>
              <w:rPr>
                <w:i/>
              </w:rPr>
            </w:pPr>
          </w:p>
        </w:tc>
        <w:tc>
          <w:tcPr>
            <w:tcW w:w="4950" w:type="dxa"/>
          </w:tcPr>
          <w:p w14:paraId="14B60DC2" w14:textId="77777777" w:rsidR="00853611" w:rsidRDefault="00853611" w:rsidP="008678CF">
            <w:pPr>
              <w:rPr>
                <w:i/>
              </w:rPr>
            </w:pPr>
            <w:r>
              <w:rPr>
                <w:i/>
              </w:rPr>
              <w:t>OP Z - ČŠI</w:t>
            </w:r>
          </w:p>
        </w:tc>
        <w:tc>
          <w:tcPr>
            <w:tcW w:w="2705" w:type="dxa"/>
          </w:tcPr>
          <w:p w14:paraId="273A7D31" w14:textId="77777777" w:rsidR="00853611" w:rsidRDefault="00853611" w:rsidP="008678CF">
            <w:pPr>
              <w:jc w:val="right"/>
              <w:rPr>
                <w:i/>
              </w:rPr>
            </w:pPr>
            <w:r>
              <w:rPr>
                <w:i/>
              </w:rPr>
              <w:t>4 043 000 Kč</w:t>
            </w:r>
          </w:p>
        </w:tc>
      </w:tr>
      <w:tr w:rsidR="00853611" w:rsidRPr="00264176" w14:paraId="3C33888F" w14:textId="77777777" w:rsidTr="008678CF">
        <w:tc>
          <w:tcPr>
            <w:tcW w:w="709" w:type="dxa"/>
          </w:tcPr>
          <w:p w14:paraId="2F11A606" w14:textId="77777777" w:rsidR="00853611" w:rsidRPr="00264176" w:rsidRDefault="00853611" w:rsidP="0070585C">
            <w:pPr>
              <w:numPr>
                <w:ilvl w:val="0"/>
                <w:numId w:val="10"/>
              </w:numPr>
              <w:rPr>
                <w:i/>
              </w:rPr>
            </w:pPr>
          </w:p>
        </w:tc>
        <w:tc>
          <w:tcPr>
            <w:tcW w:w="4950" w:type="dxa"/>
          </w:tcPr>
          <w:p w14:paraId="531AF99A" w14:textId="77777777" w:rsidR="00853611" w:rsidRDefault="00853611" w:rsidP="008678CF">
            <w:pPr>
              <w:rPr>
                <w:i/>
              </w:rPr>
            </w:pPr>
            <w:r>
              <w:rPr>
                <w:i/>
              </w:rPr>
              <w:t>IROP - MŠMT</w:t>
            </w:r>
          </w:p>
        </w:tc>
        <w:tc>
          <w:tcPr>
            <w:tcW w:w="2705" w:type="dxa"/>
          </w:tcPr>
          <w:p w14:paraId="4CE65ABB" w14:textId="77777777" w:rsidR="00853611" w:rsidRPr="007C1E07" w:rsidRDefault="00853611" w:rsidP="008678CF">
            <w:pPr>
              <w:jc w:val="right"/>
              <w:rPr>
                <w:i/>
              </w:rPr>
            </w:pPr>
            <w:r>
              <w:rPr>
                <w:i/>
              </w:rPr>
              <w:t>160 111 677 Kč</w:t>
            </w:r>
          </w:p>
        </w:tc>
      </w:tr>
      <w:tr w:rsidR="00853611" w:rsidRPr="00264176" w14:paraId="028D80F7" w14:textId="77777777" w:rsidTr="008678CF">
        <w:tc>
          <w:tcPr>
            <w:tcW w:w="709" w:type="dxa"/>
          </w:tcPr>
          <w:p w14:paraId="200A9A83" w14:textId="77777777" w:rsidR="00853611" w:rsidRPr="00264176" w:rsidRDefault="00853611" w:rsidP="0070585C">
            <w:pPr>
              <w:numPr>
                <w:ilvl w:val="0"/>
                <w:numId w:val="10"/>
              </w:numPr>
              <w:rPr>
                <w:i/>
              </w:rPr>
            </w:pPr>
          </w:p>
        </w:tc>
        <w:tc>
          <w:tcPr>
            <w:tcW w:w="4950" w:type="dxa"/>
          </w:tcPr>
          <w:p w14:paraId="51D64EC8" w14:textId="77777777" w:rsidR="00853611" w:rsidRPr="00264176" w:rsidRDefault="00853611" w:rsidP="008678CF">
            <w:pPr>
              <w:rPr>
                <w:i/>
              </w:rPr>
            </w:pPr>
            <w:r>
              <w:rPr>
                <w:i/>
              </w:rPr>
              <w:t>Eurostars 2 - MŠMT</w:t>
            </w:r>
          </w:p>
        </w:tc>
        <w:tc>
          <w:tcPr>
            <w:tcW w:w="2705" w:type="dxa"/>
          </w:tcPr>
          <w:p w14:paraId="25993B87" w14:textId="77777777" w:rsidR="00853611" w:rsidRPr="00E95D48" w:rsidRDefault="00853611" w:rsidP="008678CF">
            <w:pPr>
              <w:jc w:val="right"/>
              <w:rPr>
                <w:i/>
                <w:highlight w:val="yellow"/>
              </w:rPr>
            </w:pPr>
            <w:r w:rsidRPr="007C1E07">
              <w:rPr>
                <w:i/>
              </w:rPr>
              <w:t>9 881 500 Kč</w:t>
            </w:r>
          </w:p>
        </w:tc>
      </w:tr>
      <w:tr w:rsidR="00853611" w:rsidRPr="00264176" w14:paraId="441E351A" w14:textId="77777777" w:rsidTr="008678CF">
        <w:tc>
          <w:tcPr>
            <w:tcW w:w="709" w:type="dxa"/>
          </w:tcPr>
          <w:p w14:paraId="09992BD2" w14:textId="77777777" w:rsidR="00853611" w:rsidRPr="00264176" w:rsidRDefault="00853611" w:rsidP="0070585C">
            <w:pPr>
              <w:numPr>
                <w:ilvl w:val="0"/>
                <w:numId w:val="10"/>
              </w:numPr>
              <w:rPr>
                <w:i/>
              </w:rPr>
            </w:pPr>
          </w:p>
        </w:tc>
        <w:tc>
          <w:tcPr>
            <w:tcW w:w="4950" w:type="dxa"/>
          </w:tcPr>
          <w:p w14:paraId="5432D196" w14:textId="22C512A4" w:rsidR="00853611" w:rsidRDefault="00853611" w:rsidP="008678CF">
            <w:pPr>
              <w:rPr>
                <w:i/>
              </w:rPr>
            </w:pPr>
            <w:r>
              <w:rPr>
                <w:i/>
              </w:rPr>
              <w:t>Horizont 2020</w:t>
            </w:r>
            <w:r w:rsidR="00287A3E">
              <w:rPr>
                <w:i/>
              </w:rPr>
              <w:t xml:space="preserve"> - MŠMT</w:t>
            </w:r>
          </w:p>
        </w:tc>
        <w:tc>
          <w:tcPr>
            <w:tcW w:w="2705" w:type="dxa"/>
          </w:tcPr>
          <w:p w14:paraId="3C9F3E1A" w14:textId="77777777" w:rsidR="00853611" w:rsidRPr="007C1E07" w:rsidRDefault="00853611" w:rsidP="008678CF">
            <w:pPr>
              <w:jc w:val="right"/>
              <w:rPr>
                <w:i/>
              </w:rPr>
            </w:pPr>
            <w:r>
              <w:rPr>
                <w:i/>
              </w:rPr>
              <w:t>584 000 Kč</w:t>
            </w:r>
          </w:p>
        </w:tc>
      </w:tr>
    </w:tbl>
    <w:p w14:paraId="55E7EF20" w14:textId="77777777" w:rsidR="00853611" w:rsidRPr="001C0329" w:rsidRDefault="00853611" w:rsidP="00853611">
      <w:pPr>
        <w:rPr>
          <w:i/>
          <w:sz w:val="16"/>
          <w:szCs w:val="16"/>
          <w:highlight w:val="yellow"/>
        </w:rPr>
      </w:pPr>
    </w:p>
    <w:p w14:paraId="3DCD7FCF" w14:textId="77777777" w:rsidR="00853611" w:rsidRPr="00264176" w:rsidRDefault="00853611" w:rsidP="00853611">
      <w:pPr>
        <w:ind w:left="284"/>
        <w:rPr>
          <w:i/>
          <w:sz w:val="16"/>
          <w:szCs w:val="16"/>
        </w:rPr>
      </w:pPr>
    </w:p>
    <w:p w14:paraId="0FACF23B" w14:textId="77777777" w:rsidR="00853611" w:rsidRPr="00262024" w:rsidRDefault="00853611" w:rsidP="00853611">
      <w:pPr>
        <w:rPr>
          <w:b/>
          <w:i/>
          <w:sz w:val="20"/>
        </w:rPr>
      </w:pPr>
      <w:bookmarkStart w:id="35" w:name="_Toc381271880"/>
      <w:bookmarkEnd w:id="31"/>
      <w:bookmarkEnd w:id="32"/>
      <w:r w:rsidRPr="00262024">
        <w:rPr>
          <w:b/>
          <w:i/>
          <w:sz w:val="20"/>
        </w:rPr>
        <w:t>Tabulkové přílohy ke kapitole A</w:t>
      </w:r>
      <w:bookmarkEnd w:id="35"/>
    </w:p>
    <w:p w14:paraId="78D58697" w14:textId="77777777" w:rsidR="00853611" w:rsidRPr="00262024" w:rsidRDefault="00853611" w:rsidP="00853611">
      <w:pPr>
        <w:rPr>
          <w:b/>
          <w:i/>
          <w:sz w:val="20"/>
        </w:rPr>
      </w:pPr>
    </w:p>
    <w:p w14:paraId="329941CC" w14:textId="77777777" w:rsidR="00853611" w:rsidRPr="00555DC4" w:rsidRDefault="00853611" w:rsidP="00853611">
      <w:pPr>
        <w:tabs>
          <w:tab w:val="left" w:pos="1560"/>
        </w:tabs>
        <w:ind w:left="1560" w:hanging="1560"/>
        <w:jc w:val="left"/>
        <w:rPr>
          <w:sz w:val="20"/>
        </w:rPr>
      </w:pPr>
      <w:r w:rsidRPr="00555DC4">
        <w:rPr>
          <w:sz w:val="20"/>
        </w:rPr>
        <w:t>Tabulka č. 1</w:t>
      </w:r>
      <w:r w:rsidRPr="00555DC4">
        <w:rPr>
          <w:sz w:val="20"/>
        </w:rPr>
        <w:tab/>
        <w:t>Ukazatele kapitoly 333 MŠMT na rok 2019 (ve struktuře návrhu zákona o státním rozpočtu)</w:t>
      </w:r>
      <w:r w:rsidRPr="00555DC4">
        <w:rPr>
          <w:sz w:val="20"/>
        </w:rPr>
        <w:tab/>
      </w:r>
    </w:p>
    <w:p w14:paraId="3C7DFB2A" w14:textId="77777777" w:rsidR="00853611" w:rsidRPr="00555DC4" w:rsidRDefault="00853611" w:rsidP="00853611">
      <w:pPr>
        <w:tabs>
          <w:tab w:val="left" w:pos="1560"/>
        </w:tabs>
        <w:ind w:left="1560" w:hanging="1560"/>
        <w:jc w:val="left"/>
        <w:rPr>
          <w:sz w:val="20"/>
        </w:rPr>
      </w:pPr>
      <w:r w:rsidRPr="00555DC4">
        <w:rPr>
          <w:sz w:val="20"/>
        </w:rPr>
        <w:t xml:space="preserve">Tabulka č. 2 </w:t>
      </w:r>
      <w:r w:rsidRPr="00555DC4">
        <w:rPr>
          <w:sz w:val="20"/>
        </w:rPr>
        <w:tab/>
        <w:t xml:space="preserve">Ukazatele kapitoly 333 MŠMT na rok 2019 (členění dle specifických ukazatelů </w:t>
      </w:r>
      <w:r w:rsidRPr="00555DC4">
        <w:rPr>
          <w:sz w:val="20"/>
        </w:rPr>
        <w:br/>
        <w:t xml:space="preserve">a výdajových druhů) </w:t>
      </w:r>
    </w:p>
    <w:p w14:paraId="48193BBF" w14:textId="77777777" w:rsidR="00853611" w:rsidRPr="00555DC4" w:rsidRDefault="00853611" w:rsidP="00853611">
      <w:pPr>
        <w:tabs>
          <w:tab w:val="left" w:pos="1560"/>
        </w:tabs>
        <w:ind w:left="1560" w:hanging="1560"/>
        <w:rPr>
          <w:sz w:val="20"/>
        </w:rPr>
      </w:pPr>
      <w:r w:rsidRPr="00555DC4">
        <w:rPr>
          <w:sz w:val="20"/>
        </w:rPr>
        <w:t xml:space="preserve">Tabulka č. 3a </w:t>
      </w:r>
      <w:r w:rsidRPr="00555DC4">
        <w:rPr>
          <w:sz w:val="20"/>
        </w:rPr>
        <w:tab/>
        <w:t>Ukazatele kapitoly 333 MŠMT na rok 2019 (změny proti rozpočtu roku 2018)</w:t>
      </w:r>
    </w:p>
    <w:p w14:paraId="0B15DECA" w14:textId="77777777" w:rsidR="00853611" w:rsidRPr="00555DC4" w:rsidRDefault="00853611" w:rsidP="00853611">
      <w:pPr>
        <w:tabs>
          <w:tab w:val="left" w:pos="1560"/>
        </w:tabs>
        <w:ind w:left="1560" w:hanging="1560"/>
        <w:rPr>
          <w:sz w:val="20"/>
        </w:rPr>
      </w:pPr>
      <w:r w:rsidRPr="00555DC4">
        <w:rPr>
          <w:sz w:val="20"/>
        </w:rPr>
        <w:t xml:space="preserve">Tabulka č. 3b </w:t>
      </w:r>
      <w:r w:rsidRPr="00555DC4">
        <w:rPr>
          <w:sz w:val="20"/>
        </w:rPr>
        <w:tab/>
        <w:t xml:space="preserve">Ukazatele kapitoly 333 MŠMT na rok 2019 (změny proti rozpočtu roku 2018 podrobně) </w:t>
      </w:r>
    </w:p>
    <w:p w14:paraId="61109B09" w14:textId="77777777" w:rsidR="00853611" w:rsidRPr="00555DC4" w:rsidRDefault="00853611" w:rsidP="00853611">
      <w:pPr>
        <w:tabs>
          <w:tab w:val="left" w:pos="1560"/>
        </w:tabs>
        <w:ind w:left="1560" w:hanging="1560"/>
        <w:rPr>
          <w:sz w:val="20"/>
        </w:rPr>
      </w:pPr>
      <w:r w:rsidRPr="00555DC4">
        <w:rPr>
          <w:sz w:val="20"/>
        </w:rPr>
        <w:t>Tabulka č. 3c</w:t>
      </w:r>
      <w:r w:rsidRPr="00555DC4">
        <w:rPr>
          <w:sz w:val="20"/>
        </w:rPr>
        <w:tab/>
        <w:t>Ukazatele kapitoly 333 MŠMT na rok 2019 (rekapitulace vlivů vč. východiska ze střednědobého výhledu)</w:t>
      </w:r>
    </w:p>
    <w:p w14:paraId="55189630" w14:textId="77777777" w:rsidR="00853611" w:rsidRPr="00555DC4" w:rsidRDefault="00853611" w:rsidP="00853611">
      <w:pPr>
        <w:tabs>
          <w:tab w:val="left" w:pos="1560"/>
        </w:tabs>
        <w:ind w:left="1560" w:hanging="1560"/>
        <w:rPr>
          <w:sz w:val="20"/>
        </w:rPr>
      </w:pPr>
      <w:r w:rsidRPr="00555DC4">
        <w:rPr>
          <w:sz w:val="20"/>
        </w:rPr>
        <w:t>Tabulka č. 4</w:t>
      </w:r>
      <w:r w:rsidRPr="00555DC4">
        <w:rPr>
          <w:sz w:val="20"/>
        </w:rPr>
        <w:tab/>
        <w:t>Ukazatele kapitoly 333 MŠMT na rok 2019 (srovnání rozpočtu v letech 2011 - 2019)</w:t>
      </w:r>
    </w:p>
    <w:p w14:paraId="2B469B30" w14:textId="77777777" w:rsidR="00853611" w:rsidRPr="00555DC4" w:rsidRDefault="00853611" w:rsidP="00853611">
      <w:pPr>
        <w:tabs>
          <w:tab w:val="left" w:pos="1560"/>
        </w:tabs>
        <w:ind w:left="1560" w:hanging="1560"/>
        <w:rPr>
          <w:sz w:val="20"/>
        </w:rPr>
      </w:pPr>
      <w:r w:rsidRPr="00555DC4">
        <w:rPr>
          <w:sz w:val="20"/>
        </w:rPr>
        <w:t>Tabulka č. 5</w:t>
      </w:r>
      <w:r w:rsidRPr="00555DC4">
        <w:rPr>
          <w:sz w:val="20"/>
        </w:rPr>
        <w:tab/>
        <w:t>Ukazatele kapitoly 333 MŠMT na rok 2019 (srovnání rozpočtu kapitoly 333 MŠMT v letech 2018 - 2021 podle PVS)</w:t>
      </w:r>
    </w:p>
    <w:p w14:paraId="4EBC3B8E" w14:textId="77777777" w:rsidR="00853611" w:rsidRPr="00555DC4" w:rsidRDefault="00853611" w:rsidP="00853611">
      <w:pPr>
        <w:tabs>
          <w:tab w:val="left" w:pos="1560"/>
        </w:tabs>
        <w:ind w:left="1560" w:hanging="1560"/>
        <w:rPr>
          <w:sz w:val="20"/>
        </w:rPr>
      </w:pPr>
      <w:r w:rsidRPr="00555DC4">
        <w:rPr>
          <w:sz w:val="20"/>
        </w:rPr>
        <w:t xml:space="preserve">Tabulka č. 6 </w:t>
      </w:r>
      <w:r w:rsidRPr="00555DC4">
        <w:rPr>
          <w:sz w:val="20"/>
        </w:rPr>
        <w:tab/>
        <w:t xml:space="preserve">Limity regulace zaměstnanosti na rok 2019 dle jednotlivých školských úseků </w:t>
      </w:r>
    </w:p>
    <w:p w14:paraId="26459C7E" w14:textId="77777777" w:rsidR="00853611" w:rsidRPr="00555DC4" w:rsidRDefault="00853611" w:rsidP="00853611">
      <w:pPr>
        <w:tabs>
          <w:tab w:val="left" w:pos="1560"/>
        </w:tabs>
        <w:ind w:left="1560" w:hanging="1560"/>
        <w:rPr>
          <w:sz w:val="20"/>
        </w:rPr>
      </w:pPr>
      <w:r w:rsidRPr="00555DC4">
        <w:rPr>
          <w:sz w:val="20"/>
        </w:rPr>
        <w:t xml:space="preserve">Tabulka č. 7 </w:t>
      </w:r>
      <w:r w:rsidRPr="00555DC4">
        <w:rPr>
          <w:sz w:val="20"/>
        </w:rPr>
        <w:tab/>
        <w:t xml:space="preserve">Příjmy kapitoly 333 MŠMT na rok 2019 (členění dle specifických ukazatelů a příjmových druhů) </w:t>
      </w:r>
    </w:p>
    <w:p w14:paraId="57914272" w14:textId="77777777" w:rsidR="00853611" w:rsidRPr="00555DC4" w:rsidRDefault="00853611" w:rsidP="00853611">
      <w:pPr>
        <w:tabs>
          <w:tab w:val="left" w:pos="1560"/>
          <w:tab w:val="left" w:pos="2127"/>
        </w:tabs>
        <w:ind w:left="1560" w:hanging="1560"/>
        <w:rPr>
          <w:sz w:val="20"/>
        </w:rPr>
      </w:pPr>
      <w:r w:rsidRPr="00555DC4">
        <w:rPr>
          <w:sz w:val="20"/>
        </w:rPr>
        <w:t xml:space="preserve">Graf č. 1 </w:t>
      </w:r>
      <w:r w:rsidRPr="00555DC4">
        <w:rPr>
          <w:sz w:val="20"/>
        </w:rPr>
        <w:tab/>
        <w:t xml:space="preserve">Vývoj výdajů kapitoly 333 - MŠMT v letech 2005 </w:t>
      </w:r>
      <w:r w:rsidRPr="00555DC4">
        <w:rPr>
          <w:noProof/>
          <w:sz w:val="20"/>
        </w:rPr>
        <w:t xml:space="preserve">– </w:t>
      </w:r>
      <w:r w:rsidRPr="00555DC4">
        <w:rPr>
          <w:sz w:val="20"/>
        </w:rPr>
        <w:t>2019 (schválený rozpočet v mld. Kč)</w:t>
      </w:r>
    </w:p>
    <w:p w14:paraId="7AAF03D9" w14:textId="77777777" w:rsidR="00853611" w:rsidRPr="00555DC4" w:rsidRDefault="00853611" w:rsidP="00853611">
      <w:pPr>
        <w:tabs>
          <w:tab w:val="left" w:pos="1560"/>
          <w:tab w:val="left" w:pos="2127"/>
          <w:tab w:val="left" w:pos="7125"/>
        </w:tabs>
        <w:ind w:left="1560" w:hanging="1560"/>
        <w:rPr>
          <w:sz w:val="20"/>
        </w:rPr>
      </w:pPr>
      <w:r w:rsidRPr="00555DC4">
        <w:rPr>
          <w:sz w:val="20"/>
        </w:rPr>
        <w:t>Graf č. 2</w:t>
      </w:r>
      <w:r w:rsidRPr="00555DC4">
        <w:rPr>
          <w:sz w:val="20"/>
        </w:rPr>
        <w:tab/>
        <w:t>Vnitřní členění rozpočtu MŠMT do výdajových bloků v r. 2019</w:t>
      </w:r>
      <w:r w:rsidRPr="00555DC4">
        <w:rPr>
          <w:sz w:val="20"/>
        </w:rPr>
        <w:tab/>
      </w:r>
    </w:p>
    <w:p w14:paraId="2733A660" w14:textId="77777777" w:rsidR="00853611" w:rsidRPr="00555DC4" w:rsidRDefault="00853611" w:rsidP="0043025F">
      <w:pPr>
        <w:pStyle w:val="Text"/>
      </w:pPr>
    </w:p>
    <w:p w14:paraId="0382852C" w14:textId="77777777" w:rsidR="00B13D6A" w:rsidRDefault="00B13D6A">
      <w:pPr>
        <w:jc w:val="left"/>
        <w:rPr>
          <w:highlight w:val="yellow"/>
        </w:rPr>
      </w:pPr>
      <w:r>
        <w:rPr>
          <w:highlight w:val="yellow"/>
        </w:rPr>
        <w:br w:type="page"/>
      </w:r>
    </w:p>
    <w:p w14:paraId="413BA9B9" w14:textId="77777777" w:rsidR="00853611" w:rsidRPr="00781D67" w:rsidRDefault="00853611" w:rsidP="00853611">
      <w:pPr>
        <w:pStyle w:val="Nadpis1"/>
      </w:pPr>
      <w:bookmarkStart w:id="36" w:name="_Toc5968819"/>
      <w:bookmarkEnd w:id="13"/>
      <w:bookmarkEnd w:id="14"/>
      <w:r w:rsidRPr="00781D67">
        <w:lastRenderedPageBreak/>
        <w:t>Běžné a kapitálové výdaje vč. výdajů</w:t>
      </w:r>
      <w:bookmarkStart w:id="37" w:name="_Toc242256108"/>
      <w:r w:rsidRPr="00781D67">
        <w:t xml:space="preserve"> </w:t>
      </w:r>
      <w:r>
        <w:t>zahrnutých v programovém financování</w:t>
      </w:r>
      <w:r w:rsidRPr="00781D67">
        <w:t xml:space="preserve"> v členění podle závazných specifických ukazatelů MŠMT na rok 201</w:t>
      </w:r>
      <w:bookmarkEnd w:id="37"/>
      <w:r>
        <w:t>9</w:t>
      </w:r>
      <w:bookmarkEnd w:id="36"/>
    </w:p>
    <w:p w14:paraId="28EAF5A6" w14:textId="77777777" w:rsidR="00853611" w:rsidRPr="00781D67" w:rsidRDefault="00853611" w:rsidP="00853611">
      <w:pPr>
        <w:ind w:left="426"/>
        <w:rPr>
          <w:b/>
          <w:color w:val="548DD4"/>
        </w:rPr>
      </w:pPr>
    </w:p>
    <w:p w14:paraId="58DEBA2B" w14:textId="77777777" w:rsidR="00853611" w:rsidRDefault="00853611" w:rsidP="00853611">
      <w:pPr>
        <w:pStyle w:val="Text"/>
      </w:pPr>
      <w:r w:rsidRPr="00781D67">
        <w:t>V této části jsou podrobně rozebírány objemy rozpočtu podle jednotlivých specifických ukazatelů kapitoly MŠMT. Podle termínů používaných ve státní pokladně jde o tzv. příjmovou a</w:t>
      </w:r>
      <w:r w:rsidRPr="003B68B6">
        <w:t xml:space="preserve"> výdajovou strukturu (dále jen „PVS“). </w:t>
      </w:r>
    </w:p>
    <w:p w14:paraId="7398EDCB" w14:textId="77777777" w:rsidR="00853611" w:rsidRPr="003B68B6" w:rsidRDefault="00853611" w:rsidP="00853611">
      <w:pPr>
        <w:pStyle w:val="Text"/>
      </w:pPr>
      <w:r w:rsidRPr="003B68B6">
        <w:t xml:space="preserve">Rozklad rozpočtu se předkládá tak, aby bylo možno utvořit si ucelený obraz o každém ukazateli podle PVS (výdajového bloku či okruhu, popř. množině a podmnožině) v celé šíři, včetně všech druhů výdajů. </w:t>
      </w:r>
      <w:r>
        <w:t>Pro rok 201</w:t>
      </w:r>
      <w:r w:rsidR="00D11654">
        <w:t>9</w:t>
      </w:r>
      <w:r w:rsidRPr="003B68B6">
        <w:t xml:space="preserve"> jsou </w:t>
      </w:r>
      <w:r>
        <w:t>stanoveny</w:t>
      </w:r>
      <w:r w:rsidRPr="003B68B6">
        <w:t xml:space="preserve"> tyto výdajové množiny:</w:t>
      </w:r>
    </w:p>
    <w:p w14:paraId="4CE76D58" w14:textId="77777777" w:rsidR="00853611" w:rsidRPr="003B68B6" w:rsidRDefault="00853611" w:rsidP="00853611">
      <w:pPr>
        <w:ind w:firstLine="567"/>
      </w:pPr>
      <w:r w:rsidRPr="003B68B6">
        <w:t xml:space="preserve">v okruhu výdajů vysoké školy: </w:t>
      </w:r>
    </w:p>
    <w:p w14:paraId="655AB8AF" w14:textId="77777777" w:rsidR="00853611" w:rsidRPr="008A46F5" w:rsidRDefault="00853611" w:rsidP="005B6E93">
      <w:pPr>
        <w:numPr>
          <w:ilvl w:val="2"/>
          <w:numId w:val="21"/>
        </w:numPr>
      </w:pPr>
      <w:r w:rsidRPr="008A46F5">
        <w:t>dotace včetně EDS/SMVS</w:t>
      </w:r>
      <w:r>
        <w:rPr>
          <w:rStyle w:val="Znakapoznpodarou"/>
        </w:rPr>
        <w:footnoteReference w:id="5"/>
      </w:r>
    </w:p>
    <w:p w14:paraId="646C0B1B" w14:textId="77777777" w:rsidR="00853611" w:rsidRPr="008A46F5" w:rsidRDefault="00853611" w:rsidP="005B6E93">
      <w:pPr>
        <w:numPr>
          <w:ilvl w:val="2"/>
          <w:numId w:val="21"/>
        </w:numPr>
      </w:pPr>
      <w:r w:rsidRPr="008A46F5">
        <w:t>příspěvek</w:t>
      </w:r>
    </w:p>
    <w:p w14:paraId="1FF2FC7A" w14:textId="77777777" w:rsidR="00853611" w:rsidRPr="008A46F5" w:rsidRDefault="00853611" w:rsidP="00853611"/>
    <w:p w14:paraId="47CC9CDA" w14:textId="77777777" w:rsidR="00853611" w:rsidRPr="008A46F5" w:rsidRDefault="00853611" w:rsidP="00853611">
      <w:pPr>
        <w:ind w:firstLine="567"/>
      </w:pPr>
      <w:r w:rsidRPr="008A46F5">
        <w:t>v okruhu výdajů výzkum, experimentální vývoj a inovace:</w:t>
      </w:r>
    </w:p>
    <w:p w14:paraId="0FAA2A72" w14:textId="77777777" w:rsidR="00853611" w:rsidRPr="008A46F5" w:rsidRDefault="00853611" w:rsidP="005B6E93">
      <w:pPr>
        <w:numPr>
          <w:ilvl w:val="2"/>
          <w:numId w:val="21"/>
        </w:numPr>
      </w:pPr>
      <w:r w:rsidRPr="008A46F5">
        <w:t>výzkum, experimentální vývoj a inovace</w:t>
      </w:r>
    </w:p>
    <w:p w14:paraId="0E2B0353" w14:textId="77777777" w:rsidR="00853611" w:rsidRPr="008A46F5" w:rsidRDefault="00853611" w:rsidP="00853611">
      <w:pPr>
        <w:ind w:left="567"/>
      </w:pPr>
    </w:p>
    <w:p w14:paraId="232B4B90" w14:textId="77777777" w:rsidR="00853611" w:rsidRPr="008A46F5" w:rsidRDefault="00853611" w:rsidP="00853611">
      <w:pPr>
        <w:ind w:left="567"/>
      </w:pPr>
      <w:r w:rsidRPr="008A46F5">
        <w:t>v okruhu výdajů RgŠ ÚSC:</w:t>
      </w:r>
    </w:p>
    <w:p w14:paraId="4EFEA6EF" w14:textId="77777777" w:rsidR="00853611" w:rsidRPr="008A46F5" w:rsidRDefault="00853611" w:rsidP="005B6E93">
      <w:pPr>
        <w:numPr>
          <w:ilvl w:val="2"/>
          <w:numId w:val="22"/>
        </w:numPr>
      </w:pPr>
      <w:r w:rsidRPr="008A46F5">
        <w:t>rozvojové programy</w:t>
      </w:r>
    </w:p>
    <w:p w14:paraId="1A56ED94" w14:textId="77777777" w:rsidR="00853611" w:rsidRPr="008A46F5" w:rsidRDefault="00853611" w:rsidP="005B6E93">
      <w:pPr>
        <w:numPr>
          <w:ilvl w:val="2"/>
          <w:numId w:val="22"/>
        </w:numPr>
      </w:pPr>
      <w:r w:rsidRPr="008A46F5">
        <w:t>výkonové financování</w:t>
      </w:r>
    </w:p>
    <w:p w14:paraId="13E4F693" w14:textId="77777777" w:rsidR="00853611" w:rsidRPr="008A46F5" w:rsidRDefault="00853611" w:rsidP="005B6E93">
      <w:pPr>
        <w:numPr>
          <w:ilvl w:val="2"/>
          <w:numId w:val="22"/>
        </w:numPr>
      </w:pPr>
      <w:r w:rsidRPr="008A46F5">
        <w:t>ostatní dotační tituly (vč. EDS)</w:t>
      </w:r>
    </w:p>
    <w:p w14:paraId="51D41488" w14:textId="77777777" w:rsidR="00853611" w:rsidRPr="008A46F5" w:rsidRDefault="00853611" w:rsidP="00853611"/>
    <w:p w14:paraId="502488E9" w14:textId="77777777" w:rsidR="00853611" w:rsidRPr="008A46F5" w:rsidRDefault="00853611" w:rsidP="00853611">
      <w:pPr>
        <w:ind w:left="567"/>
      </w:pPr>
      <w:r w:rsidRPr="008A46F5">
        <w:t>v okruhu výdajů PŘO:</w:t>
      </w:r>
    </w:p>
    <w:p w14:paraId="24A534E1" w14:textId="77777777" w:rsidR="00853611" w:rsidRPr="008A46F5" w:rsidRDefault="00853611" w:rsidP="005B6E93">
      <w:pPr>
        <w:numPr>
          <w:ilvl w:val="2"/>
          <w:numId w:val="23"/>
        </w:numPr>
      </w:pPr>
      <w:r w:rsidRPr="008A46F5">
        <w:t>rozvojové programy</w:t>
      </w:r>
    </w:p>
    <w:p w14:paraId="70EA543B" w14:textId="77777777" w:rsidR="00853611" w:rsidRPr="008A46F5" w:rsidRDefault="00853611" w:rsidP="005B6E93">
      <w:pPr>
        <w:numPr>
          <w:ilvl w:val="2"/>
          <w:numId w:val="23"/>
        </w:numPr>
      </w:pPr>
      <w:r w:rsidRPr="008A46F5">
        <w:t>příspěvek</w:t>
      </w:r>
    </w:p>
    <w:p w14:paraId="68AE59FC" w14:textId="77777777" w:rsidR="00853611" w:rsidRPr="008A46F5" w:rsidRDefault="00853611" w:rsidP="005B6E93">
      <w:pPr>
        <w:numPr>
          <w:ilvl w:val="2"/>
          <w:numId w:val="23"/>
        </w:numPr>
      </w:pPr>
      <w:r w:rsidRPr="008A46F5">
        <w:t>ostatní dotační tituly (vč.</w:t>
      </w:r>
      <w:r>
        <w:t xml:space="preserve"> </w:t>
      </w:r>
      <w:r w:rsidRPr="008A46F5">
        <w:t>SMVS)</w:t>
      </w:r>
    </w:p>
    <w:p w14:paraId="03BF10D0" w14:textId="77777777" w:rsidR="00853611" w:rsidRPr="008A46F5" w:rsidRDefault="00853611" w:rsidP="00853611"/>
    <w:p w14:paraId="53F49D21" w14:textId="77777777" w:rsidR="00853611" w:rsidRPr="008A46F5" w:rsidRDefault="00853611" w:rsidP="00853611">
      <w:pPr>
        <w:ind w:firstLine="709"/>
      </w:pPr>
      <w:r w:rsidRPr="008A46F5">
        <w:t>v okruhu výdajů na podporu činnosti v oblasti mládeže:</w:t>
      </w:r>
    </w:p>
    <w:p w14:paraId="6A3CE336" w14:textId="77777777" w:rsidR="00853611" w:rsidRPr="008A46F5" w:rsidRDefault="00853611" w:rsidP="005B6E93">
      <w:pPr>
        <w:numPr>
          <w:ilvl w:val="2"/>
          <w:numId w:val="24"/>
        </w:numPr>
      </w:pPr>
      <w:r w:rsidRPr="008A46F5">
        <w:t>dotace (vč. soutěží a EDS)</w:t>
      </w:r>
    </w:p>
    <w:p w14:paraId="3CE581DB" w14:textId="77777777" w:rsidR="00853611" w:rsidRPr="008A46F5" w:rsidRDefault="00853611" w:rsidP="00853611"/>
    <w:p w14:paraId="4BB39655" w14:textId="77777777" w:rsidR="00853611" w:rsidRPr="008A46F5" w:rsidRDefault="00853611" w:rsidP="00853611">
      <w:pPr>
        <w:ind w:firstLine="709"/>
      </w:pPr>
      <w:r w:rsidRPr="008A46F5">
        <w:t>v okruhu výdajů na sportovní reprezentaci:</w:t>
      </w:r>
    </w:p>
    <w:p w14:paraId="439B2AAC" w14:textId="77777777" w:rsidR="00853611" w:rsidRPr="008A46F5" w:rsidRDefault="00853611" w:rsidP="005B6E93">
      <w:pPr>
        <w:numPr>
          <w:ilvl w:val="2"/>
          <w:numId w:val="25"/>
        </w:numPr>
      </w:pPr>
      <w:r w:rsidRPr="008A46F5">
        <w:t>dotace (vč. EDS)</w:t>
      </w:r>
    </w:p>
    <w:p w14:paraId="32C0E2A0" w14:textId="59AC6EBD" w:rsidR="00853611" w:rsidRPr="008A46F5" w:rsidRDefault="00853611" w:rsidP="005B6E93">
      <w:pPr>
        <w:numPr>
          <w:ilvl w:val="2"/>
          <w:numId w:val="25"/>
        </w:numPr>
      </w:pPr>
      <w:r w:rsidRPr="008A46F5">
        <w:t>příspěvek (</w:t>
      </w:r>
      <w:r w:rsidR="00287A3E">
        <w:t>VSC</w:t>
      </w:r>
      <w:r w:rsidRPr="008A46F5">
        <w:t xml:space="preserve">, </w:t>
      </w:r>
      <w:r>
        <w:t>Antidopingový výbor</w:t>
      </w:r>
      <w:r w:rsidRPr="008A46F5">
        <w:t xml:space="preserve"> vč. SMVS)</w:t>
      </w:r>
    </w:p>
    <w:p w14:paraId="2CC2DB4F" w14:textId="77777777" w:rsidR="00853611" w:rsidRPr="008A46F5" w:rsidRDefault="00853611" w:rsidP="00853611"/>
    <w:p w14:paraId="4A642E9B" w14:textId="77777777" w:rsidR="00853611" w:rsidRPr="008A46F5" w:rsidRDefault="00853611" w:rsidP="00853611">
      <w:pPr>
        <w:ind w:firstLine="709"/>
      </w:pPr>
      <w:r w:rsidRPr="008A46F5">
        <w:t>v okruhu výdajů na všeobecnou sportovní činnost:</w:t>
      </w:r>
    </w:p>
    <w:p w14:paraId="005CC009" w14:textId="77777777" w:rsidR="00853611" w:rsidRDefault="00853611" w:rsidP="005B6E93">
      <w:pPr>
        <w:numPr>
          <w:ilvl w:val="2"/>
          <w:numId w:val="25"/>
        </w:numPr>
      </w:pPr>
      <w:r w:rsidRPr="008A46F5">
        <w:t>dotace (vč. EDS)</w:t>
      </w:r>
    </w:p>
    <w:p w14:paraId="013FD6F1" w14:textId="77777777" w:rsidR="00853611" w:rsidRPr="008A46F5" w:rsidRDefault="00853611" w:rsidP="005B6E93">
      <w:pPr>
        <w:numPr>
          <w:ilvl w:val="2"/>
          <w:numId w:val="25"/>
        </w:numPr>
      </w:pPr>
      <w:r>
        <w:t>školní sport</w:t>
      </w:r>
    </w:p>
    <w:p w14:paraId="09257B7A" w14:textId="77777777" w:rsidR="00853611" w:rsidRPr="008A46F5" w:rsidRDefault="00853611" w:rsidP="00853611"/>
    <w:p w14:paraId="7DFEA157" w14:textId="77777777" w:rsidR="00853611" w:rsidRPr="008A46F5" w:rsidRDefault="00853611" w:rsidP="00853611">
      <w:pPr>
        <w:ind w:firstLine="709"/>
      </w:pPr>
      <w:r w:rsidRPr="008A46F5">
        <w:t xml:space="preserve">v okruhu výdajů na programy spolufinancované z rozpočtu EU a prostředků FM </w:t>
      </w:r>
    </w:p>
    <w:p w14:paraId="2C807799" w14:textId="77777777" w:rsidR="00853611" w:rsidRPr="008A46F5" w:rsidRDefault="00853611" w:rsidP="00853611">
      <w:pPr>
        <w:ind w:firstLine="709"/>
      </w:pPr>
      <w:r w:rsidRPr="008A46F5">
        <w:t>mimo výzkum, vývoj a inovace:</w:t>
      </w:r>
    </w:p>
    <w:p w14:paraId="5778FF20" w14:textId="77777777" w:rsidR="00853611" w:rsidRPr="008A46F5" w:rsidRDefault="00853611" w:rsidP="005B6E93">
      <w:pPr>
        <w:pStyle w:val="Odstavecseseznamem"/>
        <w:numPr>
          <w:ilvl w:val="2"/>
          <w:numId w:val="25"/>
        </w:numPr>
      </w:pPr>
      <w:r w:rsidRPr="008A46F5">
        <w:t>programy spolufinancované z rozpočtu EU a prostředků FM mimo výzkum, vývoj a inovace (vč. EDS/SMVS)</w:t>
      </w:r>
    </w:p>
    <w:p w14:paraId="57E04098" w14:textId="77777777" w:rsidR="00853611" w:rsidRPr="008A46F5" w:rsidRDefault="00853611" w:rsidP="00853611">
      <w:pPr>
        <w:ind w:left="2187"/>
      </w:pPr>
    </w:p>
    <w:p w14:paraId="511AFC7B" w14:textId="77777777" w:rsidR="00853611" w:rsidRPr="008A46F5" w:rsidRDefault="00853611" w:rsidP="00853611">
      <w:pPr>
        <w:ind w:firstLine="709"/>
      </w:pPr>
      <w:r w:rsidRPr="008A46F5">
        <w:t>v okruhu výdajů na ostatní výdaje resortu:</w:t>
      </w:r>
    </w:p>
    <w:p w14:paraId="1354DECA" w14:textId="77777777" w:rsidR="00853611" w:rsidRDefault="00853611" w:rsidP="005B6E93">
      <w:pPr>
        <w:pStyle w:val="Odstavecseseznamem"/>
        <w:numPr>
          <w:ilvl w:val="2"/>
          <w:numId w:val="25"/>
        </w:numPr>
      </w:pPr>
      <w:r w:rsidRPr="008A46F5">
        <w:t>ostatní výdaje resortu (vč. EDS/SMVS)</w:t>
      </w:r>
    </w:p>
    <w:p w14:paraId="55FF031B" w14:textId="77777777" w:rsidR="00853611" w:rsidRPr="00523789" w:rsidRDefault="00853611" w:rsidP="00853611">
      <w:pPr>
        <w:pStyle w:val="Text"/>
      </w:pPr>
      <w:r w:rsidRPr="00523789">
        <w:lastRenderedPageBreak/>
        <w:t xml:space="preserve">Rozdělení je patrné z </w:t>
      </w:r>
      <w:r w:rsidRPr="003C55D4">
        <w:t>přílohy č. 5.</w:t>
      </w:r>
      <w:r>
        <w:t xml:space="preserve"> Školní sport v rámci závazného ukazatele „všeobecná sportovní činnost“ je zřízen nově s účinností od roku 2019 a zahrnuje podporu školních sportovních soutěží nebo podporu pohybu žáků ve školách.</w:t>
      </w:r>
    </w:p>
    <w:p w14:paraId="3326FDFF" w14:textId="77777777" w:rsidR="00853611" w:rsidRPr="003B68B6" w:rsidRDefault="00853611" w:rsidP="00853611">
      <w:pPr>
        <w:pStyle w:val="Text"/>
      </w:pPr>
      <w:r w:rsidRPr="003B68B6">
        <w:t xml:space="preserve">Výše uvedené výdajové množiny </w:t>
      </w:r>
      <w:r w:rsidRPr="003B68B6">
        <w:rPr>
          <w:b/>
        </w:rPr>
        <w:t>nejsou</w:t>
      </w:r>
      <w:r w:rsidRPr="003B68B6">
        <w:t xml:space="preserve"> ve smyslu zákona o státním rozpočtu ČR na rok 201</w:t>
      </w:r>
      <w:r>
        <w:t>9</w:t>
      </w:r>
      <w:r w:rsidRPr="003B68B6">
        <w:t xml:space="preserve"> </w:t>
      </w:r>
      <w:r w:rsidRPr="003B68B6">
        <w:rPr>
          <w:b/>
        </w:rPr>
        <w:t>závaznými ukazateli</w:t>
      </w:r>
      <w:r w:rsidRPr="003B68B6">
        <w:t xml:space="preserve">. Přesuny v rámci uvedených okruhů mezi množinami výdajů jsou v pravomoci </w:t>
      </w:r>
      <w:r>
        <w:t xml:space="preserve">kapitoly MŠMT a nemají dopad do ukazatelů podle přílohy č. </w:t>
      </w:r>
      <w:r w:rsidRPr="003B68B6">
        <w:t>4</w:t>
      </w:r>
      <w:r>
        <w:t xml:space="preserve"> </w:t>
      </w:r>
      <w:r w:rsidRPr="003B68B6">
        <w:t>zákona</w:t>
      </w:r>
      <w:r>
        <w:t xml:space="preserve"> o státním rozpočtu na rok 2019. </w:t>
      </w:r>
    </w:p>
    <w:p w14:paraId="79EAFBA5" w14:textId="77777777" w:rsidR="00853611" w:rsidRPr="00EB0A73" w:rsidRDefault="00853611" w:rsidP="00853611">
      <w:pPr>
        <w:rPr>
          <w:color w:val="548DD4"/>
          <w:sz w:val="16"/>
          <w:szCs w:val="16"/>
          <w:highlight w:val="yellow"/>
        </w:rPr>
      </w:pPr>
    </w:p>
    <w:p w14:paraId="46C4EB3E" w14:textId="77777777" w:rsidR="00853611" w:rsidRPr="00A60D48" w:rsidRDefault="00853611" w:rsidP="00853611">
      <w:r w:rsidRPr="00E3170B">
        <w:t>Souhrnný ukazatel výdaje celkem ve výši</w:t>
      </w:r>
      <w:r>
        <w:rPr>
          <w:b/>
        </w:rPr>
        <w:t xml:space="preserve"> 205 759 166 364</w:t>
      </w:r>
      <w:r w:rsidRPr="00A60D48">
        <w:rPr>
          <w:b/>
        </w:rPr>
        <w:t xml:space="preserve"> Kč</w:t>
      </w:r>
      <w:r w:rsidRPr="00A60D48">
        <w:t xml:space="preserve"> se </w:t>
      </w:r>
      <w:r w:rsidRPr="00A60D48">
        <w:rPr>
          <w:b/>
        </w:rPr>
        <w:t>z  hlediska druhu výdajů dále člení</w:t>
      </w:r>
      <w:r w:rsidRPr="00A60D48">
        <w:t xml:space="preserve"> na:</w:t>
      </w:r>
    </w:p>
    <w:p w14:paraId="0B817E92" w14:textId="77777777" w:rsidR="00853611" w:rsidRPr="007F5A6E" w:rsidRDefault="00853611" w:rsidP="00853611">
      <w:pPr>
        <w:rPr>
          <w:highlight w:val="yellow"/>
        </w:rPr>
      </w:pPr>
    </w:p>
    <w:p w14:paraId="01E160BD" w14:textId="77777777" w:rsidR="00853611" w:rsidRPr="007F5A6E" w:rsidRDefault="00853611" w:rsidP="00853611">
      <w:pPr>
        <w:rPr>
          <w:sz w:val="16"/>
          <w:szCs w:val="16"/>
          <w:highlight w:val="yellow"/>
        </w:rPr>
      </w:pPr>
    </w:p>
    <w:tbl>
      <w:tblPr>
        <w:tblW w:w="8788" w:type="dxa"/>
        <w:tblInd w:w="392" w:type="dxa"/>
        <w:tblLook w:val="04A0" w:firstRow="1" w:lastRow="0" w:firstColumn="1" w:lastColumn="0" w:noHBand="0" w:noVBand="1"/>
      </w:tblPr>
      <w:tblGrid>
        <w:gridCol w:w="567"/>
        <w:gridCol w:w="5528"/>
        <w:gridCol w:w="2693"/>
      </w:tblGrid>
      <w:tr w:rsidR="00853611" w:rsidRPr="00A60D48" w14:paraId="70D29C62" w14:textId="77777777" w:rsidTr="008678CF">
        <w:tc>
          <w:tcPr>
            <w:tcW w:w="567" w:type="dxa"/>
            <w:shd w:val="clear" w:color="auto" w:fill="auto"/>
          </w:tcPr>
          <w:p w14:paraId="3E48E0E4" w14:textId="77777777" w:rsidR="00853611" w:rsidRPr="00A60D48" w:rsidRDefault="00853611" w:rsidP="008678CF">
            <w:pPr>
              <w:jc w:val="center"/>
            </w:pPr>
            <w:r w:rsidRPr="00A60D48">
              <w:t>1.</w:t>
            </w:r>
          </w:p>
        </w:tc>
        <w:tc>
          <w:tcPr>
            <w:tcW w:w="5528" w:type="dxa"/>
            <w:shd w:val="clear" w:color="auto" w:fill="auto"/>
          </w:tcPr>
          <w:p w14:paraId="0CE86772" w14:textId="77777777" w:rsidR="00853611" w:rsidRPr="00A60D48" w:rsidRDefault="00853611" w:rsidP="008678CF">
            <w:r w:rsidRPr="00A60D48">
              <w:t xml:space="preserve">Výdaje mimo informační systém programového </w:t>
            </w:r>
          </w:p>
        </w:tc>
        <w:tc>
          <w:tcPr>
            <w:tcW w:w="2693" w:type="dxa"/>
            <w:shd w:val="clear" w:color="auto" w:fill="auto"/>
          </w:tcPr>
          <w:p w14:paraId="4AD53803" w14:textId="77777777" w:rsidR="00853611" w:rsidRPr="00A60D48" w:rsidRDefault="00853611" w:rsidP="008678CF">
            <w:pPr>
              <w:jc w:val="right"/>
            </w:pPr>
          </w:p>
        </w:tc>
      </w:tr>
      <w:tr w:rsidR="00853611" w:rsidRPr="007F5A6E" w14:paraId="6DC8CEEF" w14:textId="77777777" w:rsidTr="008678CF">
        <w:tc>
          <w:tcPr>
            <w:tcW w:w="567" w:type="dxa"/>
            <w:shd w:val="clear" w:color="auto" w:fill="auto"/>
          </w:tcPr>
          <w:p w14:paraId="5AC65EE0" w14:textId="77777777" w:rsidR="00853611" w:rsidRPr="00A60D48" w:rsidRDefault="00853611" w:rsidP="008678CF">
            <w:pPr>
              <w:jc w:val="center"/>
            </w:pPr>
          </w:p>
        </w:tc>
        <w:tc>
          <w:tcPr>
            <w:tcW w:w="5528" w:type="dxa"/>
            <w:shd w:val="clear" w:color="auto" w:fill="auto"/>
          </w:tcPr>
          <w:p w14:paraId="07329A36" w14:textId="77777777" w:rsidR="00853611" w:rsidRPr="00A60D48" w:rsidRDefault="00853611" w:rsidP="008678CF">
            <w:r w:rsidRPr="00A60D48">
              <w:t xml:space="preserve">financování </w:t>
            </w:r>
          </w:p>
        </w:tc>
        <w:tc>
          <w:tcPr>
            <w:tcW w:w="2693" w:type="dxa"/>
            <w:shd w:val="clear" w:color="auto" w:fill="auto"/>
          </w:tcPr>
          <w:p w14:paraId="3B52AD22" w14:textId="77777777" w:rsidR="00853611" w:rsidRPr="00A60D48" w:rsidRDefault="00853611" w:rsidP="008678CF">
            <w:pPr>
              <w:jc w:val="right"/>
            </w:pPr>
            <w:r>
              <w:t>199 892 462 369</w:t>
            </w:r>
            <w:r w:rsidRPr="00A60D48">
              <w:t xml:space="preserve"> Kč</w:t>
            </w:r>
          </w:p>
        </w:tc>
      </w:tr>
      <w:tr w:rsidR="00853611" w:rsidRPr="007F5A6E" w14:paraId="6D0CF926" w14:textId="77777777" w:rsidTr="008678CF">
        <w:tc>
          <w:tcPr>
            <w:tcW w:w="567" w:type="dxa"/>
            <w:shd w:val="clear" w:color="auto" w:fill="auto"/>
          </w:tcPr>
          <w:p w14:paraId="4BB7A202" w14:textId="77777777" w:rsidR="00853611" w:rsidRPr="00A60D48" w:rsidRDefault="00853611" w:rsidP="008678CF">
            <w:pPr>
              <w:jc w:val="center"/>
            </w:pPr>
          </w:p>
        </w:tc>
        <w:tc>
          <w:tcPr>
            <w:tcW w:w="5528" w:type="dxa"/>
            <w:shd w:val="clear" w:color="auto" w:fill="auto"/>
          </w:tcPr>
          <w:p w14:paraId="5ECEF1E1" w14:textId="77777777" w:rsidR="00853611" w:rsidRPr="00A60D48" w:rsidRDefault="00853611" w:rsidP="008678CF">
            <w:r w:rsidRPr="00A60D48">
              <w:t>v tom: běžné výdaje</w:t>
            </w:r>
          </w:p>
        </w:tc>
        <w:tc>
          <w:tcPr>
            <w:tcW w:w="2693" w:type="dxa"/>
            <w:shd w:val="clear" w:color="auto" w:fill="auto"/>
          </w:tcPr>
          <w:p w14:paraId="442225B2" w14:textId="77777777" w:rsidR="00853611" w:rsidRPr="007F17A1" w:rsidRDefault="00853611" w:rsidP="008678CF">
            <w:pPr>
              <w:jc w:val="right"/>
            </w:pPr>
            <w:r w:rsidRPr="007F17A1">
              <w:t>195 398 890 589 Kč</w:t>
            </w:r>
          </w:p>
        </w:tc>
      </w:tr>
      <w:tr w:rsidR="00853611" w:rsidRPr="007F5A6E" w14:paraId="39F1C822" w14:textId="77777777" w:rsidTr="008678CF">
        <w:tc>
          <w:tcPr>
            <w:tcW w:w="567" w:type="dxa"/>
            <w:shd w:val="clear" w:color="auto" w:fill="auto"/>
          </w:tcPr>
          <w:p w14:paraId="25BF1EB1" w14:textId="77777777" w:rsidR="00853611" w:rsidRPr="00A60D48" w:rsidRDefault="00853611" w:rsidP="008678CF">
            <w:pPr>
              <w:jc w:val="center"/>
            </w:pPr>
          </w:p>
        </w:tc>
        <w:tc>
          <w:tcPr>
            <w:tcW w:w="5528" w:type="dxa"/>
            <w:shd w:val="clear" w:color="auto" w:fill="auto"/>
          </w:tcPr>
          <w:p w14:paraId="300937C1" w14:textId="77777777" w:rsidR="00853611" w:rsidRPr="00A60D48" w:rsidRDefault="00853611" w:rsidP="008678CF">
            <w:pPr>
              <w:ind w:left="742"/>
            </w:pPr>
            <w:r w:rsidRPr="00A60D48">
              <w:t>kapitálové výdaje</w:t>
            </w:r>
          </w:p>
        </w:tc>
        <w:tc>
          <w:tcPr>
            <w:tcW w:w="2693" w:type="dxa"/>
            <w:shd w:val="clear" w:color="auto" w:fill="auto"/>
          </w:tcPr>
          <w:p w14:paraId="6CACBD94" w14:textId="77777777" w:rsidR="00853611" w:rsidRPr="007F17A1" w:rsidRDefault="00853611" w:rsidP="008678CF">
            <w:pPr>
              <w:jc w:val="right"/>
            </w:pPr>
            <w:r w:rsidRPr="007F17A1">
              <w:t>4 493 571 780 Kč</w:t>
            </w:r>
          </w:p>
        </w:tc>
      </w:tr>
      <w:tr w:rsidR="00853611" w:rsidRPr="008A46F5" w14:paraId="384C2ACA" w14:textId="77777777" w:rsidTr="008678CF">
        <w:tc>
          <w:tcPr>
            <w:tcW w:w="567" w:type="dxa"/>
            <w:shd w:val="clear" w:color="auto" w:fill="auto"/>
          </w:tcPr>
          <w:p w14:paraId="0B979373" w14:textId="77777777" w:rsidR="00853611" w:rsidRPr="008A46F5" w:rsidRDefault="00853611" w:rsidP="008678CF">
            <w:pPr>
              <w:jc w:val="center"/>
            </w:pPr>
            <w:r w:rsidRPr="008A46F5">
              <w:t>2.</w:t>
            </w:r>
          </w:p>
        </w:tc>
        <w:tc>
          <w:tcPr>
            <w:tcW w:w="5528" w:type="dxa"/>
            <w:shd w:val="clear" w:color="auto" w:fill="auto"/>
          </w:tcPr>
          <w:p w14:paraId="5100671C" w14:textId="77777777" w:rsidR="00853611" w:rsidRPr="008A46F5" w:rsidRDefault="00853611" w:rsidP="008678CF">
            <w:r w:rsidRPr="008A46F5">
              <w:t xml:space="preserve">Výdaje vedené v informačním systému programového </w:t>
            </w:r>
          </w:p>
          <w:p w14:paraId="17809031" w14:textId="77777777" w:rsidR="00853611" w:rsidRPr="008A46F5" w:rsidRDefault="00853611" w:rsidP="008678CF">
            <w:r w:rsidRPr="008A46F5">
              <w:t xml:space="preserve">financování </w:t>
            </w:r>
          </w:p>
        </w:tc>
        <w:tc>
          <w:tcPr>
            <w:tcW w:w="2693" w:type="dxa"/>
            <w:shd w:val="clear" w:color="auto" w:fill="auto"/>
          </w:tcPr>
          <w:p w14:paraId="3A28544F" w14:textId="77777777" w:rsidR="00853611" w:rsidRPr="007F17A1" w:rsidRDefault="00853611" w:rsidP="008678CF">
            <w:pPr>
              <w:jc w:val="right"/>
            </w:pPr>
          </w:p>
          <w:p w14:paraId="3837307E" w14:textId="77777777" w:rsidR="00853611" w:rsidRPr="007F17A1" w:rsidRDefault="00853611" w:rsidP="008678CF">
            <w:pPr>
              <w:jc w:val="right"/>
            </w:pPr>
            <w:r w:rsidRPr="007F17A1">
              <w:t>5 866 703 995</w:t>
            </w:r>
            <w:r w:rsidRPr="007F17A1">
              <w:rPr>
                <w:b/>
                <w:bCs/>
                <w:szCs w:val="24"/>
              </w:rPr>
              <w:t xml:space="preserve"> </w:t>
            </w:r>
            <w:r w:rsidRPr="007F17A1">
              <w:t>Kč</w:t>
            </w:r>
          </w:p>
        </w:tc>
      </w:tr>
      <w:tr w:rsidR="00853611" w:rsidRPr="008A46F5" w14:paraId="6D46D3D0" w14:textId="77777777" w:rsidTr="008678CF">
        <w:tc>
          <w:tcPr>
            <w:tcW w:w="567" w:type="dxa"/>
            <w:shd w:val="clear" w:color="auto" w:fill="auto"/>
          </w:tcPr>
          <w:p w14:paraId="5D125921" w14:textId="77777777" w:rsidR="00853611" w:rsidRPr="008A46F5" w:rsidRDefault="00853611" w:rsidP="008678CF">
            <w:pPr>
              <w:jc w:val="center"/>
            </w:pPr>
          </w:p>
        </w:tc>
        <w:tc>
          <w:tcPr>
            <w:tcW w:w="5528" w:type="dxa"/>
            <w:shd w:val="clear" w:color="auto" w:fill="auto"/>
          </w:tcPr>
          <w:p w14:paraId="23F22759" w14:textId="77777777" w:rsidR="00853611" w:rsidRPr="008A46F5" w:rsidRDefault="00853611" w:rsidP="008678CF">
            <w:r w:rsidRPr="008A46F5">
              <w:t>v tom: běžné výdaje</w:t>
            </w:r>
          </w:p>
        </w:tc>
        <w:tc>
          <w:tcPr>
            <w:tcW w:w="2693" w:type="dxa"/>
            <w:shd w:val="clear" w:color="auto" w:fill="auto"/>
          </w:tcPr>
          <w:p w14:paraId="1BDC4B70" w14:textId="77777777" w:rsidR="00853611" w:rsidRPr="007F17A1" w:rsidRDefault="00853611" w:rsidP="008678CF">
            <w:pPr>
              <w:jc w:val="right"/>
            </w:pPr>
            <w:r w:rsidRPr="007F17A1">
              <w:t>619 912 616</w:t>
            </w:r>
            <w:r w:rsidRPr="007F17A1">
              <w:rPr>
                <w:b/>
                <w:bCs/>
                <w:szCs w:val="24"/>
              </w:rPr>
              <w:t xml:space="preserve"> </w:t>
            </w:r>
            <w:r w:rsidRPr="007F17A1">
              <w:t>Kč</w:t>
            </w:r>
          </w:p>
        </w:tc>
      </w:tr>
      <w:tr w:rsidR="00853611" w:rsidRPr="00C63C35" w14:paraId="299C3447" w14:textId="77777777" w:rsidTr="008678CF">
        <w:tc>
          <w:tcPr>
            <w:tcW w:w="567" w:type="dxa"/>
            <w:shd w:val="clear" w:color="auto" w:fill="auto"/>
          </w:tcPr>
          <w:p w14:paraId="5138C161" w14:textId="77777777" w:rsidR="00853611" w:rsidRPr="008A46F5" w:rsidRDefault="00853611" w:rsidP="008678CF">
            <w:pPr>
              <w:jc w:val="center"/>
            </w:pPr>
          </w:p>
        </w:tc>
        <w:tc>
          <w:tcPr>
            <w:tcW w:w="5528" w:type="dxa"/>
            <w:shd w:val="clear" w:color="auto" w:fill="auto"/>
          </w:tcPr>
          <w:p w14:paraId="095F98F5" w14:textId="77777777" w:rsidR="00853611" w:rsidRPr="008A46F5" w:rsidRDefault="00853611" w:rsidP="008678CF">
            <w:pPr>
              <w:ind w:left="742"/>
            </w:pPr>
            <w:r w:rsidRPr="008A46F5">
              <w:t>kapitálové výdaje</w:t>
            </w:r>
          </w:p>
        </w:tc>
        <w:tc>
          <w:tcPr>
            <w:tcW w:w="2693" w:type="dxa"/>
            <w:shd w:val="clear" w:color="auto" w:fill="auto"/>
          </w:tcPr>
          <w:p w14:paraId="337BA601" w14:textId="77777777" w:rsidR="00853611" w:rsidRPr="007F17A1" w:rsidRDefault="00853611" w:rsidP="008678CF">
            <w:pPr>
              <w:jc w:val="right"/>
            </w:pPr>
            <w:r w:rsidRPr="007F17A1">
              <w:t>5</w:t>
            </w:r>
            <w:r>
              <w:t> 246 791 379</w:t>
            </w:r>
            <w:r w:rsidRPr="007F17A1">
              <w:rPr>
                <w:b/>
                <w:bCs/>
                <w:szCs w:val="24"/>
              </w:rPr>
              <w:t xml:space="preserve"> </w:t>
            </w:r>
            <w:r w:rsidRPr="007F17A1">
              <w:t>Kč</w:t>
            </w:r>
          </w:p>
        </w:tc>
      </w:tr>
    </w:tbl>
    <w:p w14:paraId="688E5F4F" w14:textId="77777777" w:rsidR="00853611" w:rsidRDefault="00853611" w:rsidP="00853611">
      <w:pPr>
        <w:rPr>
          <w:szCs w:val="24"/>
          <w:highlight w:val="yellow"/>
        </w:rPr>
      </w:pPr>
    </w:p>
    <w:p w14:paraId="38EB3989" w14:textId="6463A37E" w:rsidR="00853611" w:rsidRPr="00FC6250" w:rsidRDefault="00853611" w:rsidP="00853611">
      <w:pPr>
        <w:pStyle w:val="Text"/>
        <w:rPr>
          <w:szCs w:val="20"/>
        </w:rPr>
      </w:pPr>
      <w:r w:rsidRPr="00FC6250">
        <w:rPr>
          <w:szCs w:val="20"/>
        </w:rPr>
        <w:t>Porovnání rozpočtu jednotlivých výdajových druhů na rok 2019 k rozpočtu roku 201</w:t>
      </w:r>
      <w:r>
        <w:rPr>
          <w:szCs w:val="20"/>
        </w:rPr>
        <w:t>8</w:t>
      </w:r>
      <w:r w:rsidRPr="00FC6250">
        <w:rPr>
          <w:szCs w:val="20"/>
        </w:rPr>
        <w:t xml:space="preserve"> je vypovídající tehdy, porovnávají-li se výdaje srovnatelné, tzn. pro srovnání rozpočtu běžných výdajů roku 201</w:t>
      </w:r>
      <w:r>
        <w:rPr>
          <w:szCs w:val="20"/>
        </w:rPr>
        <w:t>9</w:t>
      </w:r>
      <w:r w:rsidRPr="00FC6250">
        <w:rPr>
          <w:szCs w:val="20"/>
        </w:rPr>
        <w:t xml:space="preserve"> k roku 201</w:t>
      </w:r>
      <w:r>
        <w:rPr>
          <w:szCs w:val="20"/>
        </w:rPr>
        <w:t>8</w:t>
      </w:r>
      <w:r w:rsidRPr="00FC6250">
        <w:rPr>
          <w:szCs w:val="20"/>
        </w:rPr>
        <w:t xml:space="preserve"> se ze schváleného rozpočtu na rok 201</w:t>
      </w:r>
      <w:r>
        <w:rPr>
          <w:szCs w:val="20"/>
        </w:rPr>
        <w:t>8</w:t>
      </w:r>
      <w:r w:rsidRPr="00FC6250">
        <w:rPr>
          <w:szCs w:val="20"/>
        </w:rPr>
        <w:t xml:space="preserve"> </w:t>
      </w:r>
      <w:r>
        <w:rPr>
          <w:szCs w:val="20"/>
        </w:rPr>
        <w:t xml:space="preserve">i 2019 </w:t>
      </w:r>
      <w:r w:rsidRPr="00FC6250">
        <w:rPr>
          <w:szCs w:val="20"/>
        </w:rPr>
        <w:t xml:space="preserve">vylučuje ekvivalent výdajů krytých příjmy z EU a FM. Potom nárůst celkových běžných výdajů bez EU </w:t>
      </w:r>
      <w:r w:rsidRPr="008D077F">
        <w:rPr>
          <w:szCs w:val="20"/>
        </w:rPr>
        <w:t>činí 25 587 765 708 Kč, tj. zvýšení o 15,64 % a kapitálových výdajů o 1</w:t>
      </w:r>
      <w:r w:rsidR="00324761">
        <w:rPr>
          <w:szCs w:val="20"/>
        </w:rPr>
        <w:t> 104 134 162 Kč, tj. o 20,42 %</w:t>
      </w:r>
      <w:r w:rsidRPr="008D077F">
        <w:rPr>
          <w:szCs w:val="20"/>
        </w:rPr>
        <w:t>.</w:t>
      </w:r>
    </w:p>
    <w:p w14:paraId="330AFC76" w14:textId="77777777" w:rsidR="00853611" w:rsidRDefault="00853611" w:rsidP="00853611">
      <w:pPr>
        <w:pStyle w:val="Text"/>
      </w:pPr>
      <w:r w:rsidRPr="00AF003B">
        <w:rPr>
          <w:b/>
        </w:rPr>
        <w:t>Celkový srovnatelný nárůst</w:t>
      </w:r>
      <w:r>
        <w:t xml:space="preserve"> výdajů kapitoly v r. 2019 činí </w:t>
      </w:r>
      <w:r>
        <w:rPr>
          <w:b/>
        </w:rPr>
        <w:t>26 691 999 870</w:t>
      </w:r>
      <w:r w:rsidRPr="00AF003B">
        <w:rPr>
          <w:b/>
        </w:rPr>
        <w:t xml:space="preserve"> Kč</w:t>
      </w:r>
      <w:r>
        <w:t xml:space="preserve"> a je rozebrán v </w:t>
      </w:r>
      <w:r w:rsidRPr="00DE0E3C">
        <w:t>části A.I.3.2.</w:t>
      </w:r>
    </w:p>
    <w:p w14:paraId="4783FD7A" w14:textId="77777777" w:rsidR="00853611" w:rsidRPr="00D40B41" w:rsidRDefault="00853611" w:rsidP="00853611">
      <w:pPr>
        <w:pStyle w:val="Text"/>
      </w:pPr>
    </w:p>
    <w:p w14:paraId="2DA01D85" w14:textId="47212BB7" w:rsidR="00853611" w:rsidRPr="006330DE" w:rsidRDefault="00853611" w:rsidP="00853611">
      <w:pPr>
        <w:pStyle w:val="Nadpis2"/>
      </w:pPr>
      <w:bookmarkStart w:id="38" w:name="_Toc178579770"/>
      <w:bookmarkStart w:id="39" w:name="_Toc5968820"/>
      <w:r w:rsidRPr="006330DE">
        <w:t xml:space="preserve">Ukazatele regulace </w:t>
      </w:r>
      <w:r w:rsidR="00287A3E">
        <w:t xml:space="preserve">zaměstnanosti </w:t>
      </w:r>
      <w:r w:rsidRPr="006330DE">
        <w:t>a zákonné odvody do fondů</w:t>
      </w:r>
      <w:bookmarkEnd w:id="38"/>
      <w:bookmarkEnd w:id="39"/>
    </w:p>
    <w:p w14:paraId="729935E1" w14:textId="77777777" w:rsidR="00853611" w:rsidRPr="00DD1224" w:rsidRDefault="00853611" w:rsidP="00853611">
      <w:pPr>
        <w:rPr>
          <w:b/>
          <w:color w:val="548DD4"/>
          <w:highlight w:val="yellow"/>
        </w:rPr>
      </w:pPr>
    </w:p>
    <w:p w14:paraId="7AB4EC46" w14:textId="15A10757" w:rsidR="00853611" w:rsidRDefault="00853611" w:rsidP="00911311">
      <w:pPr>
        <w:pStyle w:val="Text"/>
      </w:pPr>
      <w:bookmarkStart w:id="40" w:name="_Toc178579771"/>
      <w:r w:rsidRPr="00374D0C">
        <w:t>Závazné ukazatele rozpočtu stanovují limit počtu zaměstnanců odměňovaných</w:t>
      </w:r>
      <w:r w:rsidRPr="00B76B27">
        <w:t xml:space="preserve"> podle </w:t>
      </w:r>
      <w:r w:rsidR="00287A3E">
        <w:br/>
      </w:r>
      <w:r w:rsidRPr="00B76B27">
        <w:t>§ 109 odst. 3 zákona č. 262/2006 Sb., zákoník prác</w:t>
      </w:r>
      <w:r>
        <w:t xml:space="preserve">e, ve znění pozdějších předpisů </w:t>
      </w:r>
      <w:r w:rsidRPr="00B76B27">
        <w:t>- pro organizace, které odměňují platem</w:t>
      </w:r>
      <w:r>
        <w:t xml:space="preserve"> a státních zaměstnanců dle zákona č. 234/2014, o státní službě, ve znění pozdějších předpisů, </w:t>
      </w:r>
      <w:r w:rsidRPr="00B76B27">
        <w:t>dále limit mzdových prostředků a průměrný měsíční plat.</w:t>
      </w:r>
    </w:p>
    <w:p w14:paraId="09D93D3B" w14:textId="77777777" w:rsidR="00911311" w:rsidRPr="00314008" w:rsidRDefault="00911311" w:rsidP="00911311">
      <w:pPr>
        <w:pStyle w:val="Text"/>
      </w:pPr>
    </w:p>
    <w:p w14:paraId="6E0EC763" w14:textId="69B99F43" w:rsidR="00853611" w:rsidRPr="00314008" w:rsidRDefault="00853611" w:rsidP="00853611">
      <w:pPr>
        <w:ind w:left="567" w:hanging="567"/>
      </w:pPr>
      <w:r w:rsidRPr="00314008">
        <w:t xml:space="preserve">Závazné ukazatele regulace </w:t>
      </w:r>
      <w:r w:rsidR="00287A3E">
        <w:t xml:space="preserve">zaměstnanosti </w:t>
      </w:r>
      <w:r w:rsidRPr="00314008">
        <w:t>se týkají zaměstnanců zaměstnaných v:</w:t>
      </w:r>
    </w:p>
    <w:p w14:paraId="480421B1" w14:textId="77777777" w:rsidR="00853611" w:rsidRPr="00314008" w:rsidRDefault="00853611" w:rsidP="00853611">
      <w:pPr>
        <w:numPr>
          <w:ilvl w:val="0"/>
          <w:numId w:val="3"/>
        </w:numPr>
        <w:tabs>
          <w:tab w:val="clear" w:pos="720"/>
          <w:tab w:val="num" w:pos="851"/>
        </w:tabs>
        <w:ind w:left="851" w:hanging="425"/>
      </w:pPr>
      <w:r>
        <w:t>OSS</w:t>
      </w:r>
      <w:r w:rsidRPr="00314008">
        <w:t xml:space="preserve"> (MŠMT, ČŠI a </w:t>
      </w:r>
      <w:r>
        <w:t>VSC</w:t>
      </w:r>
      <w:r w:rsidRPr="00314008">
        <w:t>)</w:t>
      </w:r>
      <w:r>
        <w:t>,</w:t>
      </w:r>
    </w:p>
    <w:p w14:paraId="618D5F89" w14:textId="77777777" w:rsidR="00853611" w:rsidRPr="00314008" w:rsidRDefault="00853611" w:rsidP="00853611">
      <w:pPr>
        <w:numPr>
          <w:ilvl w:val="0"/>
          <w:numId w:val="4"/>
        </w:numPr>
        <w:tabs>
          <w:tab w:val="clear" w:pos="720"/>
          <w:tab w:val="num" w:pos="851"/>
        </w:tabs>
        <w:ind w:left="851" w:hanging="425"/>
      </w:pPr>
      <w:r>
        <w:t>PO</w:t>
      </w:r>
      <w:r w:rsidRPr="00314008">
        <w:t xml:space="preserve"> </w:t>
      </w:r>
      <w:r>
        <w:t>z</w:t>
      </w:r>
      <w:r w:rsidRPr="00314008">
        <w:t>řizovaných MŠMT (</w:t>
      </w:r>
      <w:r>
        <w:t>PŘO</w:t>
      </w:r>
      <w:r w:rsidRPr="00314008">
        <w:t xml:space="preserve"> a OPŘO)</w:t>
      </w:r>
      <w:r>
        <w:t>,</w:t>
      </w:r>
    </w:p>
    <w:p w14:paraId="0796FB9E" w14:textId="111FB02C" w:rsidR="00853611" w:rsidRDefault="00853611" w:rsidP="00853611">
      <w:pPr>
        <w:numPr>
          <w:ilvl w:val="0"/>
          <w:numId w:val="5"/>
        </w:numPr>
        <w:tabs>
          <w:tab w:val="clear" w:pos="720"/>
          <w:tab w:val="num" w:pos="851"/>
        </w:tabs>
        <w:ind w:left="851" w:hanging="425"/>
      </w:pPr>
      <w:r>
        <w:t>PO</w:t>
      </w:r>
      <w:r w:rsidRPr="00DD09A3">
        <w:t xml:space="preserve"> a školských právnických osob</w:t>
      </w:r>
      <w:r w:rsidR="00287A3E">
        <w:t>ách</w:t>
      </w:r>
      <w:r w:rsidRPr="00DD09A3">
        <w:t xml:space="preserve"> </w:t>
      </w:r>
      <w:r>
        <w:t>zřizovaných kraji, obcemi a svazky obcí</w:t>
      </w:r>
      <w:r>
        <w:rPr>
          <w:rStyle w:val="Znakapoznpodarou"/>
        </w:rPr>
        <w:footnoteReference w:id="6"/>
      </w:r>
      <w:r>
        <w:t>.</w:t>
      </w:r>
    </w:p>
    <w:p w14:paraId="463F7EA4" w14:textId="77777777" w:rsidR="00853611" w:rsidRDefault="00853611" w:rsidP="00853611">
      <w:pPr>
        <w:ind w:left="1"/>
      </w:pPr>
    </w:p>
    <w:p w14:paraId="0CEA33CC" w14:textId="77777777" w:rsidR="00911311" w:rsidRDefault="00911311" w:rsidP="00853611">
      <w:pPr>
        <w:ind w:left="1"/>
      </w:pPr>
    </w:p>
    <w:p w14:paraId="7CE1FC56" w14:textId="07B651DE" w:rsidR="00853611" w:rsidRPr="00BE53F0" w:rsidRDefault="00853611" w:rsidP="00853611">
      <w:pPr>
        <w:tabs>
          <w:tab w:val="num" w:pos="284"/>
        </w:tabs>
        <w:ind w:left="284" w:hanging="284"/>
        <w:rPr>
          <w:u w:val="single"/>
        </w:rPr>
      </w:pPr>
      <w:r w:rsidRPr="00BE53F0">
        <w:rPr>
          <w:u w:val="single"/>
        </w:rPr>
        <w:t xml:space="preserve">Ukazatele regulace </w:t>
      </w:r>
      <w:r w:rsidR="00287A3E">
        <w:rPr>
          <w:u w:val="single"/>
        </w:rPr>
        <w:t xml:space="preserve">zaměstnanosti </w:t>
      </w:r>
      <w:r w:rsidRPr="00BE53F0">
        <w:rPr>
          <w:u w:val="single"/>
        </w:rPr>
        <w:t>pro rok 201</w:t>
      </w:r>
      <w:r>
        <w:rPr>
          <w:u w:val="single"/>
        </w:rPr>
        <w:t>9</w:t>
      </w:r>
      <w:r w:rsidRPr="00BE53F0">
        <w:rPr>
          <w:u w:val="single"/>
        </w:rPr>
        <w:t xml:space="preserve"> jsou stanoveny takto:</w:t>
      </w:r>
    </w:p>
    <w:p w14:paraId="049A65B5" w14:textId="77777777" w:rsidR="00853611" w:rsidRPr="00314008" w:rsidRDefault="00853611" w:rsidP="00853611">
      <w:pPr>
        <w:ind w:left="284"/>
      </w:pPr>
      <w:r w:rsidRPr="00314008">
        <w:lastRenderedPageBreak/>
        <w:t xml:space="preserve"> </w:t>
      </w:r>
    </w:p>
    <w:tbl>
      <w:tblPr>
        <w:tblW w:w="0" w:type="auto"/>
        <w:tblInd w:w="284" w:type="dxa"/>
        <w:tblLook w:val="04A0" w:firstRow="1" w:lastRow="0" w:firstColumn="1" w:lastColumn="0" w:noHBand="0" w:noVBand="1"/>
      </w:tblPr>
      <w:tblGrid>
        <w:gridCol w:w="6910"/>
        <w:gridCol w:w="2092"/>
      </w:tblGrid>
      <w:tr w:rsidR="00853611" w:rsidRPr="00314008" w14:paraId="708EE5A8" w14:textId="77777777" w:rsidTr="008678CF">
        <w:tc>
          <w:tcPr>
            <w:tcW w:w="6912" w:type="dxa"/>
          </w:tcPr>
          <w:p w14:paraId="323C8AF9" w14:textId="77777777" w:rsidR="00853611" w:rsidRDefault="00853611" w:rsidP="008678CF">
            <w:pPr>
              <w:ind w:left="142"/>
            </w:pPr>
            <w:r w:rsidRPr="00314008">
              <w:rPr>
                <w:b/>
              </w:rPr>
              <w:t>limit počtu zaměstnanců</w:t>
            </w:r>
            <w:r>
              <w:rPr>
                <w:b/>
              </w:rPr>
              <w:t xml:space="preserve"> - funkčních míst </w:t>
            </w:r>
            <w:r w:rsidRPr="007606B7">
              <w:t xml:space="preserve">(včetně </w:t>
            </w:r>
            <w:r>
              <w:t>jednorázového navýšení na OP a FM</w:t>
            </w:r>
            <w:r w:rsidRPr="007606B7">
              <w:t>)</w:t>
            </w:r>
          </w:p>
          <w:p w14:paraId="57AC5177" w14:textId="77777777" w:rsidR="00853611" w:rsidRDefault="00853611" w:rsidP="008678CF">
            <w:pPr>
              <w:ind w:left="992" w:hanging="850"/>
            </w:pPr>
            <w:r w:rsidRPr="004B652D">
              <w:t>v tom:</w:t>
            </w:r>
            <w:r>
              <w:t xml:space="preserve"> limit počtu zaměstnanců v pracovním poměru</w:t>
            </w:r>
            <w:r w:rsidRPr="004B652D">
              <w:t xml:space="preserve"> </w:t>
            </w:r>
            <w:r>
              <w:t>(vyjma  zaměstnanců na služebních místech)</w:t>
            </w:r>
            <w:r w:rsidRPr="004B652D">
              <w:t xml:space="preserve"> </w:t>
            </w:r>
          </w:p>
          <w:p w14:paraId="08BE285D" w14:textId="77777777" w:rsidR="00853611" w:rsidRPr="00314008" w:rsidRDefault="00853611" w:rsidP="008678CF">
            <w:pPr>
              <w:ind w:left="142"/>
            </w:pPr>
            <w:r w:rsidRPr="004B652D">
              <w:t xml:space="preserve">  </w:t>
            </w:r>
            <w:r>
              <w:t xml:space="preserve">            limit počtu zaměstnanců</w:t>
            </w:r>
            <w:r w:rsidRPr="004B652D">
              <w:t xml:space="preserve"> </w:t>
            </w:r>
            <w:r>
              <w:t>na služebních místech</w:t>
            </w:r>
            <w:r w:rsidRPr="004B652D">
              <w:t xml:space="preserve">   </w:t>
            </w:r>
            <w:r>
              <w:t xml:space="preserve">                                                        </w:t>
            </w:r>
            <w:r w:rsidRPr="004B652D">
              <w:t xml:space="preserve">                                        </w:t>
            </w:r>
            <w:r>
              <w:t xml:space="preserve">                     </w:t>
            </w:r>
            <w:r w:rsidRPr="004B652D">
              <w:t xml:space="preserve">                                        </w:t>
            </w:r>
          </w:p>
        </w:tc>
        <w:tc>
          <w:tcPr>
            <w:tcW w:w="2092" w:type="dxa"/>
          </w:tcPr>
          <w:p w14:paraId="021F1B01" w14:textId="77777777" w:rsidR="00853611" w:rsidRDefault="00853611" w:rsidP="008678CF">
            <w:pPr>
              <w:jc w:val="right"/>
              <w:rPr>
                <w:b/>
              </w:rPr>
            </w:pPr>
            <w:r>
              <w:rPr>
                <w:b/>
              </w:rPr>
              <w:t>249 588,28</w:t>
            </w:r>
          </w:p>
          <w:p w14:paraId="7E5BB712" w14:textId="77777777" w:rsidR="00853611" w:rsidRDefault="00853611" w:rsidP="008678CF">
            <w:pPr>
              <w:jc w:val="right"/>
            </w:pPr>
          </w:p>
          <w:p w14:paraId="1F8B3936" w14:textId="77777777" w:rsidR="00853611" w:rsidRDefault="00853611" w:rsidP="008678CF">
            <w:pPr>
              <w:jc w:val="right"/>
            </w:pPr>
            <w:r>
              <w:t>248 210,28</w:t>
            </w:r>
          </w:p>
          <w:p w14:paraId="3B1E86FD" w14:textId="77777777" w:rsidR="00853611" w:rsidRDefault="00853611" w:rsidP="008678CF">
            <w:pPr>
              <w:jc w:val="right"/>
            </w:pPr>
          </w:p>
          <w:p w14:paraId="1D2D5E7F" w14:textId="77777777" w:rsidR="00853611" w:rsidRPr="00314008" w:rsidRDefault="00853611" w:rsidP="008678CF">
            <w:pPr>
              <w:jc w:val="right"/>
            </w:pPr>
            <w:r>
              <w:t>1 378,00</w:t>
            </w:r>
          </w:p>
        </w:tc>
      </w:tr>
      <w:tr w:rsidR="00853611" w:rsidRPr="00314008" w14:paraId="2BBA369E" w14:textId="77777777" w:rsidTr="008678CF">
        <w:tc>
          <w:tcPr>
            <w:tcW w:w="6912" w:type="dxa"/>
          </w:tcPr>
          <w:p w14:paraId="350D4EB9" w14:textId="77777777" w:rsidR="00853611" w:rsidRPr="00314008" w:rsidRDefault="00853611" w:rsidP="008678CF">
            <w:pPr>
              <w:ind w:left="142"/>
            </w:pPr>
            <w:r w:rsidRPr="00314008">
              <w:rPr>
                <w:b/>
              </w:rPr>
              <w:t>mzdové prostředky celkem</w:t>
            </w:r>
            <w:r>
              <w:rPr>
                <w:b/>
              </w:rPr>
              <w:t xml:space="preserve"> </w:t>
            </w:r>
            <w:r w:rsidRPr="007606B7">
              <w:t>(včetně EU a FM)</w:t>
            </w:r>
          </w:p>
        </w:tc>
        <w:tc>
          <w:tcPr>
            <w:tcW w:w="2092" w:type="dxa"/>
          </w:tcPr>
          <w:p w14:paraId="5A91F03D" w14:textId="77777777" w:rsidR="00853611" w:rsidRPr="00314008" w:rsidRDefault="00853611" w:rsidP="008678CF">
            <w:pPr>
              <w:ind w:left="-250"/>
              <w:jc w:val="right"/>
            </w:pPr>
            <w:r>
              <w:rPr>
                <w:b/>
              </w:rPr>
              <w:t>99 451 377 840 Kč</w:t>
            </w:r>
          </w:p>
        </w:tc>
      </w:tr>
      <w:tr w:rsidR="00853611" w:rsidRPr="00314008" w14:paraId="0A0828EC" w14:textId="77777777" w:rsidTr="008678CF">
        <w:tc>
          <w:tcPr>
            <w:tcW w:w="6912" w:type="dxa"/>
          </w:tcPr>
          <w:p w14:paraId="21CE18CD" w14:textId="77777777" w:rsidR="00853611" w:rsidRPr="00314008" w:rsidRDefault="00853611" w:rsidP="008678CF">
            <w:pPr>
              <w:ind w:left="142"/>
            </w:pPr>
            <w:r w:rsidRPr="00314008">
              <w:t xml:space="preserve">v tom: prostředky na platy                                             </w:t>
            </w:r>
          </w:p>
        </w:tc>
        <w:tc>
          <w:tcPr>
            <w:tcW w:w="2092" w:type="dxa"/>
          </w:tcPr>
          <w:p w14:paraId="7A9A3C4C" w14:textId="77777777" w:rsidR="00853611" w:rsidRPr="00314008" w:rsidRDefault="00853611" w:rsidP="0081499F">
            <w:pPr>
              <w:tabs>
                <w:tab w:val="left" w:pos="7655"/>
              </w:tabs>
            </w:pPr>
            <w:r>
              <w:t>98 360 248 961 Kč</w:t>
            </w:r>
          </w:p>
        </w:tc>
      </w:tr>
      <w:tr w:rsidR="00853611" w:rsidRPr="00314008" w14:paraId="781288A8" w14:textId="77777777" w:rsidTr="008678CF">
        <w:tc>
          <w:tcPr>
            <w:tcW w:w="6912" w:type="dxa"/>
          </w:tcPr>
          <w:p w14:paraId="76169C34" w14:textId="786F68DE" w:rsidR="00853611" w:rsidRDefault="00853611" w:rsidP="008678CF">
            <w:pPr>
              <w:ind w:left="1701" w:hanging="1559"/>
            </w:pPr>
            <w:r>
              <w:t xml:space="preserve">        </w:t>
            </w:r>
            <w:r w:rsidRPr="00A11AC3">
              <w:t xml:space="preserve">v tom: </w:t>
            </w:r>
            <w:r>
              <w:t>platy</w:t>
            </w:r>
            <w:r w:rsidRPr="00A11AC3">
              <w:t xml:space="preserve"> zaměstnanců v pracovním poměru</w:t>
            </w:r>
            <w:r>
              <w:t xml:space="preserve"> (vyjma zaměstnanců na služebních místech)</w:t>
            </w:r>
            <w:r w:rsidRPr="004B652D">
              <w:t xml:space="preserve"> </w:t>
            </w:r>
          </w:p>
          <w:p w14:paraId="5C73791D" w14:textId="77777777" w:rsidR="00853611" w:rsidRPr="00314008" w:rsidRDefault="00853611" w:rsidP="008678CF">
            <w:pPr>
              <w:ind w:left="1559" w:hanging="1417"/>
            </w:pPr>
            <w:r w:rsidRPr="00A11AC3">
              <w:t xml:space="preserve">          </w:t>
            </w:r>
            <w:r>
              <w:t xml:space="preserve">              platy</w:t>
            </w:r>
            <w:r w:rsidRPr="00A11AC3">
              <w:t xml:space="preserve"> zaměstnanců </w:t>
            </w:r>
            <w:r>
              <w:t>na služebních místech</w:t>
            </w:r>
            <w:r w:rsidRPr="00A11AC3">
              <w:t xml:space="preserve">                                                                                                                                                               </w:t>
            </w:r>
          </w:p>
        </w:tc>
        <w:tc>
          <w:tcPr>
            <w:tcW w:w="2092" w:type="dxa"/>
          </w:tcPr>
          <w:p w14:paraId="54FA420C" w14:textId="77777777" w:rsidR="00853611" w:rsidRPr="00705D75" w:rsidRDefault="00853611" w:rsidP="008678CF">
            <w:pPr>
              <w:tabs>
                <w:tab w:val="left" w:pos="7655"/>
              </w:tabs>
              <w:ind w:left="33"/>
            </w:pPr>
            <w:r>
              <w:rPr>
                <w:bCs/>
              </w:rPr>
              <w:t xml:space="preserve">97 624 573 055 </w:t>
            </w:r>
            <w:r w:rsidRPr="00705D75">
              <w:t>Kč</w:t>
            </w:r>
          </w:p>
          <w:p w14:paraId="1FC4B182" w14:textId="77777777" w:rsidR="00853611" w:rsidRDefault="00853611" w:rsidP="008678CF">
            <w:pPr>
              <w:tabs>
                <w:tab w:val="left" w:pos="7655"/>
              </w:tabs>
              <w:ind w:left="33"/>
              <w:jc w:val="right"/>
            </w:pPr>
          </w:p>
          <w:p w14:paraId="57DA9853" w14:textId="77777777" w:rsidR="00853611" w:rsidRDefault="00853611" w:rsidP="00911311">
            <w:pPr>
              <w:tabs>
                <w:tab w:val="left" w:pos="7655"/>
              </w:tabs>
              <w:ind w:left="33"/>
              <w:jc w:val="right"/>
            </w:pPr>
            <w:r>
              <w:t>735 675 906 K</w:t>
            </w:r>
            <w:r w:rsidR="00911311">
              <w:t>č</w:t>
            </w:r>
          </w:p>
        </w:tc>
      </w:tr>
      <w:tr w:rsidR="00853611" w:rsidRPr="00314008" w14:paraId="55FCF78D" w14:textId="77777777" w:rsidTr="008678CF">
        <w:tc>
          <w:tcPr>
            <w:tcW w:w="6912" w:type="dxa"/>
          </w:tcPr>
          <w:p w14:paraId="7A11936F" w14:textId="77777777" w:rsidR="00853611" w:rsidRPr="00314008" w:rsidRDefault="00853611" w:rsidP="008678CF">
            <w:r w:rsidRPr="00314008">
              <w:t xml:space="preserve">              prostředky na </w:t>
            </w:r>
            <w:r>
              <w:t>OPPP/OON</w:t>
            </w:r>
          </w:p>
        </w:tc>
        <w:tc>
          <w:tcPr>
            <w:tcW w:w="2092" w:type="dxa"/>
          </w:tcPr>
          <w:p w14:paraId="0F51F3A7" w14:textId="77777777" w:rsidR="00853611" w:rsidRPr="00314008" w:rsidRDefault="00853611" w:rsidP="008678CF">
            <w:pPr>
              <w:jc w:val="right"/>
            </w:pPr>
            <w:r>
              <w:t>1 091 128 879</w:t>
            </w:r>
            <w:r w:rsidRPr="00314008">
              <w:t xml:space="preserve"> Kč                                                         </w:t>
            </w:r>
          </w:p>
        </w:tc>
      </w:tr>
      <w:tr w:rsidR="00853611" w:rsidRPr="00314008" w14:paraId="345A0F5F" w14:textId="77777777" w:rsidTr="008678CF">
        <w:tc>
          <w:tcPr>
            <w:tcW w:w="6912" w:type="dxa"/>
          </w:tcPr>
          <w:p w14:paraId="64B1CAAA" w14:textId="77777777" w:rsidR="00853611" w:rsidRPr="00314008" w:rsidRDefault="00853611" w:rsidP="008678CF">
            <w:pPr>
              <w:ind w:left="142"/>
            </w:pPr>
            <w:r w:rsidRPr="00314008">
              <w:rPr>
                <w:b/>
              </w:rPr>
              <w:t xml:space="preserve">průměrný měsíční plat                                                                        </w:t>
            </w:r>
          </w:p>
        </w:tc>
        <w:tc>
          <w:tcPr>
            <w:tcW w:w="2092" w:type="dxa"/>
          </w:tcPr>
          <w:p w14:paraId="13B8D1EC" w14:textId="77777777" w:rsidR="00853611" w:rsidRPr="00314008" w:rsidRDefault="00853611" w:rsidP="008678CF">
            <w:pPr>
              <w:ind w:left="567" w:hanging="141"/>
              <w:jc w:val="right"/>
            </w:pPr>
            <w:r>
              <w:rPr>
                <w:b/>
              </w:rPr>
              <w:t>32 841 K</w:t>
            </w:r>
            <w:r w:rsidRPr="00314008">
              <w:rPr>
                <w:b/>
              </w:rPr>
              <w:t xml:space="preserve">č    </w:t>
            </w:r>
          </w:p>
        </w:tc>
      </w:tr>
      <w:tr w:rsidR="00853611" w:rsidRPr="00314008" w14:paraId="2C4F213D" w14:textId="77777777" w:rsidTr="008678CF">
        <w:tc>
          <w:tcPr>
            <w:tcW w:w="6912" w:type="dxa"/>
          </w:tcPr>
          <w:p w14:paraId="7E0C71AC" w14:textId="77777777" w:rsidR="00853611" w:rsidRPr="00374D0C" w:rsidRDefault="00853611" w:rsidP="008678CF">
            <w:pPr>
              <w:ind w:left="992" w:hanging="850"/>
            </w:pPr>
            <w:r w:rsidRPr="00982F0B">
              <w:t>v tom: průměrný měsíční plat zaměstnanců v pracovním poměru</w:t>
            </w:r>
            <w:r>
              <w:t xml:space="preserve"> (vyjma zaměstnanců na služebních místech)</w:t>
            </w:r>
            <w:r w:rsidRPr="004B652D">
              <w:t xml:space="preserve"> </w:t>
            </w:r>
          </w:p>
        </w:tc>
        <w:tc>
          <w:tcPr>
            <w:tcW w:w="2092" w:type="dxa"/>
          </w:tcPr>
          <w:p w14:paraId="3E71BC3C" w14:textId="77777777" w:rsidR="00853611" w:rsidRDefault="00853611" w:rsidP="008678CF">
            <w:pPr>
              <w:ind w:left="567" w:hanging="141"/>
              <w:jc w:val="right"/>
              <w:rPr>
                <w:b/>
              </w:rPr>
            </w:pPr>
            <w:r>
              <w:t>32 776 Kč</w:t>
            </w:r>
          </w:p>
        </w:tc>
      </w:tr>
      <w:tr w:rsidR="00853611" w:rsidRPr="00C57B11" w14:paraId="215F3F5F" w14:textId="77777777" w:rsidTr="008678CF">
        <w:tc>
          <w:tcPr>
            <w:tcW w:w="6912" w:type="dxa"/>
          </w:tcPr>
          <w:p w14:paraId="72BAFA06" w14:textId="77777777" w:rsidR="00853611" w:rsidRPr="00C57B11" w:rsidRDefault="00853611" w:rsidP="008678CF">
            <w:pPr>
              <w:ind w:left="992"/>
            </w:pPr>
            <w:r w:rsidRPr="00C57B11">
              <w:t xml:space="preserve">průměrný měsíční plat zaměstnanců na služebních místech                                                                                                                                                               </w:t>
            </w:r>
          </w:p>
        </w:tc>
        <w:tc>
          <w:tcPr>
            <w:tcW w:w="2092" w:type="dxa"/>
          </w:tcPr>
          <w:p w14:paraId="0A16A25B" w14:textId="77777777" w:rsidR="00853611" w:rsidRPr="00C57B11" w:rsidRDefault="00853611" w:rsidP="008678CF">
            <w:pPr>
              <w:ind w:left="567" w:hanging="141"/>
              <w:jc w:val="right"/>
            </w:pPr>
            <w:r w:rsidRPr="00435D18">
              <w:t>44 489 Kč</w:t>
            </w:r>
          </w:p>
        </w:tc>
      </w:tr>
    </w:tbl>
    <w:p w14:paraId="5E0EEFD5" w14:textId="77777777" w:rsidR="00853611" w:rsidRPr="00C57B11" w:rsidRDefault="00853611" w:rsidP="0031482F">
      <w:pPr>
        <w:pStyle w:val="KS4"/>
      </w:pPr>
    </w:p>
    <w:p w14:paraId="7E13B3CA" w14:textId="77777777" w:rsidR="00853611" w:rsidRPr="00C57B11" w:rsidRDefault="00853611" w:rsidP="00B26388">
      <w:pPr>
        <w:pStyle w:val="Nadpis3"/>
      </w:pPr>
      <w:bookmarkStart w:id="41" w:name="_Toc526845190"/>
      <w:bookmarkStart w:id="42" w:name="_Toc5968821"/>
      <w:r w:rsidRPr="00C57B11">
        <w:t>Limit počtu zaměstnanců</w:t>
      </w:r>
      <w:bookmarkEnd w:id="40"/>
      <w:bookmarkEnd w:id="41"/>
      <w:bookmarkEnd w:id="42"/>
    </w:p>
    <w:p w14:paraId="54E53E6C" w14:textId="77777777" w:rsidR="00853611" w:rsidRPr="00C57B11" w:rsidRDefault="00853611" w:rsidP="00853611">
      <w:pPr>
        <w:rPr>
          <w:b/>
          <w:color w:val="548DD4"/>
        </w:rPr>
      </w:pPr>
    </w:p>
    <w:p w14:paraId="7998A0C1" w14:textId="77777777" w:rsidR="00853611" w:rsidRPr="00C57B11" w:rsidRDefault="00853611" w:rsidP="00853611">
      <w:pPr>
        <w:pStyle w:val="Text"/>
      </w:pPr>
      <w:bookmarkStart w:id="43" w:name="_Toc211387753"/>
      <w:bookmarkStart w:id="44" w:name="_Toc178579773"/>
      <w:r w:rsidRPr="00C57B11">
        <w:rPr>
          <w:b/>
        </w:rPr>
        <w:t>Celkový limit</w:t>
      </w:r>
      <w:r w:rsidRPr="00C57B11">
        <w:t xml:space="preserve"> počtu zaměstnanců pro rok 201</w:t>
      </w:r>
      <w:r>
        <w:t>9</w:t>
      </w:r>
      <w:r w:rsidRPr="00C57B11">
        <w:t xml:space="preserve"> (</w:t>
      </w:r>
      <w:r w:rsidRPr="00C57B11">
        <w:rPr>
          <w:b/>
        </w:rPr>
        <w:t>včetně</w:t>
      </w:r>
      <w:r w:rsidRPr="00C57B11">
        <w:t xml:space="preserve"> jednorázového navýšení limitu počtu zaměstnanců </w:t>
      </w:r>
      <w:r w:rsidRPr="00C57B11">
        <w:rPr>
          <w:b/>
        </w:rPr>
        <w:t>na projekty financované z prostředků</w:t>
      </w:r>
      <w:r w:rsidRPr="00C57B11">
        <w:t xml:space="preserve"> </w:t>
      </w:r>
      <w:r w:rsidRPr="00C57B11">
        <w:rPr>
          <w:b/>
        </w:rPr>
        <w:t>EU a FM</w:t>
      </w:r>
      <w:r w:rsidRPr="00C57B11">
        <w:t xml:space="preserve">) byl schválen ve výši </w:t>
      </w:r>
      <w:r>
        <w:rPr>
          <w:b/>
        </w:rPr>
        <w:t>249 588,28</w:t>
      </w:r>
      <w:r w:rsidRPr="00C57B11">
        <w:rPr>
          <w:b/>
        </w:rPr>
        <w:t xml:space="preserve"> míst, </w:t>
      </w:r>
      <w:r w:rsidRPr="00C57B11">
        <w:t>tj. oproti srovnatelnému limitu roku 201</w:t>
      </w:r>
      <w:r>
        <w:t>8</w:t>
      </w:r>
      <w:r w:rsidRPr="00C57B11">
        <w:t xml:space="preserve"> </w:t>
      </w:r>
      <w:r>
        <w:rPr>
          <w:b/>
        </w:rPr>
        <w:t>o 15 986,37</w:t>
      </w:r>
      <w:r w:rsidRPr="00C57B11">
        <w:rPr>
          <w:b/>
        </w:rPr>
        <w:t xml:space="preserve"> míst více</w:t>
      </w:r>
      <w:r w:rsidRPr="00C57B11">
        <w:t xml:space="preserve">. Limit počtu zaměstnanců v pracovním poměru (vyjma zaměstnanců na služebních místech) činí </w:t>
      </w:r>
      <w:r>
        <w:t>248 210,28</w:t>
      </w:r>
      <w:r w:rsidRPr="00C57B11">
        <w:t xml:space="preserve"> a limit počtu zaměstnanců na služebních místech činí </w:t>
      </w:r>
      <w:r>
        <w:t>1 378,00</w:t>
      </w:r>
      <w:r w:rsidRPr="00C57B11">
        <w:t>.</w:t>
      </w:r>
    </w:p>
    <w:p w14:paraId="6F5BFF0D" w14:textId="77777777" w:rsidR="00853611" w:rsidRDefault="00853611" w:rsidP="00853611">
      <w:pPr>
        <w:pStyle w:val="Text"/>
      </w:pPr>
      <w:r w:rsidRPr="00C57B11">
        <w:t>V tomto limitu počtu zaměstnanců na rok 201</w:t>
      </w:r>
      <w:r>
        <w:t>9</w:t>
      </w:r>
      <w:r w:rsidRPr="00C57B11">
        <w:t xml:space="preserve"> se proti srovnatelné základně roku 201</w:t>
      </w:r>
      <w:r>
        <w:t>8</w:t>
      </w:r>
      <w:r w:rsidRPr="00C57B11">
        <w:t xml:space="preserve"> promítá:</w:t>
      </w:r>
    </w:p>
    <w:p w14:paraId="37548824" w14:textId="77777777" w:rsidR="00853611" w:rsidRPr="000F3CAE" w:rsidRDefault="00853611" w:rsidP="00853611">
      <w:pPr>
        <w:tabs>
          <w:tab w:val="left" w:pos="0"/>
        </w:tabs>
        <w:ind w:firstLine="426"/>
        <w:rPr>
          <w:b/>
        </w:rPr>
      </w:pPr>
      <w:r w:rsidRPr="000F3CAE">
        <w:rPr>
          <w:b/>
        </w:rPr>
        <w:t>snížení</w:t>
      </w:r>
    </w:p>
    <w:p w14:paraId="40F78EA4" w14:textId="77777777" w:rsidR="00853611" w:rsidRPr="00C57B11" w:rsidRDefault="00853611" w:rsidP="00853611">
      <w:pPr>
        <w:tabs>
          <w:tab w:val="left" w:pos="0"/>
        </w:tabs>
        <w:ind w:firstLine="426"/>
      </w:pPr>
    </w:p>
    <w:p w14:paraId="742800F1" w14:textId="77777777" w:rsidR="00853611" w:rsidRDefault="00853611" w:rsidP="0070585C">
      <w:pPr>
        <w:numPr>
          <w:ilvl w:val="0"/>
          <w:numId w:val="13"/>
        </w:numPr>
        <w:tabs>
          <w:tab w:val="left" w:pos="993"/>
        </w:tabs>
        <w:ind w:hanging="425"/>
        <w:rPr>
          <w:szCs w:val="24"/>
        </w:rPr>
      </w:pPr>
      <w:r w:rsidRPr="00C57B11">
        <w:rPr>
          <w:szCs w:val="24"/>
        </w:rPr>
        <w:t xml:space="preserve">o </w:t>
      </w:r>
      <w:r>
        <w:rPr>
          <w:b/>
          <w:szCs w:val="24"/>
        </w:rPr>
        <w:t>90,63</w:t>
      </w:r>
      <w:r w:rsidRPr="00C57B11">
        <w:rPr>
          <w:b/>
          <w:szCs w:val="24"/>
        </w:rPr>
        <w:t xml:space="preserve"> míst</w:t>
      </w:r>
      <w:r w:rsidRPr="00C57B11">
        <w:rPr>
          <w:szCs w:val="24"/>
        </w:rPr>
        <w:t xml:space="preserve"> u jednorázového navýšení limitu počtu zaměstnanců na projekty financované z prostředků EU a FM (v r. 201</w:t>
      </w:r>
      <w:r>
        <w:rPr>
          <w:szCs w:val="24"/>
        </w:rPr>
        <w:t>8</w:t>
      </w:r>
      <w:r w:rsidRPr="00C57B11">
        <w:rPr>
          <w:szCs w:val="24"/>
        </w:rPr>
        <w:t xml:space="preserve"> činilo jednorázové navýšení </w:t>
      </w:r>
      <w:r>
        <w:rPr>
          <w:szCs w:val="24"/>
        </w:rPr>
        <w:t>812,96</w:t>
      </w:r>
      <w:r w:rsidRPr="00C57B11">
        <w:rPr>
          <w:szCs w:val="24"/>
        </w:rPr>
        <w:t xml:space="preserve"> míst, pro rok 201</w:t>
      </w:r>
      <w:r>
        <w:rPr>
          <w:szCs w:val="24"/>
        </w:rPr>
        <w:t>9</w:t>
      </w:r>
      <w:r w:rsidRPr="00C57B11">
        <w:rPr>
          <w:szCs w:val="24"/>
        </w:rPr>
        <w:t xml:space="preserve"> bylo stanoveno na </w:t>
      </w:r>
      <w:r>
        <w:rPr>
          <w:szCs w:val="24"/>
        </w:rPr>
        <w:t>722,33</w:t>
      </w:r>
      <w:r w:rsidRPr="00C57B11">
        <w:rPr>
          <w:szCs w:val="24"/>
        </w:rPr>
        <w:t xml:space="preserve"> míst),</w:t>
      </w:r>
    </w:p>
    <w:p w14:paraId="3DB915D0" w14:textId="2C7C1799" w:rsidR="00853611" w:rsidRDefault="00853611" w:rsidP="0070585C">
      <w:pPr>
        <w:numPr>
          <w:ilvl w:val="0"/>
          <w:numId w:val="13"/>
        </w:numPr>
        <w:tabs>
          <w:tab w:val="left" w:pos="993"/>
        </w:tabs>
        <w:ind w:hanging="425"/>
        <w:rPr>
          <w:szCs w:val="24"/>
        </w:rPr>
      </w:pPr>
      <w:r w:rsidRPr="000F3CAE">
        <w:rPr>
          <w:b/>
          <w:szCs w:val="24"/>
        </w:rPr>
        <w:t>o 43 míst</w:t>
      </w:r>
      <w:r>
        <w:rPr>
          <w:szCs w:val="24"/>
        </w:rPr>
        <w:t xml:space="preserve"> z důvodu krácení </w:t>
      </w:r>
      <w:r w:rsidR="003364A3">
        <w:rPr>
          <w:szCs w:val="24"/>
        </w:rPr>
        <w:t>za neplnění limitu počtu zaměstnanců za 1. čtvrtletí 2018</w:t>
      </w:r>
      <w:r w:rsidR="00AA0F36">
        <w:rPr>
          <w:szCs w:val="24"/>
        </w:rPr>
        <w:t>;</w:t>
      </w:r>
    </w:p>
    <w:p w14:paraId="00869493" w14:textId="77777777" w:rsidR="00853611" w:rsidRDefault="00853611" w:rsidP="00853611">
      <w:pPr>
        <w:tabs>
          <w:tab w:val="left" w:pos="993"/>
        </w:tabs>
        <w:rPr>
          <w:szCs w:val="24"/>
        </w:rPr>
      </w:pPr>
    </w:p>
    <w:p w14:paraId="45FE6DDF" w14:textId="77777777" w:rsidR="00853611" w:rsidRPr="00C57B11" w:rsidRDefault="00853611" w:rsidP="00853611">
      <w:pPr>
        <w:ind w:left="426"/>
        <w:rPr>
          <w:b/>
        </w:rPr>
      </w:pPr>
      <w:r w:rsidRPr="00C57B11">
        <w:rPr>
          <w:b/>
        </w:rPr>
        <w:t>zvýšení</w:t>
      </w:r>
    </w:p>
    <w:p w14:paraId="4CC9CCC5" w14:textId="77777777" w:rsidR="00853611" w:rsidRPr="00C57B11" w:rsidRDefault="00853611" w:rsidP="00853611">
      <w:pPr>
        <w:tabs>
          <w:tab w:val="left" w:pos="993"/>
        </w:tabs>
        <w:rPr>
          <w:szCs w:val="24"/>
        </w:rPr>
      </w:pPr>
    </w:p>
    <w:p w14:paraId="74C16ED1" w14:textId="2FA20CFE" w:rsidR="00853611" w:rsidRPr="00C57B11" w:rsidRDefault="00853611" w:rsidP="0070585C">
      <w:pPr>
        <w:numPr>
          <w:ilvl w:val="0"/>
          <w:numId w:val="13"/>
        </w:numPr>
        <w:tabs>
          <w:tab w:val="left" w:pos="993"/>
        </w:tabs>
        <w:ind w:hanging="425"/>
        <w:rPr>
          <w:szCs w:val="24"/>
        </w:rPr>
      </w:pPr>
      <w:r w:rsidRPr="00C57B11">
        <w:rPr>
          <w:szCs w:val="24"/>
        </w:rPr>
        <w:t xml:space="preserve">u RgŠ ÚSC </w:t>
      </w:r>
      <w:r w:rsidRPr="00C57B11">
        <w:rPr>
          <w:b/>
          <w:szCs w:val="24"/>
        </w:rPr>
        <w:t xml:space="preserve">o </w:t>
      </w:r>
      <w:r>
        <w:rPr>
          <w:b/>
          <w:szCs w:val="24"/>
        </w:rPr>
        <w:t>4 219</w:t>
      </w:r>
      <w:r w:rsidRPr="00C57B11">
        <w:rPr>
          <w:b/>
          <w:szCs w:val="24"/>
        </w:rPr>
        <w:t xml:space="preserve"> míst</w:t>
      </w:r>
      <w:r w:rsidRPr="00C57B11">
        <w:rPr>
          <w:szCs w:val="24"/>
        </w:rPr>
        <w:t xml:space="preserve"> </w:t>
      </w:r>
      <w:r>
        <w:rPr>
          <w:szCs w:val="24"/>
        </w:rPr>
        <w:t>z důvodu rozšíření doby provozu MŠ</w:t>
      </w:r>
      <w:r w:rsidR="00AA0F36">
        <w:rPr>
          <w:szCs w:val="24"/>
        </w:rPr>
        <w:t>,</w:t>
      </w:r>
    </w:p>
    <w:p w14:paraId="3BC52C2E" w14:textId="77777777" w:rsidR="00853611" w:rsidRPr="00C57B11" w:rsidRDefault="00853611" w:rsidP="0070585C">
      <w:pPr>
        <w:numPr>
          <w:ilvl w:val="0"/>
          <w:numId w:val="13"/>
        </w:numPr>
        <w:tabs>
          <w:tab w:val="left" w:pos="993"/>
        </w:tabs>
        <w:ind w:hanging="425"/>
        <w:rPr>
          <w:szCs w:val="24"/>
        </w:rPr>
      </w:pPr>
      <w:r w:rsidRPr="00C57B11">
        <w:rPr>
          <w:szCs w:val="24"/>
        </w:rPr>
        <w:t xml:space="preserve">u RgŠ ÚSC </w:t>
      </w:r>
      <w:r w:rsidRPr="00C57B11">
        <w:rPr>
          <w:b/>
          <w:szCs w:val="24"/>
        </w:rPr>
        <w:t xml:space="preserve">o </w:t>
      </w:r>
      <w:r>
        <w:rPr>
          <w:b/>
          <w:szCs w:val="24"/>
        </w:rPr>
        <w:t>2 945</w:t>
      </w:r>
      <w:r w:rsidRPr="00C57B11">
        <w:rPr>
          <w:b/>
          <w:szCs w:val="24"/>
        </w:rPr>
        <w:t xml:space="preserve"> míst</w:t>
      </w:r>
      <w:r w:rsidRPr="00C57B11">
        <w:rPr>
          <w:szCs w:val="24"/>
        </w:rPr>
        <w:t xml:space="preserve"> ve vazbě na nárůst výkonů,</w:t>
      </w:r>
    </w:p>
    <w:p w14:paraId="163CBC0D" w14:textId="77777777" w:rsidR="00853611" w:rsidRDefault="00853611" w:rsidP="0070585C">
      <w:pPr>
        <w:numPr>
          <w:ilvl w:val="0"/>
          <w:numId w:val="13"/>
        </w:numPr>
        <w:tabs>
          <w:tab w:val="left" w:pos="993"/>
        </w:tabs>
        <w:ind w:hanging="425"/>
        <w:rPr>
          <w:szCs w:val="24"/>
        </w:rPr>
      </w:pPr>
      <w:r w:rsidRPr="00C57B11">
        <w:rPr>
          <w:szCs w:val="24"/>
        </w:rPr>
        <w:t xml:space="preserve">u RgŠ ÚSC </w:t>
      </w:r>
      <w:r w:rsidRPr="00C57B11">
        <w:rPr>
          <w:b/>
          <w:szCs w:val="24"/>
        </w:rPr>
        <w:t xml:space="preserve">o </w:t>
      </w:r>
      <w:r>
        <w:rPr>
          <w:b/>
          <w:szCs w:val="24"/>
        </w:rPr>
        <w:t>5 538</w:t>
      </w:r>
      <w:r w:rsidRPr="00C57B11">
        <w:rPr>
          <w:b/>
          <w:szCs w:val="24"/>
        </w:rPr>
        <w:t xml:space="preserve"> míst </w:t>
      </w:r>
      <w:r w:rsidRPr="00C57B11">
        <w:rPr>
          <w:szCs w:val="24"/>
        </w:rPr>
        <w:t xml:space="preserve">na oblast implementace </w:t>
      </w:r>
      <w:r>
        <w:rPr>
          <w:szCs w:val="24"/>
        </w:rPr>
        <w:t>podpory speciálních vzdělávacích potřeb</w:t>
      </w:r>
      <w:r w:rsidRPr="00C57B11">
        <w:rPr>
          <w:szCs w:val="24"/>
        </w:rPr>
        <w:t>,</w:t>
      </w:r>
    </w:p>
    <w:p w14:paraId="3307024F" w14:textId="2EFEADCB" w:rsidR="00853611" w:rsidRDefault="00853611" w:rsidP="0070585C">
      <w:pPr>
        <w:numPr>
          <w:ilvl w:val="0"/>
          <w:numId w:val="13"/>
        </w:numPr>
        <w:tabs>
          <w:tab w:val="left" w:pos="993"/>
        </w:tabs>
        <w:ind w:hanging="425"/>
        <w:rPr>
          <w:szCs w:val="24"/>
        </w:rPr>
      </w:pPr>
      <w:r w:rsidRPr="00C57B11">
        <w:rPr>
          <w:szCs w:val="24"/>
        </w:rPr>
        <w:t xml:space="preserve">u RgŠ ÚSC </w:t>
      </w:r>
      <w:r w:rsidRPr="00C57B11">
        <w:rPr>
          <w:b/>
          <w:szCs w:val="24"/>
        </w:rPr>
        <w:t xml:space="preserve">o </w:t>
      </w:r>
      <w:r>
        <w:rPr>
          <w:b/>
          <w:szCs w:val="24"/>
        </w:rPr>
        <w:t>1 400</w:t>
      </w:r>
      <w:r w:rsidRPr="00C57B11">
        <w:rPr>
          <w:b/>
          <w:szCs w:val="24"/>
        </w:rPr>
        <w:t xml:space="preserve"> míst</w:t>
      </w:r>
      <w:r>
        <w:rPr>
          <w:b/>
          <w:szCs w:val="24"/>
        </w:rPr>
        <w:t xml:space="preserve"> </w:t>
      </w:r>
      <w:r w:rsidRPr="00F527E6">
        <w:rPr>
          <w:szCs w:val="24"/>
        </w:rPr>
        <w:t>v souvislosti s reformou RgŠ (</w:t>
      </w:r>
      <w:r>
        <w:rPr>
          <w:szCs w:val="24"/>
        </w:rPr>
        <w:t>zvýšení počtu učitelů od 1.</w:t>
      </w:r>
      <w:r w:rsidR="00AA0F36">
        <w:rPr>
          <w:szCs w:val="24"/>
        </w:rPr>
        <w:t> </w:t>
      </w:r>
      <w:r>
        <w:rPr>
          <w:szCs w:val="24"/>
        </w:rPr>
        <w:t>9. 2019)</w:t>
      </w:r>
      <w:r w:rsidR="00AA0F36">
        <w:rPr>
          <w:szCs w:val="24"/>
        </w:rPr>
        <w:t>,</w:t>
      </w:r>
    </w:p>
    <w:p w14:paraId="2EF06465" w14:textId="077502F2" w:rsidR="00853611" w:rsidRPr="00F527E6" w:rsidRDefault="00853611" w:rsidP="0070585C">
      <w:pPr>
        <w:numPr>
          <w:ilvl w:val="0"/>
          <w:numId w:val="13"/>
        </w:numPr>
        <w:tabs>
          <w:tab w:val="left" w:pos="993"/>
        </w:tabs>
        <w:ind w:hanging="425"/>
        <w:rPr>
          <w:szCs w:val="24"/>
        </w:rPr>
      </w:pPr>
      <w:r w:rsidRPr="00C57B11">
        <w:rPr>
          <w:szCs w:val="24"/>
        </w:rPr>
        <w:t xml:space="preserve">u RgŠ ÚSC </w:t>
      </w:r>
      <w:r w:rsidRPr="00C57B11">
        <w:rPr>
          <w:b/>
          <w:szCs w:val="24"/>
        </w:rPr>
        <w:t xml:space="preserve">o </w:t>
      </w:r>
      <w:r>
        <w:rPr>
          <w:b/>
          <w:szCs w:val="24"/>
        </w:rPr>
        <w:t>2 018</w:t>
      </w:r>
      <w:r w:rsidRPr="00C57B11">
        <w:rPr>
          <w:b/>
          <w:szCs w:val="24"/>
        </w:rPr>
        <w:t xml:space="preserve"> míst</w:t>
      </w:r>
      <w:r>
        <w:rPr>
          <w:b/>
          <w:szCs w:val="24"/>
        </w:rPr>
        <w:t xml:space="preserve"> </w:t>
      </w:r>
      <w:r w:rsidRPr="00F527E6">
        <w:rPr>
          <w:szCs w:val="24"/>
        </w:rPr>
        <w:t>na personální podporu speciálního školství</w:t>
      </w:r>
      <w:r w:rsidR="00AA0F36">
        <w:rPr>
          <w:szCs w:val="24"/>
        </w:rPr>
        <w:t>.</w:t>
      </w:r>
    </w:p>
    <w:p w14:paraId="57484C69" w14:textId="77777777" w:rsidR="00853611" w:rsidRDefault="00853611" w:rsidP="00853611">
      <w:pPr>
        <w:pStyle w:val="Text"/>
      </w:pPr>
      <w:r w:rsidRPr="008C7278">
        <w:t>V případě vyloučení jednorázového navýšení limitu počtu zaměstnanců na projekty financované z prostředků EU a FM č</w:t>
      </w:r>
      <w:r>
        <w:t>iní limit počtu zaměstnanců 248 865,95</w:t>
      </w:r>
      <w:r w:rsidRPr="008C7278">
        <w:t xml:space="preserve"> míst, tj. oproti srovnatelné základně roku 201</w:t>
      </w:r>
      <w:r>
        <w:t>8</w:t>
      </w:r>
      <w:r w:rsidRPr="008C7278">
        <w:t xml:space="preserve"> o </w:t>
      </w:r>
      <w:r>
        <w:t>16 077</w:t>
      </w:r>
      <w:r w:rsidRPr="008C7278">
        <w:t xml:space="preserve"> míst více.</w:t>
      </w:r>
    </w:p>
    <w:p w14:paraId="0BA82A32" w14:textId="77777777" w:rsidR="00911311" w:rsidRPr="008C7278" w:rsidRDefault="00911311" w:rsidP="00853611">
      <w:pPr>
        <w:pStyle w:val="Text"/>
      </w:pPr>
    </w:p>
    <w:p w14:paraId="4D676FAB" w14:textId="77777777" w:rsidR="00853611" w:rsidRPr="00C57B11" w:rsidRDefault="00853611" w:rsidP="00B26388">
      <w:pPr>
        <w:pStyle w:val="Nadpis3"/>
      </w:pPr>
      <w:bookmarkStart w:id="45" w:name="_Toc526845191"/>
      <w:bookmarkStart w:id="46" w:name="_Toc5968822"/>
      <w:r w:rsidRPr="00C57B11">
        <w:lastRenderedPageBreak/>
        <w:t>Mzdové prostředky podle § 109 odst. 3 zákona č. 262/2006 Sb.</w:t>
      </w:r>
      <w:bookmarkEnd w:id="45"/>
      <w:bookmarkEnd w:id="46"/>
      <w:r w:rsidRPr="00C57B11">
        <w:t xml:space="preserve"> </w:t>
      </w:r>
      <w:bookmarkEnd w:id="43"/>
    </w:p>
    <w:p w14:paraId="1433D31B" w14:textId="77777777" w:rsidR="00853611" w:rsidRPr="00EA5C34" w:rsidRDefault="00853611" w:rsidP="00853611">
      <w:pPr>
        <w:rPr>
          <w:b/>
          <w:color w:val="548DD4"/>
          <w:highlight w:val="yellow"/>
        </w:rPr>
      </w:pPr>
    </w:p>
    <w:p w14:paraId="23368070" w14:textId="77777777" w:rsidR="00853611" w:rsidRDefault="00853611" w:rsidP="00853611">
      <w:pPr>
        <w:pStyle w:val="Text"/>
      </w:pPr>
      <w:r w:rsidRPr="00314008">
        <w:t>Mzdové prostředky pro zaměstnance</w:t>
      </w:r>
      <w:r>
        <w:t>,</w:t>
      </w:r>
      <w:r w:rsidRPr="00314008">
        <w:t xml:space="preserve"> odměňované podle § 109 odst. 3</w:t>
      </w:r>
      <w:r>
        <w:t xml:space="preserve"> zákona č. </w:t>
      </w:r>
      <w:r w:rsidRPr="00314008">
        <w:t>262/2006 Sb. (pro organizace, které odměňují platem)</w:t>
      </w:r>
      <w:r>
        <w:t xml:space="preserve"> a státní zaměstnance dle zákona č. 234/2014 Sb.,</w:t>
      </w:r>
      <w:r w:rsidRPr="00314008">
        <w:t xml:space="preserve"> </w:t>
      </w:r>
      <w:r>
        <w:t>byly stanoveny ve </w:t>
      </w:r>
      <w:r w:rsidRPr="00314008">
        <w:t xml:space="preserve">výši </w:t>
      </w:r>
      <w:r>
        <w:rPr>
          <w:b/>
        </w:rPr>
        <w:t>99 451 377 840 </w:t>
      </w:r>
      <w:r w:rsidRPr="00314008">
        <w:rPr>
          <w:b/>
        </w:rPr>
        <w:t>Kč</w:t>
      </w:r>
      <w:r w:rsidRPr="00314008">
        <w:t>.</w:t>
      </w:r>
      <w:r>
        <w:t xml:space="preserve"> </w:t>
      </w:r>
      <w:r w:rsidRPr="00314008">
        <w:rPr>
          <w:u w:val="single"/>
        </w:rPr>
        <w:t>Proti schválenému rozpočtu roku 20</w:t>
      </w:r>
      <w:r>
        <w:rPr>
          <w:u w:val="single"/>
        </w:rPr>
        <w:t>18</w:t>
      </w:r>
      <w:r w:rsidRPr="00314008">
        <w:t xml:space="preserve"> je to </w:t>
      </w:r>
      <w:r>
        <w:rPr>
          <w:b/>
        </w:rPr>
        <w:t>více</w:t>
      </w:r>
      <w:r w:rsidRPr="00314008">
        <w:t xml:space="preserve"> </w:t>
      </w:r>
      <w:r w:rsidRPr="00342D8C">
        <w:t>o</w:t>
      </w:r>
      <w:r w:rsidRPr="00314008">
        <w:rPr>
          <w:b/>
        </w:rPr>
        <w:t> </w:t>
      </w:r>
      <w:r>
        <w:rPr>
          <w:b/>
        </w:rPr>
        <w:t>16 325 354 033</w:t>
      </w:r>
      <w:r w:rsidRPr="00B12EC5">
        <w:rPr>
          <w:b/>
        </w:rPr>
        <w:t xml:space="preserve"> </w:t>
      </w:r>
      <w:r w:rsidRPr="00314008">
        <w:rPr>
          <w:b/>
        </w:rPr>
        <w:t xml:space="preserve">Kč, tj. </w:t>
      </w:r>
      <w:r>
        <w:rPr>
          <w:b/>
        </w:rPr>
        <w:t xml:space="preserve">navýšení </w:t>
      </w:r>
      <w:r w:rsidRPr="00314008">
        <w:rPr>
          <w:b/>
        </w:rPr>
        <w:t xml:space="preserve">o </w:t>
      </w:r>
      <w:r>
        <w:rPr>
          <w:b/>
        </w:rPr>
        <w:t>18,98</w:t>
      </w:r>
      <w:r w:rsidRPr="00314008">
        <w:rPr>
          <w:b/>
        </w:rPr>
        <w:t xml:space="preserve"> %</w:t>
      </w:r>
      <w:r w:rsidRPr="00314008">
        <w:t>.</w:t>
      </w:r>
    </w:p>
    <w:p w14:paraId="7CEA030E" w14:textId="77777777" w:rsidR="00853611" w:rsidRDefault="00853611" w:rsidP="00853611">
      <w:pPr>
        <w:pStyle w:val="Text"/>
      </w:pPr>
      <w:r>
        <w:t xml:space="preserve">Na výsledné změně objemu mzdových prostředků se na jedné straně podílel </w:t>
      </w:r>
      <w:r w:rsidRPr="009F0DEA">
        <w:t xml:space="preserve">nárůst prostředků na platy o </w:t>
      </w:r>
      <w:r>
        <w:t>16 353 749 879</w:t>
      </w:r>
      <w:r w:rsidRPr="009F0DEA">
        <w:t xml:space="preserve"> Kč (o </w:t>
      </w:r>
      <w:r>
        <w:t>19,47</w:t>
      </w:r>
      <w:r w:rsidRPr="009F0DEA">
        <w:t xml:space="preserve"> %) a na druhé straně naopak snížení prostředků na</w:t>
      </w:r>
      <w:r>
        <w:t xml:space="preserve"> </w:t>
      </w:r>
      <w:r w:rsidRPr="009F0DEA">
        <w:t>OPPP</w:t>
      </w:r>
      <w:r>
        <w:t>/OON</w:t>
      </w:r>
      <w:r w:rsidRPr="009F0DEA">
        <w:t xml:space="preserve"> o </w:t>
      </w:r>
      <w:r>
        <w:t>28 395 846</w:t>
      </w:r>
      <w:r w:rsidRPr="009F0DEA">
        <w:t xml:space="preserve"> Kč (o </w:t>
      </w:r>
      <w:r>
        <w:t>16,63</w:t>
      </w:r>
      <w:r w:rsidRPr="009F0DEA">
        <w:t xml:space="preserve"> %).</w:t>
      </w:r>
    </w:p>
    <w:p w14:paraId="38841D08" w14:textId="77777777" w:rsidR="00853611" w:rsidRDefault="00853611" w:rsidP="00853611">
      <w:pPr>
        <w:pStyle w:val="Text"/>
      </w:pPr>
    </w:p>
    <w:p w14:paraId="3F5A99F1" w14:textId="77777777" w:rsidR="00853611" w:rsidRPr="00FA7A0A" w:rsidRDefault="00853611" w:rsidP="00853611">
      <w:pPr>
        <w:rPr>
          <w:u w:val="single"/>
        </w:rPr>
      </w:pPr>
      <w:r>
        <w:tab/>
      </w:r>
      <w:r w:rsidRPr="00FA7A0A">
        <w:rPr>
          <w:u w:val="single"/>
        </w:rPr>
        <w:t xml:space="preserve">Podrobný přehled vlivů promítnutých do limitu mzdových prostředků </w:t>
      </w:r>
      <w:r>
        <w:rPr>
          <w:u w:val="single"/>
        </w:rPr>
        <w:t>2019</w:t>
      </w:r>
      <w:r w:rsidRPr="00FA7A0A">
        <w:rPr>
          <w:u w:val="single"/>
        </w:rPr>
        <w:t>:</w:t>
      </w:r>
    </w:p>
    <w:p w14:paraId="11D08AD2" w14:textId="77777777" w:rsidR="00853611" w:rsidRPr="00314008" w:rsidRDefault="00853611" w:rsidP="00853611">
      <w:pPr>
        <w:ind w:left="426" w:firstLine="283"/>
      </w:pPr>
    </w:p>
    <w:p w14:paraId="086A4CB8" w14:textId="77777777" w:rsidR="00853611" w:rsidRPr="00314008" w:rsidRDefault="00853611" w:rsidP="00853611">
      <w:pPr>
        <w:ind w:left="426"/>
        <w:rPr>
          <w:b/>
        </w:rPr>
      </w:pPr>
      <w:r w:rsidRPr="00314008">
        <w:rPr>
          <w:b/>
        </w:rPr>
        <w:t xml:space="preserve">snížení </w:t>
      </w:r>
    </w:p>
    <w:p w14:paraId="710DEBAF" w14:textId="77777777" w:rsidR="00853611" w:rsidRDefault="00853611" w:rsidP="00853611">
      <w:pPr>
        <w:numPr>
          <w:ilvl w:val="0"/>
          <w:numId w:val="1"/>
        </w:numPr>
        <w:tabs>
          <w:tab w:val="left" w:pos="993"/>
        </w:tabs>
        <w:ind w:left="993" w:hanging="426"/>
      </w:pPr>
      <w:r w:rsidRPr="00314008">
        <w:t xml:space="preserve">ve vazbě na souvztažné snížení výdajů EU </w:t>
      </w:r>
      <w:r>
        <w:t xml:space="preserve">a FM </w:t>
      </w:r>
      <w:r w:rsidRPr="00314008">
        <w:t>o příjmy z</w:t>
      </w:r>
      <w:r>
        <w:t> </w:t>
      </w:r>
      <w:r w:rsidRPr="00314008">
        <w:t>EU</w:t>
      </w:r>
      <w:r>
        <w:t xml:space="preserve"> a FM</w:t>
      </w:r>
      <w:r w:rsidRPr="00314008">
        <w:t xml:space="preserve"> z rozpočtu roku 20</w:t>
      </w:r>
      <w:r>
        <w:t>18</w:t>
      </w:r>
      <w:r w:rsidRPr="00314008">
        <w:t xml:space="preserve"> ve výši </w:t>
      </w:r>
      <w:r>
        <w:rPr>
          <w:b/>
        </w:rPr>
        <w:t xml:space="preserve">500 173 641 </w:t>
      </w:r>
      <w:r w:rsidRPr="000775C1">
        <w:rPr>
          <w:b/>
        </w:rPr>
        <w:t>Kč</w:t>
      </w:r>
      <w:r w:rsidRPr="00314008">
        <w:t xml:space="preserve"> (nepřecházejí do roku 201</w:t>
      </w:r>
      <w:r>
        <w:t>9</w:t>
      </w:r>
      <w:r w:rsidRPr="00314008">
        <w:t>) – součást vyloučení ekvivalentu EU</w:t>
      </w:r>
      <w:r>
        <w:t>,</w:t>
      </w:r>
    </w:p>
    <w:p w14:paraId="3E17854C" w14:textId="77777777" w:rsidR="00853611" w:rsidRDefault="00853611" w:rsidP="00853611">
      <w:pPr>
        <w:numPr>
          <w:ilvl w:val="0"/>
          <w:numId w:val="1"/>
        </w:numPr>
        <w:tabs>
          <w:tab w:val="left" w:pos="993"/>
        </w:tabs>
        <w:ind w:left="993" w:hanging="426"/>
        <w:rPr>
          <w:szCs w:val="24"/>
        </w:rPr>
      </w:pPr>
      <w:r>
        <w:rPr>
          <w:szCs w:val="24"/>
        </w:rPr>
        <w:t xml:space="preserve">na základě přesunů do  OBV v rámci kapitoly MŠMT ve výši </w:t>
      </w:r>
      <w:r>
        <w:rPr>
          <w:b/>
          <w:szCs w:val="24"/>
        </w:rPr>
        <w:t xml:space="preserve">47 535 612 </w:t>
      </w:r>
      <w:r w:rsidRPr="00F559E3">
        <w:rPr>
          <w:b/>
          <w:szCs w:val="24"/>
        </w:rPr>
        <w:t>Kč</w:t>
      </w:r>
      <w:r>
        <w:rPr>
          <w:szCs w:val="24"/>
        </w:rPr>
        <w:t xml:space="preserve">, </w:t>
      </w:r>
      <w:r>
        <w:rPr>
          <w:szCs w:val="24"/>
        </w:rPr>
        <w:br/>
        <w:t>(v oblasti SR podílu OP VVV a FM – přesuny z OBV z předchozího roku MF nepromítá do střednědobého výhledu (dále jen „SDV“)),</w:t>
      </w:r>
    </w:p>
    <w:p w14:paraId="27617DAB" w14:textId="35A2DF5D" w:rsidR="00853611" w:rsidRDefault="00853611" w:rsidP="00853611">
      <w:pPr>
        <w:numPr>
          <w:ilvl w:val="0"/>
          <w:numId w:val="1"/>
        </w:numPr>
        <w:tabs>
          <w:tab w:val="left" w:pos="993"/>
        </w:tabs>
        <w:ind w:left="993" w:hanging="426"/>
        <w:rPr>
          <w:szCs w:val="24"/>
        </w:rPr>
      </w:pPr>
      <w:r>
        <w:rPr>
          <w:szCs w:val="24"/>
        </w:rPr>
        <w:t xml:space="preserve">prostředků na platy </w:t>
      </w:r>
      <w:r w:rsidRPr="008A5AD7">
        <w:rPr>
          <w:b/>
          <w:szCs w:val="24"/>
        </w:rPr>
        <w:t>o 39 169 258 Kč</w:t>
      </w:r>
      <w:r>
        <w:rPr>
          <w:szCs w:val="24"/>
        </w:rPr>
        <w:t xml:space="preserve"> v souvislosti s krácením </w:t>
      </w:r>
      <w:r w:rsidR="003364A3">
        <w:rPr>
          <w:szCs w:val="24"/>
        </w:rPr>
        <w:t>za neplnění limitu počtu zaměstnanců za 1. čtvr</w:t>
      </w:r>
      <w:r w:rsidR="0081499F">
        <w:rPr>
          <w:szCs w:val="24"/>
        </w:rPr>
        <w:t>t</w:t>
      </w:r>
      <w:r w:rsidR="003364A3">
        <w:rPr>
          <w:szCs w:val="24"/>
        </w:rPr>
        <w:t>letí 2018</w:t>
      </w:r>
      <w:r>
        <w:rPr>
          <w:szCs w:val="24"/>
        </w:rPr>
        <w:t>,</w:t>
      </w:r>
    </w:p>
    <w:p w14:paraId="621EC06B" w14:textId="77777777" w:rsidR="00853611" w:rsidRDefault="00853611" w:rsidP="00853611">
      <w:pPr>
        <w:tabs>
          <w:tab w:val="left" w:pos="993"/>
        </w:tabs>
        <w:ind w:left="567"/>
        <w:rPr>
          <w:szCs w:val="24"/>
        </w:rPr>
      </w:pPr>
    </w:p>
    <w:p w14:paraId="50C8A4A8" w14:textId="77777777" w:rsidR="00853611" w:rsidRPr="00314008" w:rsidRDefault="00853611" w:rsidP="00853611">
      <w:pPr>
        <w:ind w:left="426"/>
        <w:rPr>
          <w:b/>
        </w:rPr>
      </w:pPr>
      <w:r w:rsidRPr="00314008">
        <w:rPr>
          <w:b/>
        </w:rPr>
        <w:t>zvýšení</w:t>
      </w:r>
    </w:p>
    <w:p w14:paraId="3C61AE6D" w14:textId="77777777" w:rsidR="00853611" w:rsidRDefault="00853611" w:rsidP="00853611">
      <w:pPr>
        <w:numPr>
          <w:ilvl w:val="0"/>
          <w:numId w:val="1"/>
        </w:numPr>
        <w:tabs>
          <w:tab w:val="left" w:pos="993"/>
        </w:tabs>
        <w:ind w:left="993" w:hanging="426"/>
      </w:pPr>
      <w:r w:rsidRPr="00314008">
        <w:t>vyplývající ze souvztažného posílení příjmů a výdajů o</w:t>
      </w:r>
      <w:r>
        <w:t xml:space="preserve"> prostředky z EU </w:t>
      </w:r>
      <w:r w:rsidRPr="00314008">
        <w:t xml:space="preserve">ve výši </w:t>
      </w:r>
      <w:r>
        <w:rPr>
          <w:b/>
        </w:rPr>
        <w:t xml:space="preserve">440 490 845 </w:t>
      </w:r>
      <w:r w:rsidRPr="00784991">
        <w:rPr>
          <w:b/>
        </w:rPr>
        <w:t>Kč</w:t>
      </w:r>
      <w:r>
        <w:rPr>
          <w:b/>
        </w:rPr>
        <w:t>,</w:t>
      </w:r>
      <w:r w:rsidRPr="00314008">
        <w:t xml:space="preserve"> </w:t>
      </w:r>
    </w:p>
    <w:p w14:paraId="0A6D6CEF" w14:textId="0B9B7601" w:rsidR="00853611" w:rsidRDefault="00853611" w:rsidP="00853611">
      <w:pPr>
        <w:numPr>
          <w:ilvl w:val="0"/>
          <w:numId w:val="1"/>
        </w:numPr>
        <w:tabs>
          <w:tab w:val="left" w:pos="993"/>
        </w:tabs>
        <w:ind w:left="993" w:hanging="426"/>
      </w:pPr>
      <w:r w:rsidRPr="002D6F6B">
        <w:rPr>
          <w:b/>
        </w:rPr>
        <w:t xml:space="preserve">o </w:t>
      </w:r>
      <w:r>
        <w:rPr>
          <w:b/>
        </w:rPr>
        <w:t>10 841 674 070</w:t>
      </w:r>
      <w:r w:rsidRPr="002D6F6B">
        <w:rPr>
          <w:b/>
        </w:rPr>
        <w:t xml:space="preserve"> Kč </w:t>
      </w:r>
      <w:r w:rsidRPr="002D6F6B">
        <w:t>(nárůst prostředků na platy</w:t>
      </w:r>
      <w:r>
        <w:t xml:space="preserve"> </w:t>
      </w:r>
      <w:r w:rsidRPr="002D6F6B">
        <w:t>o 6 % u OSS</w:t>
      </w:r>
      <w:r>
        <w:t xml:space="preserve"> </w:t>
      </w:r>
      <w:r w:rsidRPr="002D6F6B">
        <w:t xml:space="preserve">a PO </w:t>
      </w:r>
      <w:r w:rsidRPr="002D6F6B">
        <w:br/>
        <w:t>a u pedagogických pracovníků RgŠ o 15 %</w:t>
      </w:r>
      <w:r w:rsidR="003364A3">
        <w:t>)</w:t>
      </w:r>
      <w:r w:rsidR="00AC6E3E">
        <w:t>,</w:t>
      </w:r>
      <w:r w:rsidRPr="002D6F6B">
        <w:t xml:space="preserve"> </w:t>
      </w:r>
    </w:p>
    <w:p w14:paraId="22F8BE6E" w14:textId="44A8BFDD" w:rsidR="00853611" w:rsidRDefault="00853611" w:rsidP="00853611">
      <w:pPr>
        <w:numPr>
          <w:ilvl w:val="0"/>
          <w:numId w:val="1"/>
        </w:numPr>
        <w:tabs>
          <w:tab w:val="left" w:pos="993"/>
        </w:tabs>
        <w:ind w:left="993" w:hanging="426"/>
      </w:pPr>
      <w:r>
        <w:rPr>
          <w:b/>
        </w:rPr>
        <w:t xml:space="preserve">o 11 003 700 </w:t>
      </w:r>
      <w:r w:rsidRPr="00FF1256">
        <w:t xml:space="preserve">(nárůst prostředků na platy o </w:t>
      </w:r>
      <w:r>
        <w:t>500 Kč na zaměstnance</w:t>
      </w:r>
      <w:r w:rsidRPr="00FF1256">
        <w:t xml:space="preserve"> u OSS a PO</w:t>
      </w:r>
      <w:r>
        <w:t>)</w:t>
      </w:r>
      <w:r w:rsidR="00AC6E3E">
        <w:t>,</w:t>
      </w:r>
    </w:p>
    <w:p w14:paraId="3BAE3EE1" w14:textId="660ABAAF" w:rsidR="00853611" w:rsidRDefault="00853611" w:rsidP="00853611">
      <w:pPr>
        <w:numPr>
          <w:ilvl w:val="0"/>
          <w:numId w:val="1"/>
        </w:numPr>
        <w:tabs>
          <w:tab w:val="left" w:pos="993"/>
        </w:tabs>
        <w:ind w:left="993" w:hanging="426"/>
      </w:pPr>
      <w:r w:rsidRPr="00FF1256">
        <w:rPr>
          <w:b/>
        </w:rPr>
        <w:t>o 585 601 178 (</w:t>
      </w:r>
      <w:r w:rsidRPr="00FF1256">
        <w:t xml:space="preserve">nárůst prostředků na platy pro nepedagogické </w:t>
      </w:r>
      <w:r w:rsidR="003364A3">
        <w:t>zaměstnance</w:t>
      </w:r>
      <w:r w:rsidR="003364A3" w:rsidRPr="00FF1256">
        <w:t xml:space="preserve"> </w:t>
      </w:r>
      <w:r w:rsidRPr="00FF1256">
        <w:t>RgŠ ÚSC a PŘO na 10% nárůst – dokrytí 4 %)</w:t>
      </w:r>
      <w:r w:rsidR="00AC6E3E">
        <w:t>,</w:t>
      </w:r>
    </w:p>
    <w:p w14:paraId="26AF0B11" w14:textId="77777777" w:rsidR="00853611" w:rsidRPr="00FF1256" w:rsidRDefault="00853611" w:rsidP="00853611">
      <w:pPr>
        <w:numPr>
          <w:ilvl w:val="0"/>
          <w:numId w:val="1"/>
        </w:numPr>
        <w:tabs>
          <w:tab w:val="left" w:pos="993"/>
        </w:tabs>
        <w:ind w:left="993" w:hanging="426"/>
      </w:pPr>
      <w:r w:rsidRPr="00FF1256">
        <w:rPr>
          <w:b/>
        </w:rPr>
        <w:t xml:space="preserve">o </w:t>
      </w:r>
      <w:r>
        <w:rPr>
          <w:b/>
        </w:rPr>
        <w:t>286</w:t>
      </w:r>
      <w:r w:rsidRPr="00FF1256">
        <w:rPr>
          <w:b/>
        </w:rPr>
        <w:t> 800 Kč</w:t>
      </w:r>
      <w:r w:rsidRPr="00FF1256">
        <w:t xml:space="preserve"> (navýšení platu ústavních činitelů),</w:t>
      </w:r>
    </w:p>
    <w:p w14:paraId="24485009" w14:textId="77777777" w:rsidR="00853611" w:rsidRDefault="00853611" w:rsidP="0070585C">
      <w:pPr>
        <w:numPr>
          <w:ilvl w:val="0"/>
          <w:numId w:val="13"/>
        </w:numPr>
        <w:tabs>
          <w:tab w:val="left" w:pos="993"/>
        </w:tabs>
        <w:ind w:hanging="424"/>
        <w:rPr>
          <w:szCs w:val="24"/>
        </w:rPr>
      </w:pPr>
      <w:r w:rsidRPr="00071A4F">
        <w:rPr>
          <w:szCs w:val="24"/>
        </w:rPr>
        <w:t xml:space="preserve">u RgŠ ÚSC  </w:t>
      </w:r>
      <w:r w:rsidRPr="00071A4F">
        <w:rPr>
          <w:b/>
          <w:szCs w:val="24"/>
        </w:rPr>
        <w:t xml:space="preserve">o </w:t>
      </w:r>
      <w:r>
        <w:rPr>
          <w:b/>
          <w:szCs w:val="24"/>
        </w:rPr>
        <w:t>1 008 016 176</w:t>
      </w:r>
      <w:r w:rsidRPr="00071A4F">
        <w:rPr>
          <w:b/>
          <w:szCs w:val="24"/>
        </w:rPr>
        <w:t xml:space="preserve"> Kč</w:t>
      </w:r>
      <w:r w:rsidRPr="00071A4F">
        <w:rPr>
          <w:szCs w:val="24"/>
        </w:rPr>
        <w:t xml:space="preserve"> (navýšení objemu prostředků na platy z titulu růstu výkonů v </w:t>
      </w:r>
      <w:r>
        <w:rPr>
          <w:szCs w:val="24"/>
        </w:rPr>
        <w:t>RgŠ</w:t>
      </w:r>
      <w:r w:rsidRPr="00071A4F">
        <w:rPr>
          <w:szCs w:val="24"/>
        </w:rPr>
        <w:t xml:space="preserve"> </w:t>
      </w:r>
      <w:r>
        <w:rPr>
          <w:szCs w:val="24"/>
        </w:rPr>
        <w:t>),</w:t>
      </w:r>
    </w:p>
    <w:p w14:paraId="05334057" w14:textId="77777777" w:rsidR="00853611" w:rsidRDefault="00853611" w:rsidP="0070585C">
      <w:pPr>
        <w:numPr>
          <w:ilvl w:val="0"/>
          <w:numId w:val="13"/>
        </w:numPr>
        <w:tabs>
          <w:tab w:val="left" w:pos="993"/>
        </w:tabs>
        <w:ind w:hanging="424"/>
        <w:rPr>
          <w:szCs w:val="24"/>
        </w:rPr>
      </w:pPr>
      <w:r w:rsidRPr="00071A4F">
        <w:rPr>
          <w:szCs w:val="24"/>
        </w:rPr>
        <w:t xml:space="preserve">u RgŠ ÚSC </w:t>
      </w:r>
      <w:r w:rsidRPr="00071A4F">
        <w:rPr>
          <w:b/>
          <w:szCs w:val="24"/>
        </w:rPr>
        <w:t xml:space="preserve">o </w:t>
      </w:r>
      <w:r>
        <w:rPr>
          <w:b/>
          <w:szCs w:val="24"/>
        </w:rPr>
        <w:t>1 591 911 765</w:t>
      </w:r>
      <w:r w:rsidRPr="00071A4F">
        <w:rPr>
          <w:b/>
          <w:szCs w:val="24"/>
        </w:rPr>
        <w:t xml:space="preserve"> Kč</w:t>
      </w:r>
      <w:r>
        <w:rPr>
          <w:szCs w:val="24"/>
        </w:rPr>
        <w:t xml:space="preserve"> (navýšení objemu prostředků na podporu speciálních vzdělávacích potřeb),</w:t>
      </w:r>
    </w:p>
    <w:p w14:paraId="1A37FFA2" w14:textId="77777777" w:rsidR="00853611" w:rsidRPr="002B2727" w:rsidRDefault="00853611" w:rsidP="0070585C">
      <w:pPr>
        <w:numPr>
          <w:ilvl w:val="0"/>
          <w:numId w:val="13"/>
        </w:numPr>
        <w:tabs>
          <w:tab w:val="left" w:pos="993"/>
        </w:tabs>
        <w:ind w:hanging="424"/>
        <w:rPr>
          <w:szCs w:val="24"/>
        </w:rPr>
      </w:pPr>
      <w:r w:rsidRPr="002B2727">
        <w:rPr>
          <w:szCs w:val="24"/>
        </w:rPr>
        <w:t xml:space="preserve">u RgŠ ÚSC </w:t>
      </w:r>
      <w:r w:rsidRPr="002B2727">
        <w:rPr>
          <w:b/>
          <w:szCs w:val="24"/>
        </w:rPr>
        <w:t xml:space="preserve">o </w:t>
      </w:r>
      <w:r>
        <w:rPr>
          <w:b/>
          <w:szCs w:val="24"/>
        </w:rPr>
        <w:t>1 323 529 412</w:t>
      </w:r>
      <w:r w:rsidRPr="002B2727">
        <w:rPr>
          <w:b/>
          <w:szCs w:val="24"/>
        </w:rPr>
        <w:t xml:space="preserve"> Kč</w:t>
      </w:r>
      <w:r w:rsidRPr="002B2727">
        <w:rPr>
          <w:szCs w:val="24"/>
        </w:rPr>
        <w:t xml:space="preserve"> (</w:t>
      </w:r>
      <w:r>
        <w:rPr>
          <w:szCs w:val="24"/>
        </w:rPr>
        <w:t xml:space="preserve">na </w:t>
      </w:r>
      <w:r w:rsidRPr="002B2727">
        <w:rPr>
          <w:szCs w:val="24"/>
        </w:rPr>
        <w:t>rozšíření doby provozu MŠ),</w:t>
      </w:r>
    </w:p>
    <w:p w14:paraId="71569BE7" w14:textId="77777777" w:rsidR="00853611" w:rsidRPr="002B2727" w:rsidRDefault="00853611" w:rsidP="0070585C">
      <w:pPr>
        <w:numPr>
          <w:ilvl w:val="0"/>
          <w:numId w:val="13"/>
        </w:numPr>
        <w:tabs>
          <w:tab w:val="left" w:pos="993"/>
        </w:tabs>
        <w:ind w:hanging="424"/>
        <w:rPr>
          <w:szCs w:val="24"/>
        </w:rPr>
      </w:pPr>
      <w:r w:rsidRPr="002B2727">
        <w:rPr>
          <w:szCs w:val="24"/>
        </w:rPr>
        <w:t xml:space="preserve">u RgŠ ÚSC </w:t>
      </w:r>
      <w:r w:rsidRPr="002B2727">
        <w:rPr>
          <w:b/>
          <w:szCs w:val="24"/>
        </w:rPr>
        <w:t xml:space="preserve">o </w:t>
      </w:r>
      <w:r>
        <w:rPr>
          <w:b/>
          <w:szCs w:val="24"/>
        </w:rPr>
        <w:t>514 705 882</w:t>
      </w:r>
      <w:r w:rsidRPr="002B2727">
        <w:rPr>
          <w:b/>
          <w:szCs w:val="24"/>
        </w:rPr>
        <w:t xml:space="preserve"> Kč</w:t>
      </w:r>
      <w:r w:rsidRPr="002B2727">
        <w:rPr>
          <w:szCs w:val="24"/>
        </w:rPr>
        <w:t xml:space="preserve"> (v souvislosti s reformou RgŠ </w:t>
      </w:r>
      <w:r>
        <w:rPr>
          <w:szCs w:val="24"/>
        </w:rPr>
        <w:t xml:space="preserve">- </w:t>
      </w:r>
      <w:r w:rsidRPr="002B2727">
        <w:rPr>
          <w:szCs w:val="24"/>
        </w:rPr>
        <w:t>zvýšení počtu učitelů od 1.</w:t>
      </w:r>
      <w:r>
        <w:rPr>
          <w:szCs w:val="24"/>
        </w:rPr>
        <w:t xml:space="preserve"> </w:t>
      </w:r>
      <w:r w:rsidRPr="002B2727">
        <w:rPr>
          <w:szCs w:val="24"/>
        </w:rPr>
        <w:t>9. 2019)</w:t>
      </w:r>
      <w:r>
        <w:rPr>
          <w:szCs w:val="24"/>
        </w:rPr>
        <w:t>,</w:t>
      </w:r>
    </w:p>
    <w:p w14:paraId="22A7D3A6" w14:textId="77777777" w:rsidR="00853611" w:rsidRPr="002B2727" w:rsidRDefault="00853611" w:rsidP="0070585C">
      <w:pPr>
        <w:numPr>
          <w:ilvl w:val="0"/>
          <w:numId w:val="13"/>
        </w:numPr>
        <w:tabs>
          <w:tab w:val="left" w:pos="993"/>
        </w:tabs>
        <w:ind w:hanging="424"/>
        <w:rPr>
          <w:szCs w:val="24"/>
        </w:rPr>
      </w:pPr>
      <w:r w:rsidRPr="002B2727">
        <w:rPr>
          <w:szCs w:val="24"/>
        </w:rPr>
        <w:t xml:space="preserve">u RgŠ ÚSC </w:t>
      </w:r>
      <w:r w:rsidRPr="002B2727">
        <w:rPr>
          <w:b/>
          <w:szCs w:val="24"/>
        </w:rPr>
        <w:t xml:space="preserve">o </w:t>
      </w:r>
      <w:r>
        <w:rPr>
          <w:b/>
          <w:szCs w:val="24"/>
        </w:rPr>
        <w:t>588 235 294</w:t>
      </w:r>
      <w:r w:rsidRPr="002B2727">
        <w:rPr>
          <w:b/>
          <w:szCs w:val="24"/>
        </w:rPr>
        <w:t xml:space="preserve"> Kč</w:t>
      </w:r>
      <w:r w:rsidRPr="002B2727">
        <w:rPr>
          <w:szCs w:val="24"/>
        </w:rPr>
        <w:t xml:space="preserve"> (na personální podporu speciálního školství)</w:t>
      </w:r>
      <w:r>
        <w:rPr>
          <w:szCs w:val="24"/>
        </w:rPr>
        <w:t>,</w:t>
      </w:r>
    </w:p>
    <w:p w14:paraId="1B6F3BFB" w14:textId="77777777" w:rsidR="00853611" w:rsidRPr="006330DE" w:rsidRDefault="00853611" w:rsidP="0070585C">
      <w:pPr>
        <w:numPr>
          <w:ilvl w:val="0"/>
          <w:numId w:val="13"/>
        </w:numPr>
        <w:tabs>
          <w:tab w:val="left" w:pos="993"/>
        </w:tabs>
        <w:ind w:hanging="424"/>
      </w:pPr>
      <w:r w:rsidRPr="0083053A">
        <w:rPr>
          <w:b/>
          <w:szCs w:val="24"/>
        </w:rPr>
        <w:t xml:space="preserve">o </w:t>
      </w:r>
      <w:r>
        <w:rPr>
          <w:b/>
          <w:szCs w:val="24"/>
        </w:rPr>
        <w:t>6 777 422</w:t>
      </w:r>
      <w:r w:rsidRPr="0083053A">
        <w:rPr>
          <w:b/>
          <w:szCs w:val="24"/>
        </w:rPr>
        <w:t xml:space="preserve"> Kč</w:t>
      </w:r>
      <w:r>
        <w:rPr>
          <w:szCs w:val="24"/>
        </w:rPr>
        <w:t xml:space="preserve"> přesunem z OBV v rámci kapitoly MŠMT na zajištění SR podílu </w:t>
      </w:r>
      <w:r>
        <w:rPr>
          <w:szCs w:val="24"/>
        </w:rPr>
        <w:br/>
        <w:t>u mzdových prostředků OP VVV a OP Z.</w:t>
      </w:r>
    </w:p>
    <w:p w14:paraId="425CDB19" w14:textId="77777777" w:rsidR="009A7813" w:rsidRPr="0083053A" w:rsidRDefault="009A7813" w:rsidP="00853611">
      <w:pPr>
        <w:tabs>
          <w:tab w:val="left" w:pos="993"/>
        </w:tabs>
      </w:pPr>
    </w:p>
    <w:p w14:paraId="262DFA28" w14:textId="77777777" w:rsidR="00853611" w:rsidRPr="00C57B11" w:rsidRDefault="00853611" w:rsidP="00B26388">
      <w:pPr>
        <w:pStyle w:val="Nadpis3"/>
      </w:pPr>
      <w:bookmarkStart w:id="47" w:name="_Toc526845192"/>
      <w:bookmarkStart w:id="48" w:name="_Toc5968823"/>
      <w:r w:rsidRPr="00C57B11">
        <w:t>Průměrný měsíční plat</w:t>
      </w:r>
      <w:bookmarkEnd w:id="44"/>
      <w:bookmarkEnd w:id="47"/>
      <w:bookmarkEnd w:id="48"/>
    </w:p>
    <w:p w14:paraId="4CE2A4C0" w14:textId="77777777" w:rsidR="00853611" w:rsidRPr="00C57B11" w:rsidRDefault="00853611" w:rsidP="00853611">
      <w:pPr>
        <w:rPr>
          <w:color w:val="548DD4"/>
        </w:rPr>
      </w:pPr>
    </w:p>
    <w:p w14:paraId="2DD739E2" w14:textId="76088658" w:rsidR="00853611" w:rsidRDefault="00853611" w:rsidP="00853611">
      <w:pPr>
        <w:pStyle w:val="Text"/>
      </w:pPr>
      <w:bookmarkStart w:id="49" w:name="_Toc178579774"/>
      <w:bookmarkStart w:id="50" w:name="_Toc178579775"/>
      <w:r w:rsidRPr="00C57B11">
        <w:t>Průměrný měsíční plat rozpočtovaný pro rok 201</w:t>
      </w:r>
      <w:r>
        <w:t>9</w:t>
      </w:r>
      <w:r w:rsidRPr="00C57B11">
        <w:t xml:space="preserve"> činí</w:t>
      </w:r>
      <w:r w:rsidRPr="00C57B11">
        <w:rPr>
          <w:b/>
        </w:rPr>
        <w:t xml:space="preserve"> </w:t>
      </w:r>
      <w:r>
        <w:rPr>
          <w:b/>
        </w:rPr>
        <w:t xml:space="preserve">32 841 </w:t>
      </w:r>
      <w:r w:rsidRPr="00C57B11">
        <w:rPr>
          <w:b/>
        </w:rPr>
        <w:t>Kč.</w:t>
      </w:r>
      <w:r w:rsidRPr="00C57B11">
        <w:t xml:space="preserve"> Oproti rozpočtovanému platu roku 201</w:t>
      </w:r>
      <w:r>
        <w:t>8</w:t>
      </w:r>
      <w:r w:rsidRPr="00C57B11">
        <w:t xml:space="preserve"> dochází k nárůstu o 3 </w:t>
      </w:r>
      <w:r>
        <w:t>586</w:t>
      </w:r>
      <w:r w:rsidRPr="00C57B11">
        <w:t xml:space="preserve"> Kč, tj. o </w:t>
      </w:r>
      <w:r>
        <w:t>12,19</w:t>
      </w:r>
      <w:r w:rsidRPr="00C57B11">
        <w:t xml:space="preserve"> %. Průměrný měsíční plat zaměstnanců v pracovním poměru (vyjma zaměstnanců na služebních místech) činí </w:t>
      </w:r>
      <w:r w:rsidR="003364A3">
        <w:br/>
      </w:r>
      <w:r>
        <w:lastRenderedPageBreak/>
        <w:t>32 776</w:t>
      </w:r>
      <w:r w:rsidRPr="00C57B11">
        <w:t xml:space="preserve"> Kč a průměrný měsíční plat zaměstnanců na služebních místech byl stanoven </w:t>
      </w:r>
      <w:r w:rsidR="003364A3">
        <w:br/>
      </w:r>
      <w:r w:rsidRPr="00C57B11">
        <w:t xml:space="preserve">na </w:t>
      </w:r>
      <w:r>
        <w:t>44 489</w:t>
      </w:r>
      <w:r w:rsidRPr="00C57B11">
        <w:t xml:space="preserve"> Kč.</w:t>
      </w:r>
    </w:p>
    <w:p w14:paraId="4016D1CF" w14:textId="77777777" w:rsidR="003364A3" w:rsidRPr="00C57B11" w:rsidRDefault="003364A3" w:rsidP="00853611">
      <w:pPr>
        <w:pStyle w:val="Text"/>
      </w:pPr>
    </w:p>
    <w:bookmarkEnd w:id="49"/>
    <w:p w14:paraId="34D46EAA" w14:textId="77777777" w:rsidR="00853611" w:rsidRPr="00C57B11" w:rsidRDefault="00853611" w:rsidP="00B26388">
      <w:pPr>
        <w:pStyle w:val="Nadpis3"/>
      </w:pPr>
      <w:r w:rsidRPr="00C57B11">
        <w:t xml:space="preserve"> </w:t>
      </w:r>
      <w:bookmarkStart w:id="51" w:name="_Toc526845193"/>
      <w:bookmarkStart w:id="52" w:name="_Toc5968824"/>
      <w:r w:rsidRPr="00C57B11">
        <w:t>Zákonné odvody do fondů</w:t>
      </w:r>
      <w:bookmarkEnd w:id="50"/>
      <w:bookmarkEnd w:id="51"/>
      <w:bookmarkEnd w:id="52"/>
    </w:p>
    <w:p w14:paraId="54A6483F" w14:textId="77777777" w:rsidR="00853611" w:rsidRPr="00EA5C34" w:rsidRDefault="00853611" w:rsidP="00853611">
      <w:pPr>
        <w:ind w:left="426" w:firstLine="283"/>
        <w:rPr>
          <w:color w:val="548DD4"/>
          <w:highlight w:val="yellow"/>
          <w:u w:val="single"/>
        </w:rPr>
      </w:pPr>
    </w:p>
    <w:p w14:paraId="0A2E8696" w14:textId="048E35E7" w:rsidR="00853611" w:rsidRDefault="003364A3" w:rsidP="00853611">
      <w:pPr>
        <w:pStyle w:val="Text"/>
      </w:pPr>
      <w:r>
        <w:t>Rozpočtované z</w:t>
      </w:r>
      <w:r w:rsidR="00853611" w:rsidRPr="006B10DB">
        <w:t xml:space="preserve">ákonné odvody do fondů zdravotního a </w:t>
      </w:r>
      <w:r w:rsidR="00853611">
        <w:t xml:space="preserve">sociálního zabezpečení činí </w:t>
      </w:r>
      <w:r>
        <w:br/>
      </w:r>
      <w:r w:rsidR="00853611" w:rsidRPr="006B10DB">
        <w:t>3</w:t>
      </w:r>
      <w:r w:rsidR="00853611">
        <w:t>4</w:t>
      </w:r>
      <w:r w:rsidR="00853611" w:rsidRPr="006B10DB">
        <w:t xml:space="preserve"> % z objemu mzdových prostředků</w:t>
      </w:r>
      <w:r w:rsidR="00853611">
        <w:t>.</w:t>
      </w:r>
      <w:r w:rsidR="00853611" w:rsidRPr="006B10DB">
        <w:t> </w:t>
      </w:r>
      <w:r w:rsidR="00853611">
        <w:t>Příděly do FKSP</w:t>
      </w:r>
      <w:r w:rsidR="00853611" w:rsidRPr="006B10DB">
        <w:t xml:space="preserve"> pro PO</w:t>
      </w:r>
      <w:r w:rsidR="00853611">
        <w:t xml:space="preserve"> a </w:t>
      </w:r>
      <w:r w:rsidR="00853611" w:rsidRPr="006B10DB">
        <w:t xml:space="preserve">OSS </w:t>
      </w:r>
      <w:r w:rsidR="00853611">
        <w:t xml:space="preserve">jsou </w:t>
      </w:r>
      <w:r w:rsidR="00853611" w:rsidRPr="0013288C">
        <w:t xml:space="preserve">stanoveny na </w:t>
      </w:r>
      <w:r w:rsidR="00853611">
        <w:t>2 </w:t>
      </w:r>
      <w:r w:rsidR="00853611" w:rsidRPr="0013288C">
        <w:t>%</w:t>
      </w:r>
      <w:r w:rsidR="00853611" w:rsidRPr="006B10DB">
        <w:t xml:space="preserve"> z objemu platů</w:t>
      </w:r>
      <w:r w:rsidR="00853611">
        <w:t xml:space="preserve">. </w:t>
      </w:r>
      <w:r w:rsidR="00853611" w:rsidRPr="006B10DB">
        <w:t>V  rozpočtu kapitoly MŠMT na rok 201</w:t>
      </w:r>
      <w:r w:rsidR="00853611">
        <w:t>9</w:t>
      </w:r>
      <w:r w:rsidR="00853611" w:rsidRPr="006B10DB">
        <w:t xml:space="preserve"> činí tyto odvody</w:t>
      </w:r>
      <w:r w:rsidR="00853611">
        <w:t xml:space="preserve"> </w:t>
      </w:r>
      <w:r w:rsidR="00853611" w:rsidRPr="006B10DB">
        <w:t>celkem</w:t>
      </w:r>
      <w:r w:rsidR="00853611">
        <w:t xml:space="preserve"> </w:t>
      </w:r>
      <w:r w:rsidR="00853611">
        <w:rPr>
          <w:b/>
          <w:bCs/>
        </w:rPr>
        <w:t>35 748 755 105</w:t>
      </w:r>
      <w:r w:rsidR="00853611" w:rsidRPr="000E1E2E">
        <w:rPr>
          <w:b/>
        </w:rPr>
        <w:t xml:space="preserve"> </w:t>
      </w:r>
      <w:r w:rsidR="00853611">
        <w:rPr>
          <w:b/>
        </w:rPr>
        <w:t>Kč</w:t>
      </w:r>
      <w:r w:rsidR="00853611" w:rsidRPr="006B10DB">
        <w:t xml:space="preserve"> a jsou odvozeny od navrženého objemu prostředků na platy</w:t>
      </w:r>
      <w:r w:rsidR="00853611">
        <w:t xml:space="preserve"> a </w:t>
      </w:r>
      <w:r w:rsidR="00853611" w:rsidRPr="00E140C2">
        <w:t>OPPP/OON.</w:t>
      </w:r>
    </w:p>
    <w:p w14:paraId="35EDD8F9" w14:textId="7D5259A5" w:rsidR="00853611" w:rsidRDefault="00853611" w:rsidP="00853611">
      <w:pPr>
        <w:pStyle w:val="Text"/>
      </w:pPr>
      <w:r w:rsidRPr="006B10DB">
        <w:t xml:space="preserve">V  rozpočtu </w:t>
      </w:r>
      <w:r>
        <w:t xml:space="preserve">na rok 2019 je, tak jako v předchozích letech, zapracován nižší </w:t>
      </w:r>
      <w:r w:rsidRPr="00BD5A9F">
        <w:t xml:space="preserve">objem zákonných odvodů do fondů, než by odpovídalo výpočtu z objemu mzdových prostředků, neboť v jejich rámci budou i nadále financovány též </w:t>
      </w:r>
      <w:r w:rsidR="003364A3">
        <w:t>OPPP/OON</w:t>
      </w:r>
      <w:r>
        <w:t>, z nichž se odvádí pojistné</w:t>
      </w:r>
      <w:r w:rsidR="003364A3">
        <w:t xml:space="preserve"> pouze v zákonem definovaných případech</w:t>
      </w:r>
      <w:r>
        <w:t xml:space="preserve">. </w:t>
      </w:r>
    </w:p>
    <w:p w14:paraId="00A98FF1" w14:textId="28D4FCAE" w:rsidR="00853611" w:rsidRPr="00C069EF" w:rsidRDefault="00853611" w:rsidP="00853611">
      <w:pPr>
        <w:pStyle w:val="Text"/>
      </w:pPr>
      <w:r w:rsidRPr="006B10DB">
        <w:t xml:space="preserve">Z tohoto důvodu limit výdajů na zákonné odvody rozpočtuje kapitola MŠMT částkou nižší o </w:t>
      </w:r>
      <w:r>
        <w:t>31 918 340</w:t>
      </w:r>
      <w:r w:rsidRPr="00B92537">
        <w:t xml:space="preserve"> </w:t>
      </w:r>
      <w:r w:rsidRPr="006B10DB">
        <w:t xml:space="preserve">Kč, než by odpovídalo výpočtu z objemu </w:t>
      </w:r>
      <w:r>
        <w:t>platů a </w:t>
      </w:r>
      <w:r w:rsidRPr="00435D18">
        <w:t>OPPP/OON</w:t>
      </w:r>
      <w:r>
        <w:t xml:space="preserve">, </w:t>
      </w:r>
      <w:r w:rsidRPr="006B10DB">
        <w:t xml:space="preserve">v tom </w:t>
      </w:r>
      <w:r w:rsidR="003364A3">
        <w:br/>
      </w:r>
      <w:r w:rsidRPr="006B10DB">
        <w:t xml:space="preserve">o </w:t>
      </w:r>
      <w:r>
        <w:t>7 512 427</w:t>
      </w:r>
      <w:r w:rsidRPr="00B92537">
        <w:t xml:space="preserve"> </w:t>
      </w:r>
      <w:r w:rsidRPr="006B10DB">
        <w:t xml:space="preserve">Kč méně v OSS a o </w:t>
      </w:r>
      <w:r>
        <w:t>24 405 913</w:t>
      </w:r>
      <w:r w:rsidRPr="00B92537">
        <w:t xml:space="preserve"> </w:t>
      </w:r>
      <w:r w:rsidRPr="006B10DB">
        <w:t>Kč méně v</w:t>
      </w:r>
      <w:r>
        <w:t> </w:t>
      </w:r>
      <w:r w:rsidRPr="006B10DB">
        <w:t>PO</w:t>
      </w:r>
      <w:r>
        <w:t>.</w:t>
      </w:r>
    </w:p>
    <w:p w14:paraId="0403CEF8" w14:textId="6EEB0E68" w:rsidR="009A7813" w:rsidRDefault="009A7813">
      <w:pPr>
        <w:jc w:val="left"/>
      </w:pPr>
    </w:p>
    <w:p w14:paraId="2127BF56" w14:textId="77777777" w:rsidR="00853611" w:rsidRPr="002166B2" w:rsidRDefault="00853611" w:rsidP="00853611">
      <w:pPr>
        <w:pStyle w:val="Nadpis2"/>
      </w:pPr>
      <w:bookmarkStart w:id="53" w:name="_Toc5968825"/>
      <w:r w:rsidRPr="002166B2">
        <w:t>Ostatní běžné výdaje</w:t>
      </w:r>
      <w:bookmarkEnd w:id="53"/>
    </w:p>
    <w:p w14:paraId="0CE410E8" w14:textId="77777777" w:rsidR="00853611" w:rsidRPr="002166B2" w:rsidRDefault="00853611" w:rsidP="00853611">
      <w:pPr>
        <w:ind w:left="284" w:firstLine="708"/>
        <w:rPr>
          <w:color w:val="548DD4"/>
        </w:rPr>
      </w:pPr>
    </w:p>
    <w:p w14:paraId="2469537C" w14:textId="77777777" w:rsidR="00853611" w:rsidRPr="002166B2" w:rsidRDefault="00853611" w:rsidP="00853611">
      <w:pPr>
        <w:pStyle w:val="Text"/>
      </w:pPr>
      <w:r>
        <w:rPr>
          <w:b/>
        </w:rPr>
        <w:t>OBV</w:t>
      </w:r>
      <w:r w:rsidR="00F809EC">
        <w:rPr>
          <w:b/>
        </w:rPr>
        <w:t xml:space="preserve"> </w:t>
      </w:r>
      <w:r w:rsidRPr="002166B2">
        <w:t xml:space="preserve">se člení na </w:t>
      </w:r>
      <w:r>
        <w:t>OBV</w:t>
      </w:r>
      <w:r w:rsidRPr="002166B2">
        <w:t xml:space="preserve"> mimo EDS/SMVS a </w:t>
      </w:r>
      <w:r>
        <w:t>OBV</w:t>
      </w:r>
      <w:r w:rsidRPr="002166B2">
        <w:t xml:space="preserve"> v rámci EDS/SMVS. V rozpočtu jsou zapracovány celkem </w:t>
      </w:r>
    </w:p>
    <w:p w14:paraId="77B48AE8" w14:textId="77777777" w:rsidR="00853611" w:rsidRPr="002166B2" w:rsidRDefault="00853611" w:rsidP="005049F7">
      <w:pPr>
        <w:tabs>
          <w:tab w:val="right" w:leader="dot" w:pos="8931"/>
        </w:tabs>
        <w:rPr>
          <w:b/>
        </w:rPr>
      </w:pPr>
      <w:r w:rsidRPr="002166B2">
        <w:rPr>
          <w:b/>
        </w:rPr>
        <w:t xml:space="preserve">ve výši </w:t>
      </w:r>
      <w:r w:rsidRPr="002166B2">
        <w:rPr>
          <w:b/>
        </w:rPr>
        <w:tab/>
      </w:r>
      <w:r w:rsidRPr="007F17A1">
        <w:rPr>
          <w:b/>
          <w:bCs/>
          <w:szCs w:val="24"/>
        </w:rPr>
        <w:t xml:space="preserve">60 818 750 260 </w:t>
      </w:r>
      <w:r w:rsidRPr="007F17A1">
        <w:rPr>
          <w:b/>
        </w:rPr>
        <w:t>Kč</w:t>
      </w:r>
    </w:p>
    <w:p w14:paraId="6441DA15" w14:textId="77777777" w:rsidR="00853611" w:rsidRPr="002166B2" w:rsidRDefault="00853611" w:rsidP="00853611">
      <w:pPr>
        <w:ind w:left="284" w:firstLine="567"/>
        <w:rPr>
          <w:i/>
          <w:sz w:val="12"/>
          <w:szCs w:val="12"/>
        </w:rPr>
      </w:pPr>
    </w:p>
    <w:p w14:paraId="4D583A29" w14:textId="77777777" w:rsidR="00853611" w:rsidRDefault="00853611" w:rsidP="00853611">
      <w:pPr>
        <w:ind w:left="284" w:hanging="142"/>
      </w:pPr>
      <w:r w:rsidRPr="002166B2">
        <w:t xml:space="preserve">v tom (v Kč): </w:t>
      </w:r>
    </w:p>
    <w:p w14:paraId="4CBC0B43" w14:textId="77777777" w:rsidR="00853611" w:rsidRDefault="00853611" w:rsidP="00853611">
      <w:pPr>
        <w:ind w:left="284" w:hanging="142"/>
      </w:pPr>
    </w:p>
    <w:p w14:paraId="6508F768" w14:textId="77777777" w:rsidR="00853611" w:rsidRDefault="00853611" w:rsidP="00853611">
      <w:pPr>
        <w:pStyle w:val="Titulek"/>
        <w:keepNext/>
      </w:pPr>
      <w:bookmarkStart w:id="54" w:name="_Toc5965621"/>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B</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w:t>
      </w:r>
      <w:r w:rsidR="005F53B0">
        <w:rPr>
          <w:noProof/>
        </w:rPr>
        <w:fldChar w:fldCharType="end"/>
      </w:r>
      <w:r>
        <w:t xml:space="preserve">: </w:t>
      </w:r>
      <w:r w:rsidRPr="002166B2">
        <w:t>Členění OBV dle ukazatelů</w:t>
      </w:r>
      <w:bookmarkEnd w:id="54"/>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1842"/>
      </w:tblGrid>
      <w:tr w:rsidR="00853611" w:rsidRPr="00BE4053" w14:paraId="223C323F" w14:textId="77777777" w:rsidTr="008678CF">
        <w:tc>
          <w:tcPr>
            <w:tcW w:w="7088" w:type="dxa"/>
            <w:shd w:val="clear" w:color="auto" w:fill="auto"/>
          </w:tcPr>
          <w:p w14:paraId="24084A78" w14:textId="77777777" w:rsidR="00853611" w:rsidRPr="007F17A1" w:rsidRDefault="00853611" w:rsidP="008678CF">
            <w:pPr>
              <w:ind w:left="-108"/>
              <w:rPr>
                <w:b/>
              </w:rPr>
            </w:pPr>
            <w:r w:rsidRPr="007F17A1">
              <w:rPr>
                <w:b/>
              </w:rPr>
              <w:t>OBV na programové financování</w:t>
            </w:r>
          </w:p>
        </w:tc>
        <w:tc>
          <w:tcPr>
            <w:tcW w:w="1842" w:type="dxa"/>
            <w:shd w:val="clear" w:color="auto" w:fill="auto"/>
          </w:tcPr>
          <w:p w14:paraId="6D1D9078" w14:textId="77777777" w:rsidR="00853611" w:rsidRPr="007F17A1" w:rsidRDefault="00853611" w:rsidP="008678CF">
            <w:pPr>
              <w:jc w:val="right"/>
              <w:rPr>
                <w:b/>
              </w:rPr>
            </w:pPr>
            <w:r w:rsidRPr="007F17A1">
              <w:rPr>
                <w:b/>
                <w:bCs/>
                <w:szCs w:val="24"/>
              </w:rPr>
              <w:t>539 466 488</w:t>
            </w:r>
          </w:p>
        </w:tc>
      </w:tr>
      <w:tr w:rsidR="00853611" w:rsidRPr="00BE4053" w14:paraId="1D9C1560" w14:textId="77777777" w:rsidTr="008678CF">
        <w:tc>
          <w:tcPr>
            <w:tcW w:w="7088" w:type="dxa"/>
            <w:shd w:val="clear" w:color="auto" w:fill="auto"/>
          </w:tcPr>
          <w:p w14:paraId="7A606F07" w14:textId="77777777" w:rsidR="00853611" w:rsidRPr="007F17A1" w:rsidRDefault="00853611" w:rsidP="008678CF">
            <w:pPr>
              <w:ind w:left="176"/>
            </w:pPr>
            <w:r w:rsidRPr="007F17A1">
              <w:t>v tom:</w:t>
            </w:r>
          </w:p>
        </w:tc>
        <w:tc>
          <w:tcPr>
            <w:tcW w:w="1842" w:type="dxa"/>
            <w:shd w:val="clear" w:color="auto" w:fill="auto"/>
          </w:tcPr>
          <w:p w14:paraId="60905F12" w14:textId="77777777" w:rsidR="00853611" w:rsidRPr="007F17A1" w:rsidRDefault="00853611" w:rsidP="008678CF">
            <w:pPr>
              <w:jc w:val="right"/>
              <w:rPr>
                <w:i/>
              </w:rPr>
            </w:pPr>
          </w:p>
        </w:tc>
      </w:tr>
      <w:tr w:rsidR="00853611" w:rsidRPr="00BE4053" w14:paraId="170960B8" w14:textId="77777777" w:rsidTr="008678CF">
        <w:tc>
          <w:tcPr>
            <w:tcW w:w="7088" w:type="dxa"/>
            <w:shd w:val="clear" w:color="auto" w:fill="auto"/>
          </w:tcPr>
          <w:p w14:paraId="07ECC391" w14:textId="77777777" w:rsidR="00853611" w:rsidRPr="007F17A1" w:rsidRDefault="00853611" w:rsidP="008678CF">
            <w:pPr>
              <w:ind w:left="176"/>
              <w:rPr>
                <w:b/>
              </w:rPr>
            </w:pPr>
            <w:r w:rsidRPr="007F17A1">
              <w:t xml:space="preserve">   VŠ</w:t>
            </w:r>
          </w:p>
        </w:tc>
        <w:tc>
          <w:tcPr>
            <w:tcW w:w="1842" w:type="dxa"/>
            <w:shd w:val="clear" w:color="auto" w:fill="auto"/>
          </w:tcPr>
          <w:p w14:paraId="2117544A" w14:textId="77777777" w:rsidR="00853611" w:rsidRPr="007F17A1" w:rsidRDefault="00853611" w:rsidP="008678CF">
            <w:pPr>
              <w:jc w:val="right"/>
              <w:rPr>
                <w:b/>
              </w:rPr>
            </w:pPr>
            <w:r w:rsidRPr="007F17A1">
              <w:t>64 276 749</w:t>
            </w:r>
          </w:p>
        </w:tc>
      </w:tr>
      <w:tr w:rsidR="00853611" w:rsidRPr="00BE4053" w14:paraId="1C706514" w14:textId="77777777" w:rsidTr="008678CF">
        <w:tc>
          <w:tcPr>
            <w:tcW w:w="7088" w:type="dxa"/>
            <w:shd w:val="clear" w:color="auto" w:fill="auto"/>
          </w:tcPr>
          <w:p w14:paraId="5DD03168" w14:textId="77777777" w:rsidR="00853611" w:rsidRPr="007F17A1" w:rsidRDefault="00853611" w:rsidP="008678CF">
            <w:pPr>
              <w:ind w:left="176"/>
              <w:rPr>
                <w:b/>
              </w:rPr>
            </w:pPr>
            <w:r w:rsidRPr="007F17A1">
              <w:t xml:space="preserve">   RgŠ a PŘO</w:t>
            </w:r>
          </w:p>
        </w:tc>
        <w:tc>
          <w:tcPr>
            <w:tcW w:w="1842" w:type="dxa"/>
            <w:shd w:val="clear" w:color="auto" w:fill="auto"/>
          </w:tcPr>
          <w:p w14:paraId="17045653" w14:textId="77777777" w:rsidR="00853611" w:rsidRPr="007F17A1" w:rsidRDefault="00853611" w:rsidP="008678CF">
            <w:pPr>
              <w:jc w:val="right"/>
              <w:rPr>
                <w:b/>
              </w:rPr>
            </w:pPr>
            <w:r w:rsidRPr="007F17A1">
              <w:t>59 003</w:t>
            </w:r>
          </w:p>
        </w:tc>
      </w:tr>
      <w:tr w:rsidR="00853611" w:rsidRPr="00BE4053" w14:paraId="4C0E5512" w14:textId="77777777" w:rsidTr="008678CF">
        <w:tc>
          <w:tcPr>
            <w:tcW w:w="7088" w:type="dxa"/>
            <w:shd w:val="clear" w:color="auto" w:fill="auto"/>
          </w:tcPr>
          <w:p w14:paraId="1EE26937" w14:textId="77777777" w:rsidR="00853611" w:rsidRPr="007F17A1" w:rsidRDefault="00853611" w:rsidP="008678CF">
            <w:pPr>
              <w:ind w:left="176"/>
              <w:rPr>
                <w:b/>
              </w:rPr>
            </w:pPr>
            <w:r w:rsidRPr="007F17A1">
              <w:t xml:space="preserve">   Spolufinancované programy s EU</w:t>
            </w:r>
          </w:p>
        </w:tc>
        <w:tc>
          <w:tcPr>
            <w:tcW w:w="1842" w:type="dxa"/>
            <w:shd w:val="clear" w:color="auto" w:fill="auto"/>
          </w:tcPr>
          <w:p w14:paraId="6EEB1840" w14:textId="77777777" w:rsidR="00853611" w:rsidRPr="007F17A1" w:rsidRDefault="00853611" w:rsidP="008678CF">
            <w:pPr>
              <w:jc w:val="right"/>
              <w:rPr>
                <w:b/>
              </w:rPr>
            </w:pPr>
            <w:r w:rsidRPr="007F17A1">
              <w:t>472 589 866</w:t>
            </w:r>
          </w:p>
        </w:tc>
      </w:tr>
      <w:tr w:rsidR="00853611" w:rsidRPr="00BE4053" w14:paraId="410BBBDB" w14:textId="77777777" w:rsidTr="008678CF">
        <w:tc>
          <w:tcPr>
            <w:tcW w:w="7088" w:type="dxa"/>
            <w:shd w:val="clear" w:color="auto" w:fill="auto"/>
          </w:tcPr>
          <w:p w14:paraId="5CE27D43" w14:textId="77777777" w:rsidR="00853611" w:rsidRPr="007F17A1" w:rsidRDefault="00853611" w:rsidP="008678CF">
            <w:pPr>
              <w:ind w:left="176"/>
              <w:rPr>
                <w:b/>
              </w:rPr>
            </w:pPr>
            <w:r w:rsidRPr="007F17A1">
              <w:t xml:space="preserve">   </w:t>
            </w:r>
            <w:r>
              <w:t>Ostatní výdaje na zabezpečení úkolů resortu</w:t>
            </w:r>
          </w:p>
        </w:tc>
        <w:tc>
          <w:tcPr>
            <w:tcW w:w="1842" w:type="dxa"/>
            <w:shd w:val="clear" w:color="auto" w:fill="auto"/>
          </w:tcPr>
          <w:p w14:paraId="77EC587D" w14:textId="77777777" w:rsidR="00853611" w:rsidRPr="00DE0E3C" w:rsidRDefault="00853611" w:rsidP="008678CF">
            <w:pPr>
              <w:jc w:val="right"/>
              <w:rPr>
                <w:bCs/>
                <w:szCs w:val="24"/>
                <w:highlight w:val="yellow"/>
              </w:rPr>
            </w:pPr>
            <w:r w:rsidRPr="00DE0E3C">
              <w:rPr>
                <w:bCs/>
                <w:szCs w:val="24"/>
              </w:rPr>
              <w:t>2 540 870</w:t>
            </w:r>
          </w:p>
        </w:tc>
      </w:tr>
      <w:tr w:rsidR="00853611" w:rsidRPr="00BE4053" w14:paraId="7F3245DC" w14:textId="77777777" w:rsidTr="008678CF">
        <w:tc>
          <w:tcPr>
            <w:tcW w:w="7088" w:type="dxa"/>
            <w:shd w:val="clear" w:color="auto" w:fill="auto"/>
          </w:tcPr>
          <w:p w14:paraId="7A32918E" w14:textId="77777777" w:rsidR="00853611" w:rsidRPr="00B04617" w:rsidRDefault="00853611" w:rsidP="008678CF">
            <w:pPr>
              <w:ind w:left="-108"/>
              <w:rPr>
                <w:b/>
              </w:rPr>
            </w:pPr>
            <w:r w:rsidRPr="00B04617">
              <w:rPr>
                <w:b/>
              </w:rPr>
              <w:t>OBV mimo programové financování</w:t>
            </w:r>
          </w:p>
        </w:tc>
        <w:tc>
          <w:tcPr>
            <w:tcW w:w="1842" w:type="dxa"/>
            <w:shd w:val="clear" w:color="auto" w:fill="auto"/>
          </w:tcPr>
          <w:p w14:paraId="0106DBFE" w14:textId="77777777" w:rsidR="00853611" w:rsidRPr="00B04617" w:rsidRDefault="00853611" w:rsidP="008678CF">
            <w:pPr>
              <w:jc w:val="right"/>
              <w:rPr>
                <w:b/>
              </w:rPr>
            </w:pPr>
            <w:r w:rsidRPr="00B04617">
              <w:rPr>
                <w:b/>
                <w:bCs/>
                <w:szCs w:val="24"/>
              </w:rPr>
              <w:t>60 279 283 772</w:t>
            </w:r>
          </w:p>
        </w:tc>
      </w:tr>
      <w:tr w:rsidR="00853611" w:rsidRPr="00BE4053" w14:paraId="2183A28F" w14:textId="77777777" w:rsidTr="008678CF">
        <w:tc>
          <w:tcPr>
            <w:tcW w:w="7088" w:type="dxa"/>
            <w:shd w:val="clear" w:color="auto" w:fill="auto"/>
          </w:tcPr>
          <w:p w14:paraId="46AEF7AB" w14:textId="77777777" w:rsidR="00853611" w:rsidRPr="00B04617" w:rsidRDefault="00853611" w:rsidP="008678CF">
            <w:pPr>
              <w:ind w:left="176"/>
            </w:pPr>
            <w:r w:rsidRPr="00B04617">
              <w:t>v tom:</w:t>
            </w:r>
          </w:p>
        </w:tc>
        <w:tc>
          <w:tcPr>
            <w:tcW w:w="1842" w:type="dxa"/>
            <w:shd w:val="clear" w:color="auto" w:fill="auto"/>
          </w:tcPr>
          <w:p w14:paraId="41602BF8" w14:textId="77777777" w:rsidR="00853611" w:rsidRPr="00B04617" w:rsidRDefault="00853611" w:rsidP="008678CF">
            <w:pPr>
              <w:jc w:val="right"/>
              <w:rPr>
                <w:i/>
              </w:rPr>
            </w:pPr>
          </w:p>
        </w:tc>
      </w:tr>
      <w:tr w:rsidR="00853611" w:rsidRPr="00BE4053" w14:paraId="43899141" w14:textId="77777777" w:rsidTr="008678CF">
        <w:tc>
          <w:tcPr>
            <w:tcW w:w="7088" w:type="dxa"/>
          </w:tcPr>
          <w:p w14:paraId="52001D24" w14:textId="77777777" w:rsidR="00853611" w:rsidRPr="00B04617" w:rsidRDefault="00853611" w:rsidP="008678CF">
            <w:pPr>
              <w:ind w:left="176"/>
              <w:rPr>
                <w:b/>
              </w:rPr>
            </w:pPr>
            <w:r w:rsidRPr="00B04617">
              <w:t xml:space="preserve">   VŠ</w:t>
            </w:r>
          </w:p>
        </w:tc>
        <w:tc>
          <w:tcPr>
            <w:tcW w:w="1842" w:type="dxa"/>
          </w:tcPr>
          <w:p w14:paraId="696ADC12" w14:textId="77777777" w:rsidR="00853611" w:rsidRPr="00B04617" w:rsidRDefault="00853611" w:rsidP="008678CF">
            <w:pPr>
              <w:jc w:val="right"/>
              <w:rPr>
                <w:b/>
              </w:rPr>
            </w:pPr>
            <w:r w:rsidRPr="00B04617">
              <w:t>23 732 682 232</w:t>
            </w:r>
          </w:p>
        </w:tc>
      </w:tr>
      <w:tr w:rsidR="00853611" w:rsidRPr="00BE4053" w14:paraId="18D360D1" w14:textId="77777777" w:rsidTr="008678CF">
        <w:tc>
          <w:tcPr>
            <w:tcW w:w="7088" w:type="dxa"/>
          </w:tcPr>
          <w:p w14:paraId="0F9647FA" w14:textId="77777777" w:rsidR="00853611" w:rsidRPr="00B04617" w:rsidRDefault="00853611" w:rsidP="008678CF">
            <w:pPr>
              <w:ind w:left="176"/>
              <w:rPr>
                <w:b/>
              </w:rPr>
            </w:pPr>
            <w:r w:rsidRPr="00B04617">
              <w:t xml:space="preserve">   VVI (včetně spolufinancovaných programů)</w:t>
            </w:r>
          </w:p>
        </w:tc>
        <w:tc>
          <w:tcPr>
            <w:tcW w:w="1842" w:type="dxa"/>
          </w:tcPr>
          <w:p w14:paraId="135401BD" w14:textId="77777777" w:rsidR="00853611" w:rsidRPr="00B04617" w:rsidRDefault="00853611" w:rsidP="008678CF">
            <w:pPr>
              <w:jc w:val="right"/>
              <w:rPr>
                <w:b/>
              </w:rPr>
            </w:pPr>
            <w:r w:rsidRPr="00B04617">
              <w:t>16 992 302 703</w:t>
            </w:r>
          </w:p>
        </w:tc>
      </w:tr>
      <w:tr w:rsidR="00853611" w:rsidRPr="00BE4053" w14:paraId="6B5CCCFF" w14:textId="77777777" w:rsidTr="008678CF">
        <w:tc>
          <w:tcPr>
            <w:tcW w:w="7088" w:type="dxa"/>
            <w:shd w:val="clear" w:color="auto" w:fill="auto"/>
          </w:tcPr>
          <w:p w14:paraId="0035EB66" w14:textId="77777777" w:rsidR="00853611" w:rsidRPr="00B04617" w:rsidRDefault="00853611" w:rsidP="008678CF">
            <w:pPr>
              <w:ind w:left="601" w:hanging="601"/>
              <w:rPr>
                <w:b/>
              </w:rPr>
            </w:pPr>
            <w:r w:rsidRPr="00B04617">
              <w:t xml:space="preserve">      RgŠ  a PŘO včetně dotací soukromým a církevním školám</w:t>
            </w:r>
          </w:p>
        </w:tc>
        <w:tc>
          <w:tcPr>
            <w:tcW w:w="1842" w:type="dxa"/>
            <w:shd w:val="clear" w:color="auto" w:fill="auto"/>
            <w:vAlign w:val="center"/>
          </w:tcPr>
          <w:p w14:paraId="2F9467BF" w14:textId="77777777" w:rsidR="00853611" w:rsidRPr="00B04617" w:rsidRDefault="00853611" w:rsidP="008678CF">
            <w:pPr>
              <w:jc w:val="right"/>
              <w:rPr>
                <w:b/>
              </w:rPr>
            </w:pPr>
            <w:r w:rsidRPr="00B04617">
              <w:t>10 002 426 606</w:t>
            </w:r>
          </w:p>
        </w:tc>
      </w:tr>
      <w:tr w:rsidR="00853611" w:rsidRPr="00BE4053" w14:paraId="0B7F4CE3" w14:textId="77777777" w:rsidTr="008678CF">
        <w:tc>
          <w:tcPr>
            <w:tcW w:w="7088" w:type="dxa"/>
          </w:tcPr>
          <w:p w14:paraId="62314D38" w14:textId="5B45FFC8" w:rsidR="00853611" w:rsidRPr="00B04617" w:rsidRDefault="00853611" w:rsidP="007958C6">
            <w:pPr>
              <w:ind w:left="176"/>
              <w:rPr>
                <w:b/>
              </w:rPr>
            </w:pPr>
            <w:r w:rsidRPr="00B04617">
              <w:t xml:space="preserve">   dotace </w:t>
            </w:r>
            <w:r w:rsidR="007958C6">
              <w:t>v oblasti</w:t>
            </w:r>
            <w:r w:rsidR="007958C6" w:rsidRPr="00B04617">
              <w:t xml:space="preserve"> </w:t>
            </w:r>
            <w:r w:rsidRPr="00B04617">
              <w:t>mládež</w:t>
            </w:r>
            <w:r w:rsidR="007958C6">
              <w:t>e</w:t>
            </w:r>
          </w:p>
        </w:tc>
        <w:tc>
          <w:tcPr>
            <w:tcW w:w="1842" w:type="dxa"/>
          </w:tcPr>
          <w:p w14:paraId="186C3D7B" w14:textId="77777777" w:rsidR="00853611" w:rsidRPr="00B04617" w:rsidRDefault="00853611" w:rsidP="008678CF">
            <w:pPr>
              <w:jc w:val="right"/>
            </w:pPr>
            <w:r w:rsidRPr="00B04617">
              <w:t>240 601 838</w:t>
            </w:r>
          </w:p>
        </w:tc>
      </w:tr>
      <w:tr w:rsidR="00853611" w:rsidRPr="00BE4053" w14:paraId="2D07F011" w14:textId="77777777" w:rsidTr="008678CF">
        <w:tc>
          <w:tcPr>
            <w:tcW w:w="7088" w:type="dxa"/>
            <w:shd w:val="clear" w:color="auto" w:fill="auto"/>
          </w:tcPr>
          <w:p w14:paraId="2DB55298" w14:textId="27728AC7" w:rsidR="00853611" w:rsidRPr="00B04617" w:rsidRDefault="00853611" w:rsidP="007958C6">
            <w:pPr>
              <w:ind w:left="176"/>
              <w:rPr>
                <w:b/>
              </w:rPr>
            </w:pPr>
            <w:r w:rsidRPr="00B04617">
              <w:t xml:space="preserve">   dotace </w:t>
            </w:r>
            <w:r w:rsidR="007958C6">
              <w:t>v oblasti</w:t>
            </w:r>
            <w:r w:rsidR="007958C6" w:rsidRPr="00B04617">
              <w:t xml:space="preserve"> </w:t>
            </w:r>
            <w:r>
              <w:t>sport</w:t>
            </w:r>
            <w:r w:rsidR="007958C6">
              <w:t>u</w:t>
            </w:r>
          </w:p>
        </w:tc>
        <w:tc>
          <w:tcPr>
            <w:tcW w:w="1842" w:type="dxa"/>
            <w:shd w:val="clear" w:color="auto" w:fill="auto"/>
          </w:tcPr>
          <w:p w14:paraId="202E588E" w14:textId="77777777" w:rsidR="00853611" w:rsidRPr="00B04617" w:rsidRDefault="00853611" w:rsidP="008678CF">
            <w:pPr>
              <w:jc w:val="right"/>
            </w:pPr>
            <w:r>
              <w:t>4 901 318 000</w:t>
            </w:r>
          </w:p>
        </w:tc>
      </w:tr>
      <w:tr w:rsidR="00853611" w:rsidRPr="00BE4053" w14:paraId="7F7CF2CC" w14:textId="77777777" w:rsidTr="008678CF">
        <w:tc>
          <w:tcPr>
            <w:tcW w:w="7088" w:type="dxa"/>
            <w:shd w:val="clear" w:color="auto" w:fill="auto"/>
          </w:tcPr>
          <w:p w14:paraId="249183A9" w14:textId="77777777" w:rsidR="00853611" w:rsidRPr="00B04617" w:rsidRDefault="00853611" w:rsidP="008678CF">
            <w:pPr>
              <w:ind w:left="176"/>
              <w:rPr>
                <w:b/>
              </w:rPr>
            </w:pPr>
            <w:r w:rsidRPr="00B04617">
              <w:t xml:space="preserve">   spolufinancované projekty s EU a EHP/Norsko mimo VVI</w:t>
            </w:r>
          </w:p>
        </w:tc>
        <w:tc>
          <w:tcPr>
            <w:tcW w:w="1842" w:type="dxa"/>
            <w:shd w:val="clear" w:color="auto" w:fill="auto"/>
          </w:tcPr>
          <w:p w14:paraId="7D74A8CE" w14:textId="77777777" w:rsidR="00853611" w:rsidRPr="00B04617" w:rsidRDefault="00853611" w:rsidP="008678CF">
            <w:pPr>
              <w:jc w:val="right"/>
            </w:pPr>
            <w:r w:rsidRPr="00B04617">
              <w:t>3 537 418 752</w:t>
            </w:r>
          </w:p>
        </w:tc>
      </w:tr>
      <w:tr w:rsidR="00853611" w:rsidRPr="00BE4053" w14:paraId="532B9E93" w14:textId="77777777" w:rsidTr="008678CF">
        <w:tc>
          <w:tcPr>
            <w:tcW w:w="7088" w:type="dxa"/>
            <w:shd w:val="clear" w:color="auto" w:fill="auto"/>
          </w:tcPr>
          <w:p w14:paraId="777B87FF" w14:textId="77777777" w:rsidR="00853611" w:rsidRPr="00B04617" w:rsidRDefault="00853611" w:rsidP="008678CF">
            <w:pPr>
              <w:ind w:left="176"/>
              <w:rPr>
                <w:b/>
              </w:rPr>
            </w:pPr>
            <w:r w:rsidRPr="00B04617">
              <w:t xml:space="preserve">   státní správa</w:t>
            </w:r>
          </w:p>
        </w:tc>
        <w:tc>
          <w:tcPr>
            <w:tcW w:w="1842" w:type="dxa"/>
            <w:shd w:val="clear" w:color="auto" w:fill="auto"/>
          </w:tcPr>
          <w:p w14:paraId="591D46A2" w14:textId="77777777" w:rsidR="00853611" w:rsidRPr="00B04617" w:rsidRDefault="00853611" w:rsidP="008678CF">
            <w:pPr>
              <w:jc w:val="right"/>
              <w:rPr>
                <w:b/>
              </w:rPr>
            </w:pPr>
            <w:r w:rsidRPr="00B04617">
              <w:t>160 194 473</w:t>
            </w:r>
          </w:p>
        </w:tc>
      </w:tr>
      <w:tr w:rsidR="00853611" w:rsidRPr="00BE4053" w14:paraId="2096B80C" w14:textId="77777777" w:rsidTr="008678CF">
        <w:tc>
          <w:tcPr>
            <w:tcW w:w="7088" w:type="dxa"/>
            <w:shd w:val="clear" w:color="auto" w:fill="auto"/>
          </w:tcPr>
          <w:p w14:paraId="4B6F528E" w14:textId="7042B614" w:rsidR="00853611" w:rsidRPr="00B04617" w:rsidRDefault="00853611" w:rsidP="007958C6">
            <w:pPr>
              <w:ind w:left="317" w:hanging="141"/>
              <w:rPr>
                <w:b/>
              </w:rPr>
            </w:pPr>
            <w:r w:rsidRPr="00B04617">
              <w:t xml:space="preserve">   OPŘO, aj. </w:t>
            </w:r>
          </w:p>
        </w:tc>
        <w:tc>
          <w:tcPr>
            <w:tcW w:w="1842" w:type="dxa"/>
            <w:shd w:val="clear" w:color="auto" w:fill="auto"/>
          </w:tcPr>
          <w:p w14:paraId="08BEF3AC" w14:textId="77777777" w:rsidR="00853611" w:rsidRPr="00B04617" w:rsidRDefault="00853611" w:rsidP="008678CF">
            <w:pPr>
              <w:jc w:val="right"/>
              <w:rPr>
                <w:b/>
              </w:rPr>
            </w:pPr>
            <w:r w:rsidRPr="00B04617">
              <w:t>541 583 168</w:t>
            </w:r>
          </w:p>
        </w:tc>
      </w:tr>
      <w:tr w:rsidR="00853611" w:rsidRPr="00BE4053" w14:paraId="7806B49F" w14:textId="77777777" w:rsidTr="008678CF">
        <w:tc>
          <w:tcPr>
            <w:tcW w:w="7088" w:type="dxa"/>
            <w:shd w:val="clear" w:color="auto" w:fill="auto"/>
          </w:tcPr>
          <w:p w14:paraId="511F5E6E" w14:textId="77777777" w:rsidR="00853611" w:rsidRPr="00B04617" w:rsidRDefault="00853611" w:rsidP="008678CF">
            <w:pPr>
              <w:ind w:left="317" w:hanging="141"/>
              <w:rPr>
                <w:b/>
              </w:rPr>
            </w:pPr>
            <w:r w:rsidRPr="00B04617">
              <w:t xml:space="preserve">   ostatní programy (drogy, kriminalita, menšiny, romské programy, krizové řízení)</w:t>
            </w:r>
          </w:p>
        </w:tc>
        <w:tc>
          <w:tcPr>
            <w:tcW w:w="1842" w:type="dxa"/>
            <w:shd w:val="clear" w:color="auto" w:fill="auto"/>
          </w:tcPr>
          <w:p w14:paraId="3B767309" w14:textId="77777777" w:rsidR="00853611" w:rsidRDefault="00853611" w:rsidP="008678CF">
            <w:pPr>
              <w:jc w:val="right"/>
            </w:pPr>
          </w:p>
          <w:p w14:paraId="4A27E846" w14:textId="77777777" w:rsidR="00853611" w:rsidRPr="00B04617" w:rsidRDefault="00853611" w:rsidP="00753074">
            <w:pPr>
              <w:jc w:val="right"/>
            </w:pPr>
            <w:r w:rsidRPr="00B04617">
              <w:t>45 </w:t>
            </w:r>
            <w:r w:rsidR="00753074">
              <w:t>256</w:t>
            </w:r>
            <w:r w:rsidRPr="00B04617">
              <w:t xml:space="preserve"> 000</w:t>
            </w:r>
          </w:p>
        </w:tc>
      </w:tr>
      <w:tr w:rsidR="00853611" w:rsidRPr="00BE4053" w14:paraId="0893699C" w14:textId="77777777" w:rsidTr="008678CF">
        <w:tc>
          <w:tcPr>
            <w:tcW w:w="7088" w:type="dxa"/>
          </w:tcPr>
          <w:p w14:paraId="344C26E2" w14:textId="77777777" w:rsidR="00853611" w:rsidRPr="00B04617" w:rsidRDefault="00853611" w:rsidP="008678CF">
            <w:pPr>
              <w:ind w:left="176"/>
            </w:pPr>
            <w:r w:rsidRPr="00B04617">
              <w:t xml:space="preserve">   zahraniční rozvojová spolupráce</w:t>
            </w:r>
          </w:p>
        </w:tc>
        <w:tc>
          <w:tcPr>
            <w:tcW w:w="1842" w:type="dxa"/>
          </w:tcPr>
          <w:p w14:paraId="687C6DF6" w14:textId="77777777" w:rsidR="00853611" w:rsidRPr="00B04617" w:rsidRDefault="00853611" w:rsidP="008678CF">
            <w:pPr>
              <w:jc w:val="right"/>
            </w:pPr>
            <w:r w:rsidRPr="00B04617">
              <w:t>125 500 000</w:t>
            </w:r>
          </w:p>
        </w:tc>
      </w:tr>
    </w:tbl>
    <w:p w14:paraId="1A474716" w14:textId="77777777" w:rsidR="00853611" w:rsidRPr="006E31B7" w:rsidRDefault="00853611" w:rsidP="00853611">
      <w:pPr>
        <w:pStyle w:val="Text"/>
        <w:rPr>
          <w:highlight w:val="yellow"/>
        </w:rPr>
      </w:pPr>
    </w:p>
    <w:p w14:paraId="3B7EE06C" w14:textId="77777777" w:rsidR="00853611" w:rsidRDefault="00853611" w:rsidP="00853611">
      <w:pPr>
        <w:pStyle w:val="Text"/>
      </w:pPr>
      <w:r w:rsidRPr="00C33B99">
        <w:lastRenderedPageBreak/>
        <w:t xml:space="preserve">Proti srovnatelné základně jsou OBV v r. 2019 </w:t>
      </w:r>
      <w:r>
        <w:rPr>
          <w:b/>
        </w:rPr>
        <w:t>vyšší o 3 300 857 </w:t>
      </w:r>
      <w:r w:rsidRPr="00C33B99">
        <w:rPr>
          <w:b/>
        </w:rPr>
        <w:t xml:space="preserve">465 Kč, tj. o 6,43 % </w:t>
      </w:r>
      <w:r w:rsidRPr="00C33B99">
        <w:t>(</w:t>
      </w:r>
      <w:r w:rsidRPr="00C33B99">
        <w:rPr>
          <w:i/>
        </w:rPr>
        <w:t xml:space="preserve">z toho OBV na programové financování jsou nižší o 24 240 758 Kč). </w:t>
      </w:r>
      <w:r w:rsidRPr="00C33B99">
        <w:t xml:space="preserve">Ke zvýšení dochází zejména na VŠ, v RgŠ, sportu a VVI. </w:t>
      </w:r>
    </w:p>
    <w:p w14:paraId="0D746960" w14:textId="77777777" w:rsidR="00853611" w:rsidRDefault="00853611" w:rsidP="00853611">
      <w:pPr>
        <w:pStyle w:val="Text"/>
      </w:pPr>
      <w:r w:rsidRPr="00B04617">
        <w:t>Tak jako v minulých letech jsou součástí celkové dotace na běžné výdaje VŠ, dotace soukromým a církevním školám, a veřejným výzkumným institucím i objemy mzdových prostředků a související zákonné odvody pro zaměstnance odměňované mzdou podle ustanovení § 109 odst. 2 zákona č. 262/2006 Sb.</w:t>
      </w:r>
      <w:r w:rsidRPr="00AF141F">
        <w:t xml:space="preserve"> </w:t>
      </w:r>
    </w:p>
    <w:p w14:paraId="45FB4F0F" w14:textId="77777777" w:rsidR="00191ED1" w:rsidRPr="00853611" w:rsidRDefault="00191ED1">
      <w:pPr>
        <w:jc w:val="left"/>
        <w:rPr>
          <w:b/>
          <w:sz w:val="32"/>
          <w:szCs w:val="32"/>
          <w:highlight w:val="yellow"/>
          <w:lang w:eastAsia="en-US"/>
        </w:rPr>
      </w:pPr>
      <w:r w:rsidRPr="00853611">
        <w:rPr>
          <w:highlight w:val="yellow"/>
        </w:rPr>
        <w:br w:type="page"/>
      </w:r>
    </w:p>
    <w:p w14:paraId="5514BB5A" w14:textId="77777777" w:rsidR="006E18E0" w:rsidRPr="00056351" w:rsidRDefault="006E18E0" w:rsidP="006E18E0">
      <w:pPr>
        <w:pStyle w:val="Nadpis1"/>
      </w:pPr>
      <w:bookmarkStart w:id="55" w:name="_Toc5968826"/>
      <w:r w:rsidRPr="00056351">
        <w:lastRenderedPageBreak/>
        <w:t>Běžné a kapitálové výdaje podle jednotlivých výdajových bloků</w:t>
      </w:r>
      <w:bookmarkEnd w:id="55"/>
    </w:p>
    <w:p w14:paraId="176461C9" w14:textId="77777777" w:rsidR="00C069EF" w:rsidRPr="00853611" w:rsidRDefault="00C069EF" w:rsidP="00DA5A48">
      <w:pPr>
        <w:pStyle w:val="Text"/>
        <w:rPr>
          <w:highlight w:val="yellow"/>
        </w:rPr>
      </w:pPr>
      <w:bookmarkStart w:id="56" w:name="_Toc116111517"/>
      <w:bookmarkStart w:id="57" w:name="_Toc146689788"/>
    </w:p>
    <w:p w14:paraId="010819B1" w14:textId="77777777" w:rsidR="008678CF" w:rsidRPr="00EB44A9" w:rsidRDefault="008678CF" w:rsidP="00056351">
      <w:pPr>
        <w:pStyle w:val="Nadpis2"/>
      </w:pPr>
      <w:bookmarkStart w:id="58" w:name="_Toc5968827"/>
      <w:bookmarkStart w:id="59" w:name="_Toc211387759"/>
      <w:r w:rsidRPr="00C4053A">
        <w:t>Věda a vysoké školy</w:t>
      </w:r>
      <w:bookmarkStart w:id="60" w:name="_Toc178579778"/>
      <w:bookmarkEnd w:id="58"/>
    </w:p>
    <w:bookmarkEnd w:id="60"/>
    <w:p w14:paraId="2ECE3B39" w14:textId="77777777" w:rsidR="008678CF" w:rsidRPr="00EB44A9" w:rsidRDefault="008678CF" w:rsidP="008678CF">
      <w:pPr>
        <w:ind w:firstLine="567"/>
      </w:pPr>
    </w:p>
    <w:p w14:paraId="38C2BBB9" w14:textId="77777777" w:rsidR="008678CF" w:rsidRPr="0043303A" w:rsidRDefault="008678CF" w:rsidP="008678CF">
      <w:pPr>
        <w:ind w:firstLine="426"/>
      </w:pPr>
      <w:r w:rsidRPr="0043303A">
        <w:t>Výdajový blok Věda a vysoké školy obsahuje</w:t>
      </w:r>
      <w:r w:rsidR="00526028">
        <w:t xml:space="preserve"> </w:t>
      </w:r>
      <w:r w:rsidRPr="0043303A">
        <w:t>výdajové okruhy:</w:t>
      </w:r>
      <w:r w:rsidRPr="0043303A">
        <w:tab/>
      </w:r>
    </w:p>
    <w:p w14:paraId="21A86829" w14:textId="77777777" w:rsidR="008678CF" w:rsidRPr="0043303A" w:rsidRDefault="008678CF" w:rsidP="00526028">
      <w:pPr>
        <w:ind w:left="1276"/>
      </w:pPr>
      <w:r w:rsidRPr="0043303A">
        <w:t>C.I.1 Vysoké školy</w:t>
      </w:r>
    </w:p>
    <w:p w14:paraId="54B0B4AD" w14:textId="77777777" w:rsidR="008678CF" w:rsidRDefault="008678CF" w:rsidP="00526028">
      <w:pPr>
        <w:ind w:left="1276"/>
      </w:pPr>
      <w:r w:rsidRPr="0043303A">
        <w:t xml:space="preserve">C.I.2 </w:t>
      </w:r>
      <w:r w:rsidR="00526028" w:rsidRPr="00817676">
        <w:t>Výzkum, experimentální vývoj a inovace</w:t>
      </w:r>
    </w:p>
    <w:p w14:paraId="1A102B24" w14:textId="77777777" w:rsidR="00526028" w:rsidRPr="0043303A" w:rsidRDefault="00526028" w:rsidP="00526028">
      <w:pPr>
        <w:ind w:left="1276"/>
      </w:pPr>
    </w:p>
    <w:p w14:paraId="7953B2D5" w14:textId="77777777" w:rsidR="008678CF" w:rsidRPr="0043303A" w:rsidRDefault="008678CF" w:rsidP="00B26388">
      <w:pPr>
        <w:pStyle w:val="Nadpis3"/>
      </w:pPr>
      <w:bookmarkStart w:id="61" w:name="_Toc273680324"/>
      <w:bookmarkStart w:id="62" w:name="_Toc318894714"/>
      <w:bookmarkStart w:id="63" w:name="_Toc5968828"/>
      <w:r w:rsidRPr="0043303A">
        <w:t>Vysoké školy</w:t>
      </w:r>
      <w:bookmarkEnd w:id="61"/>
      <w:bookmarkEnd w:id="62"/>
      <w:bookmarkEnd w:id="63"/>
    </w:p>
    <w:p w14:paraId="1B007C68" w14:textId="77777777" w:rsidR="008678CF" w:rsidRPr="0043303A" w:rsidRDefault="008678CF" w:rsidP="00056351">
      <w:pPr>
        <w:pStyle w:val="KS5"/>
        <w:numPr>
          <w:ilvl w:val="0"/>
          <w:numId w:val="0"/>
        </w:numPr>
        <w:ind w:left="1134" w:hanging="1134"/>
      </w:pPr>
    </w:p>
    <w:p w14:paraId="7CB17253" w14:textId="77777777" w:rsidR="008678CF" w:rsidRPr="0043303A" w:rsidRDefault="008678CF" w:rsidP="008678CF">
      <w:pPr>
        <w:tabs>
          <w:tab w:val="right" w:pos="9072"/>
        </w:tabs>
        <w:ind w:left="426"/>
        <w:rPr>
          <w:b/>
        </w:rPr>
      </w:pPr>
      <w:r w:rsidRPr="0043303A">
        <w:rPr>
          <w:b/>
        </w:rPr>
        <w:t>Rozpočet celkem (včetně EDS/SMVS) činí</w:t>
      </w:r>
      <w:r w:rsidRPr="0043303A">
        <w:rPr>
          <w:b/>
        </w:rPr>
        <w:tab/>
        <w:t>2</w:t>
      </w:r>
      <w:r>
        <w:rPr>
          <w:b/>
        </w:rPr>
        <w:t>6</w:t>
      </w:r>
      <w:r w:rsidRPr="0043303A">
        <w:rPr>
          <w:b/>
        </w:rPr>
        <w:t> </w:t>
      </w:r>
      <w:r>
        <w:rPr>
          <w:b/>
        </w:rPr>
        <w:t>528</w:t>
      </w:r>
      <w:r w:rsidRPr="0043303A">
        <w:rPr>
          <w:b/>
        </w:rPr>
        <w:t> 676 980 Kč</w:t>
      </w:r>
    </w:p>
    <w:p w14:paraId="3E7BE478" w14:textId="77777777" w:rsidR="008678CF" w:rsidRPr="0043303A" w:rsidRDefault="008678CF" w:rsidP="008678CF">
      <w:pPr>
        <w:tabs>
          <w:tab w:val="left" w:pos="851"/>
          <w:tab w:val="left" w:pos="1276"/>
          <w:tab w:val="left" w:pos="2268"/>
          <w:tab w:val="right" w:pos="9072"/>
        </w:tabs>
        <w:ind w:left="426"/>
      </w:pPr>
      <w:r w:rsidRPr="0043303A">
        <w:t>v tom:</w:t>
      </w:r>
      <w:r w:rsidRPr="0043303A">
        <w:tab/>
        <w:t>EDS/SMVS</w:t>
      </w:r>
      <w:r w:rsidRPr="0043303A">
        <w:tab/>
      </w:r>
      <w:r>
        <w:t>2</w:t>
      </w:r>
      <w:r w:rsidRPr="0043303A">
        <w:t> </w:t>
      </w:r>
      <w:r>
        <w:t>245</w:t>
      </w:r>
      <w:r w:rsidRPr="0043303A">
        <w:t> 994 748 Kč</w:t>
      </w:r>
    </w:p>
    <w:p w14:paraId="31F8B56C" w14:textId="77777777" w:rsidR="008678CF" w:rsidRPr="0043303A" w:rsidRDefault="008678CF" w:rsidP="008678CF">
      <w:pPr>
        <w:tabs>
          <w:tab w:val="left" w:pos="851"/>
          <w:tab w:val="left" w:pos="1276"/>
          <w:tab w:val="left" w:pos="2268"/>
          <w:tab w:val="right" w:pos="9072"/>
        </w:tabs>
      </w:pPr>
      <w:r w:rsidRPr="0043303A">
        <w:tab/>
      </w:r>
      <w:r w:rsidRPr="0043303A">
        <w:tab/>
        <w:t>mezinárodní spolupráce (m. s.)</w:t>
      </w:r>
      <w:r w:rsidRPr="0043303A">
        <w:tab/>
        <w:t xml:space="preserve"> 36 223 000</w:t>
      </w:r>
      <w:r>
        <w:t> </w:t>
      </w:r>
      <w:r w:rsidRPr="0043303A">
        <w:t>Kč</w:t>
      </w:r>
    </w:p>
    <w:p w14:paraId="2D54C44E" w14:textId="77777777" w:rsidR="008678CF" w:rsidRPr="0043303A" w:rsidRDefault="008678CF" w:rsidP="008678CF">
      <w:pPr>
        <w:tabs>
          <w:tab w:val="left" w:pos="851"/>
          <w:tab w:val="left" w:pos="1276"/>
          <w:tab w:val="left" w:pos="2268"/>
          <w:tab w:val="right" w:pos="9072"/>
        </w:tabs>
      </w:pPr>
      <w:r w:rsidRPr="0043303A">
        <w:tab/>
      </w:r>
      <w:r w:rsidRPr="0043303A">
        <w:tab/>
        <w:t>výdaje na činnost (mimo EDS/SMVS a m. s.)</w:t>
      </w:r>
      <w:r w:rsidRPr="0043303A">
        <w:tab/>
      </w:r>
      <w:r>
        <w:t>24</w:t>
      </w:r>
      <w:r w:rsidRPr="0043303A">
        <w:t> </w:t>
      </w:r>
      <w:r>
        <w:t>246</w:t>
      </w:r>
      <w:r w:rsidRPr="0043303A">
        <w:t xml:space="preserve"> 459 232 Kč</w:t>
      </w:r>
    </w:p>
    <w:p w14:paraId="27FBB689" w14:textId="77777777" w:rsidR="008678CF" w:rsidRPr="004B323E" w:rsidRDefault="008678CF" w:rsidP="008678CF">
      <w:pPr>
        <w:tabs>
          <w:tab w:val="left" w:pos="851"/>
          <w:tab w:val="left" w:pos="1276"/>
          <w:tab w:val="left" w:pos="2268"/>
          <w:tab w:val="right" w:pos="9072"/>
        </w:tabs>
        <w:rPr>
          <w:color w:val="FF0000"/>
        </w:rPr>
      </w:pPr>
    </w:p>
    <w:p w14:paraId="7E966335" w14:textId="77777777" w:rsidR="008678CF" w:rsidRPr="003F1E47" w:rsidRDefault="008678CF" w:rsidP="008678CF">
      <w:pPr>
        <w:tabs>
          <w:tab w:val="left" w:pos="851"/>
          <w:tab w:val="right" w:pos="9072"/>
        </w:tabs>
        <w:ind w:left="1276" w:hanging="850"/>
      </w:pPr>
      <w:r>
        <w:rPr>
          <w:color w:val="FF0000"/>
        </w:rPr>
        <w:tab/>
      </w:r>
      <w:r>
        <w:rPr>
          <w:color w:val="FF0000"/>
        </w:rPr>
        <w:tab/>
      </w:r>
      <w:r w:rsidRPr="00204221">
        <w:t xml:space="preserve">v tom: </w:t>
      </w:r>
      <w:r>
        <w:t>b</w:t>
      </w:r>
      <w:r w:rsidRPr="00204221">
        <w:t>ěžné výdaje</w:t>
      </w:r>
      <w:r>
        <w:tab/>
      </w:r>
      <w:r w:rsidRPr="003F1E47">
        <w:t>23 696 459 232 Kč</w:t>
      </w:r>
    </w:p>
    <w:p w14:paraId="6A68E65B" w14:textId="77777777" w:rsidR="008678CF" w:rsidRPr="00962014" w:rsidRDefault="008678CF" w:rsidP="008678CF">
      <w:pPr>
        <w:tabs>
          <w:tab w:val="left" w:pos="1985"/>
          <w:tab w:val="right" w:pos="9072"/>
        </w:tabs>
        <w:ind w:left="142" w:hanging="142"/>
      </w:pPr>
      <w:r w:rsidRPr="003F1E47">
        <w:tab/>
      </w:r>
      <w:r w:rsidRPr="003F1E47">
        <w:tab/>
        <w:t>kapitálové výdaje</w:t>
      </w:r>
      <w:r w:rsidRPr="003F1E47">
        <w:tab/>
        <w:t>550 000 000 Kč</w:t>
      </w:r>
    </w:p>
    <w:p w14:paraId="555A25DF" w14:textId="77777777" w:rsidR="008678CF" w:rsidRPr="00EB44A9" w:rsidRDefault="008678CF" w:rsidP="008678CF">
      <w:pPr>
        <w:rPr>
          <w:b/>
        </w:rPr>
      </w:pPr>
    </w:p>
    <w:p w14:paraId="7E6BBCAA" w14:textId="5E1DA9C6" w:rsidR="008678CF" w:rsidRPr="00204221" w:rsidRDefault="008678CF" w:rsidP="008678CF">
      <w:pPr>
        <w:spacing w:after="120"/>
        <w:ind w:firstLine="709"/>
        <w:rPr>
          <w:b/>
          <w:szCs w:val="24"/>
        </w:rPr>
      </w:pPr>
      <w:r w:rsidRPr="00204221">
        <w:rPr>
          <w:b/>
          <w:szCs w:val="24"/>
        </w:rPr>
        <w:t xml:space="preserve">Celková výše ukazatele vysoké školy </w:t>
      </w:r>
      <w:r w:rsidRPr="00204221">
        <w:rPr>
          <w:szCs w:val="24"/>
        </w:rPr>
        <w:t xml:space="preserve">uvedená v </w:t>
      </w:r>
      <w:r w:rsidR="007958C6">
        <w:rPr>
          <w:szCs w:val="24"/>
        </w:rPr>
        <w:t>z</w:t>
      </w:r>
      <w:r w:rsidRPr="0043303A">
        <w:rPr>
          <w:szCs w:val="24"/>
        </w:rPr>
        <w:t xml:space="preserve">ákoně o státním </w:t>
      </w:r>
      <w:r w:rsidRPr="00204221">
        <w:rPr>
          <w:szCs w:val="24"/>
        </w:rPr>
        <w:t>rozpočtu ČR na</w:t>
      </w:r>
      <w:r>
        <w:rPr>
          <w:szCs w:val="24"/>
        </w:rPr>
        <w:t> </w:t>
      </w:r>
      <w:r w:rsidRPr="0043303A">
        <w:rPr>
          <w:szCs w:val="24"/>
        </w:rPr>
        <w:t>rok 201</w:t>
      </w:r>
      <w:r>
        <w:rPr>
          <w:szCs w:val="24"/>
        </w:rPr>
        <w:t>9</w:t>
      </w:r>
      <w:r w:rsidRPr="0043303A">
        <w:rPr>
          <w:szCs w:val="24"/>
        </w:rPr>
        <w:t xml:space="preserve"> činí</w:t>
      </w:r>
      <w:r w:rsidRPr="0043303A">
        <w:rPr>
          <w:b/>
          <w:szCs w:val="24"/>
        </w:rPr>
        <w:t xml:space="preserve"> </w:t>
      </w:r>
      <w:r>
        <w:rPr>
          <w:b/>
          <w:szCs w:val="24"/>
        </w:rPr>
        <w:t>26</w:t>
      </w:r>
      <w:r w:rsidRPr="0043303A">
        <w:rPr>
          <w:b/>
          <w:szCs w:val="24"/>
        </w:rPr>
        <w:t xml:space="preserve"> </w:t>
      </w:r>
      <w:r>
        <w:rPr>
          <w:b/>
          <w:szCs w:val="24"/>
        </w:rPr>
        <w:t>528</w:t>
      </w:r>
      <w:r w:rsidRPr="0043303A">
        <w:rPr>
          <w:b/>
          <w:szCs w:val="24"/>
        </w:rPr>
        <w:t xml:space="preserve"> 676 980 Kč. </w:t>
      </w:r>
      <w:r w:rsidRPr="0043303A">
        <w:rPr>
          <w:szCs w:val="24"/>
        </w:rPr>
        <w:t>Tato částka zahrnuje</w:t>
      </w:r>
      <w:r w:rsidRPr="0043303A">
        <w:rPr>
          <w:b/>
          <w:szCs w:val="24"/>
        </w:rPr>
        <w:t xml:space="preserve"> výdaje na</w:t>
      </w:r>
      <w:r>
        <w:rPr>
          <w:b/>
          <w:szCs w:val="24"/>
        </w:rPr>
        <w:t> </w:t>
      </w:r>
      <w:r w:rsidRPr="0043303A">
        <w:rPr>
          <w:b/>
          <w:szCs w:val="24"/>
        </w:rPr>
        <w:t xml:space="preserve">programové financování </w:t>
      </w:r>
      <w:r w:rsidRPr="0043303A">
        <w:rPr>
          <w:szCs w:val="24"/>
        </w:rPr>
        <w:t>ve výši</w:t>
      </w:r>
      <w:r w:rsidRPr="0043303A">
        <w:rPr>
          <w:b/>
          <w:szCs w:val="24"/>
        </w:rPr>
        <w:t xml:space="preserve"> </w:t>
      </w:r>
      <w:r>
        <w:rPr>
          <w:b/>
          <w:szCs w:val="24"/>
        </w:rPr>
        <w:t>2</w:t>
      </w:r>
      <w:r w:rsidRPr="0043303A">
        <w:rPr>
          <w:b/>
          <w:szCs w:val="24"/>
        </w:rPr>
        <w:t xml:space="preserve"> </w:t>
      </w:r>
      <w:r>
        <w:rPr>
          <w:b/>
          <w:szCs w:val="24"/>
        </w:rPr>
        <w:t>2</w:t>
      </w:r>
      <w:r w:rsidRPr="0043303A">
        <w:rPr>
          <w:b/>
          <w:szCs w:val="24"/>
        </w:rPr>
        <w:t xml:space="preserve">45 994 748 Kč </w:t>
      </w:r>
      <w:r w:rsidRPr="0043303A">
        <w:rPr>
          <w:szCs w:val="24"/>
        </w:rPr>
        <w:t>a ostatní výdaje rozpočtu na</w:t>
      </w:r>
      <w:r w:rsidRPr="0043303A">
        <w:rPr>
          <w:b/>
          <w:szCs w:val="24"/>
        </w:rPr>
        <w:t xml:space="preserve"> činnost vysokých škol </w:t>
      </w:r>
      <w:r>
        <w:rPr>
          <w:b/>
          <w:szCs w:val="24"/>
        </w:rPr>
        <w:t xml:space="preserve">(dále také jen „VŠ“) </w:t>
      </w:r>
      <w:r w:rsidRPr="0043303A">
        <w:rPr>
          <w:szCs w:val="24"/>
        </w:rPr>
        <w:t xml:space="preserve">v objemu </w:t>
      </w:r>
      <w:r w:rsidRPr="0043303A">
        <w:rPr>
          <w:b/>
          <w:szCs w:val="24"/>
        </w:rPr>
        <w:t>2</w:t>
      </w:r>
      <w:r>
        <w:rPr>
          <w:b/>
          <w:szCs w:val="24"/>
        </w:rPr>
        <w:t>4</w:t>
      </w:r>
      <w:r w:rsidRPr="0043303A">
        <w:rPr>
          <w:b/>
          <w:szCs w:val="24"/>
        </w:rPr>
        <w:t> </w:t>
      </w:r>
      <w:r>
        <w:rPr>
          <w:b/>
          <w:szCs w:val="24"/>
        </w:rPr>
        <w:t>282</w:t>
      </w:r>
      <w:r w:rsidRPr="0043303A">
        <w:rPr>
          <w:b/>
          <w:szCs w:val="24"/>
        </w:rPr>
        <w:t> 682 232 Kč.</w:t>
      </w:r>
      <w:r w:rsidRPr="0043303A">
        <w:rPr>
          <w:szCs w:val="24"/>
        </w:rPr>
        <w:t xml:space="preserve"> </w:t>
      </w:r>
      <w:r w:rsidR="007958C6">
        <w:rPr>
          <w:szCs w:val="24"/>
        </w:rPr>
        <w:t>V této částce jsou zahrnuty i</w:t>
      </w:r>
      <w:r w:rsidRPr="0043303A">
        <w:rPr>
          <w:szCs w:val="24"/>
        </w:rPr>
        <w:t xml:space="preserve"> </w:t>
      </w:r>
      <w:r>
        <w:rPr>
          <w:szCs w:val="24"/>
        </w:rPr>
        <w:t xml:space="preserve">prostředky </w:t>
      </w:r>
      <w:r w:rsidRPr="0043303A">
        <w:rPr>
          <w:szCs w:val="24"/>
        </w:rPr>
        <w:t>ve výši 36</w:t>
      </w:r>
      <w:r>
        <w:rPr>
          <w:szCs w:val="24"/>
        </w:rPr>
        <w:t> </w:t>
      </w:r>
      <w:r w:rsidRPr="0043303A">
        <w:rPr>
          <w:szCs w:val="24"/>
        </w:rPr>
        <w:t xml:space="preserve">223 000 Kč </w:t>
      </w:r>
      <w:r w:rsidR="007958C6">
        <w:rPr>
          <w:szCs w:val="24"/>
        </w:rPr>
        <w:t>vyčleněné na</w:t>
      </w:r>
      <w:r w:rsidR="007958C6" w:rsidRPr="0043303A">
        <w:rPr>
          <w:szCs w:val="24"/>
        </w:rPr>
        <w:t xml:space="preserve"> </w:t>
      </w:r>
      <w:r w:rsidRPr="0043303A">
        <w:rPr>
          <w:szCs w:val="24"/>
        </w:rPr>
        <w:t>program AKTION, Letní školu slovanských studií a mezivládní dohody</w:t>
      </w:r>
      <w:r>
        <w:rPr>
          <w:szCs w:val="24"/>
        </w:rPr>
        <w:t>.</w:t>
      </w:r>
      <w:r w:rsidRPr="00204221">
        <w:rPr>
          <w:szCs w:val="24"/>
        </w:rPr>
        <w:t xml:space="preserve"> </w:t>
      </w:r>
    </w:p>
    <w:p w14:paraId="0631D21A" w14:textId="77777777" w:rsidR="008678CF" w:rsidRPr="00204221" w:rsidRDefault="008678CF" w:rsidP="0031482F">
      <w:pPr>
        <w:pStyle w:val="Nadpis4"/>
      </w:pPr>
      <w:bookmarkStart w:id="64" w:name="_Toc318894715"/>
      <w:bookmarkStart w:id="65" w:name="_Toc5968829"/>
      <w:r w:rsidRPr="00204221">
        <w:t>Obecná pravidla rozpisu rozpočtu vysokých škol</w:t>
      </w:r>
      <w:bookmarkEnd w:id="64"/>
      <w:bookmarkEnd w:id="65"/>
    </w:p>
    <w:p w14:paraId="4055EB2A" w14:textId="77777777" w:rsidR="008678CF" w:rsidRPr="004852C6" w:rsidRDefault="008678CF" w:rsidP="008678CF">
      <w:pPr>
        <w:rPr>
          <w:color w:val="FF0000"/>
          <w:szCs w:val="24"/>
        </w:rPr>
      </w:pPr>
    </w:p>
    <w:p w14:paraId="3B2B7B2E" w14:textId="77777777" w:rsidR="008678CF" w:rsidRPr="00204221" w:rsidRDefault="008678CF" w:rsidP="008678CF">
      <w:pPr>
        <w:spacing w:after="120"/>
        <w:ind w:firstLine="709"/>
        <w:rPr>
          <w:szCs w:val="24"/>
        </w:rPr>
      </w:pPr>
      <w:r w:rsidRPr="00204221">
        <w:rPr>
          <w:szCs w:val="24"/>
        </w:rPr>
        <w:t>Prostředky z kapitoly 333 MŠMT se poskytují VŠ podle zákona č. 111/1998 Sb., o</w:t>
      </w:r>
      <w:r>
        <w:rPr>
          <w:szCs w:val="24"/>
        </w:rPr>
        <w:t> </w:t>
      </w:r>
      <w:r w:rsidRPr="00204221">
        <w:rPr>
          <w:szCs w:val="24"/>
        </w:rPr>
        <w:t>vysokých školách a o změně a doplnění dalších zákonů (zákon o vysokých školách), ve</w:t>
      </w:r>
      <w:r>
        <w:rPr>
          <w:szCs w:val="24"/>
        </w:rPr>
        <w:t> </w:t>
      </w:r>
      <w:r w:rsidRPr="00204221">
        <w:rPr>
          <w:szCs w:val="24"/>
        </w:rPr>
        <w:t>znění pozdějších předpisů, v souladu se zákonem č. 218/2000 Sb., o rozpočtových pravidlech a o změně některých souvisejících zákonů (rozpočtová pravidla), ve znění pozdějších předpisů, a to formou příspěvku nebo dotace.</w:t>
      </w:r>
    </w:p>
    <w:p w14:paraId="0E217426" w14:textId="77777777" w:rsidR="008678CF" w:rsidRPr="00204221" w:rsidRDefault="008678CF" w:rsidP="008678CF">
      <w:pPr>
        <w:spacing w:after="120"/>
        <w:ind w:firstLine="709"/>
        <w:rPr>
          <w:szCs w:val="24"/>
        </w:rPr>
      </w:pPr>
      <w:r w:rsidRPr="00204221">
        <w:rPr>
          <w:b/>
          <w:szCs w:val="24"/>
        </w:rPr>
        <w:t>Příspěvek</w:t>
      </w:r>
      <w:r w:rsidRPr="00204221">
        <w:rPr>
          <w:szCs w:val="24"/>
        </w:rPr>
        <w:t xml:space="preserve"> se poskytuje pouze veřejným </w:t>
      </w:r>
      <w:r>
        <w:rPr>
          <w:szCs w:val="24"/>
        </w:rPr>
        <w:t>VŠ</w:t>
      </w:r>
      <w:r w:rsidRPr="00204221">
        <w:rPr>
          <w:szCs w:val="24"/>
        </w:rPr>
        <w:t xml:space="preserve"> (dále také jen „VVŠ“), a to na </w:t>
      </w:r>
      <w:r>
        <w:rPr>
          <w:szCs w:val="24"/>
        </w:rPr>
        <w:t xml:space="preserve">uskutečňování studijních programů a v souvislosti s tím na </w:t>
      </w:r>
      <w:r w:rsidRPr="00204221">
        <w:rPr>
          <w:szCs w:val="24"/>
        </w:rPr>
        <w:t>vědeckou</w:t>
      </w:r>
      <w:r>
        <w:rPr>
          <w:szCs w:val="24"/>
        </w:rPr>
        <w:t xml:space="preserve"> a</w:t>
      </w:r>
      <w:r w:rsidRPr="00204221">
        <w:rPr>
          <w:szCs w:val="24"/>
        </w:rPr>
        <w:t xml:space="preserve"> výzkumnou, vývojovou a inovační, uměleckou nebo další tvůrčí činnost</w:t>
      </w:r>
      <w:r>
        <w:rPr>
          <w:szCs w:val="24"/>
        </w:rPr>
        <w:t xml:space="preserve"> (dále jen „tvůrčí činnost“)</w:t>
      </w:r>
      <w:r w:rsidRPr="00204221">
        <w:rPr>
          <w:szCs w:val="24"/>
        </w:rPr>
        <w:t>. VVŠ</w:t>
      </w:r>
      <w:r>
        <w:rPr>
          <w:szCs w:val="24"/>
        </w:rPr>
        <w:t> </w:t>
      </w:r>
      <w:r w:rsidRPr="00204221">
        <w:rPr>
          <w:szCs w:val="24"/>
        </w:rPr>
        <w:t>má na příspěvek nárok, zákon o vysokých školách však nestanovuje jeho výši. O</w:t>
      </w:r>
      <w:r>
        <w:rPr>
          <w:szCs w:val="24"/>
        </w:rPr>
        <w:t> </w:t>
      </w:r>
      <w:r w:rsidRPr="00204221">
        <w:rPr>
          <w:szCs w:val="24"/>
        </w:rPr>
        <w:t>poskytnutí příspěvku rozhoduje MŠMT rozhodnutím na základě písemné žádosti VVŠ.</w:t>
      </w:r>
    </w:p>
    <w:p w14:paraId="34718084" w14:textId="110FAABE" w:rsidR="008678CF" w:rsidRPr="00204221" w:rsidRDefault="008678CF" w:rsidP="008678CF">
      <w:pPr>
        <w:spacing w:after="120"/>
        <w:ind w:firstLine="709"/>
        <w:rPr>
          <w:szCs w:val="24"/>
        </w:rPr>
      </w:pPr>
      <w:r w:rsidRPr="00204221">
        <w:rPr>
          <w:szCs w:val="24"/>
        </w:rPr>
        <w:t xml:space="preserve">Pro stanovení výše příspěvku je rozhodný typ a finanční náročnost akreditovaných studijních programů a programů celoživotního vzdělávání, počet studentů a dosažené výsledky ve vzdělávací a tvůrčí činnosti a její náročnost. Pro výši příspěvku je též rozhodný </w:t>
      </w:r>
      <w:r>
        <w:rPr>
          <w:szCs w:val="24"/>
        </w:rPr>
        <w:t>strategický</w:t>
      </w:r>
      <w:r w:rsidRPr="00204221">
        <w:rPr>
          <w:szCs w:val="24"/>
        </w:rPr>
        <w:t xml:space="preserve"> záměr </w:t>
      </w:r>
      <w:r>
        <w:rPr>
          <w:szCs w:val="24"/>
        </w:rPr>
        <w:t>MŠMT</w:t>
      </w:r>
      <w:r>
        <w:rPr>
          <w:rStyle w:val="Znakapoznpodarou"/>
          <w:szCs w:val="24"/>
        </w:rPr>
        <w:footnoteReference w:id="7"/>
      </w:r>
      <w:r>
        <w:rPr>
          <w:szCs w:val="24"/>
        </w:rPr>
        <w:t xml:space="preserve"> </w:t>
      </w:r>
      <w:r w:rsidRPr="00204221">
        <w:rPr>
          <w:szCs w:val="24"/>
        </w:rPr>
        <w:t>a </w:t>
      </w:r>
      <w:r>
        <w:rPr>
          <w:szCs w:val="24"/>
        </w:rPr>
        <w:t>strategický</w:t>
      </w:r>
      <w:r w:rsidRPr="00204221">
        <w:rPr>
          <w:szCs w:val="24"/>
        </w:rPr>
        <w:t xml:space="preserve"> záměr </w:t>
      </w:r>
      <w:r>
        <w:rPr>
          <w:szCs w:val="24"/>
        </w:rPr>
        <w:t>VVŠ</w:t>
      </w:r>
      <w:r w:rsidRPr="00204221">
        <w:rPr>
          <w:szCs w:val="24"/>
        </w:rPr>
        <w:t xml:space="preserve">. </w:t>
      </w:r>
    </w:p>
    <w:p w14:paraId="015C0FF7" w14:textId="77777777" w:rsidR="008678CF" w:rsidRPr="00204221" w:rsidRDefault="008678CF" w:rsidP="008678CF">
      <w:pPr>
        <w:spacing w:after="120"/>
        <w:ind w:firstLine="709"/>
        <w:rPr>
          <w:szCs w:val="24"/>
        </w:rPr>
      </w:pPr>
      <w:r w:rsidRPr="00204221">
        <w:rPr>
          <w:szCs w:val="24"/>
        </w:rPr>
        <w:t>Podle Pravidel pro poskytování příspěvku a dotací veřejným vysokým školám Ministerstvem školství, mládeže a tělovýchovy, č. j</w:t>
      </w:r>
      <w:r w:rsidRPr="0043303A">
        <w:rPr>
          <w:szCs w:val="24"/>
        </w:rPr>
        <w:t>. MSMT-</w:t>
      </w:r>
      <w:r>
        <w:rPr>
          <w:szCs w:val="24"/>
        </w:rPr>
        <w:t>2019</w:t>
      </w:r>
      <w:r w:rsidRPr="0043303A">
        <w:rPr>
          <w:szCs w:val="24"/>
        </w:rPr>
        <w:t>/</w:t>
      </w:r>
      <w:r>
        <w:rPr>
          <w:szCs w:val="24"/>
        </w:rPr>
        <w:t>2019</w:t>
      </w:r>
      <w:r w:rsidRPr="0043303A">
        <w:rPr>
          <w:szCs w:val="24"/>
        </w:rPr>
        <w:t>-</w:t>
      </w:r>
      <w:r>
        <w:rPr>
          <w:szCs w:val="24"/>
        </w:rPr>
        <w:t>2</w:t>
      </w:r>
      <w:r w:rsidRPr="0043303A">
        <w:rPr>
          <w:szCs w:val="24"/>
        </w:rPr>
        <w:t xml:space="preserve"> (dále také</w:t>
      </w:r>
      <w:r w:rsidRPr="00204221">
        <w:rPr>
          <w:szCs w:val="24"/>
        </w:rPr>
        <w:t xml:space="preserve"> jen „Pravidla“) MŠMT rozhodnutím poskytne VVŠ příspěvek vypočtený podle rozpočtového okruhu I ve výši 90 % jeho ročního objemu. Zbývající část příspěvku může </w:t>
      </w:r>
      <w:r>
        <w:rPr>
          <w:szCs w:val="24"/>
        </w:rPr>
        <w:t>MŠMT</w:t>
      </w:r>
      <w:r w:rsidRPr="00204221">
        <w:rPr>
          <w:szCs w:val="24"/>
        </w:rPr>
        <w:t xml:space="preserve"> </w:t>
      </w:r>
      <w:r w:rsidRPr="00204221">
        <w:rPr>
          <w:szCs w:val="24"/>
        </w:rPr>
        <w:lastRenderedPageBreak/>
        <w:t xml:space="preserve">poskytnout na kapitálové výdaje, a to na základě žádosti </w:t>
      </w:r>
      <w:r>
        <w:rPr>
          <w:szCs w:val="24"/>
        </w:rPr>
        <w:t>VVŠ</w:t>
      </w:r>
      <w:r w:rsidRPr="00204221">
        <w:rPr>
          <w:szCs w:val="24"/>
        </w:rPr>
        <w:t xml:space="preserve"> předložené v termínech do</w:t>
      </w:r>
      <w:r>
        <w:rPr>
          <w:szCs w:val="24"/>
        </w:rPr>
        <w:t> </w:t>
      </w:r>
      <w:r w:rsidRPr="00204221">
        <w:rPr>
          <w:szCs w:val="24"/>
        </w:rPr>
        <w:t>31.</w:t>
      </w:r>
      <w:r>
        <w:rPr>
          <w:szCs w:val="24"/>
        </w:rPr>
        <w:t> </w:t>
      </w:r>
      <w:r w:rsidRPr="00204221">
        <w:rPr>
          <w:szCs w:val="24"/>
        </w:rPr>
        <w:t xml:space="preserve">3., 30. 6. a 15. 10. kalendářního roku. Po datu 31. 10. </w:t>
      </w:r>
      <w:r>
        <w:rPr>
          <w:szCs w:val="24"/>
        </w:rPr>
        <w:t>MŠMT</w:t>
      </w:r>
      <w:r w:rsidRPr="00204221">
        <w:rPr>
          <w:szCs w:val="24"/>
        </w:rPr>
        <w:t xml:space="preserve"> poskytne zbývající část příspěvku </w:t>
      </w:r>
      <w:r>
        <w:rPr>
          <w:szCs w:val="24"/>
        </w:rPr>
        <w:t>VVŠ</w:t>
      </w:r>
      <w:r w:rsidRPr="00204221">
        <w:rPr>
          <w:szCs w:val="24"/>
        </w:rPr>
        <w:t xml:space="preserve"> jako běžný příspěvek.</w:t>
      </w:r>
    </w:p>
    <w:p w14:paraId="43DD1933" w14:textId="77777777" w:rsidR="008678CF" w:rsidRPr="00204221" w:rsidRDefault="008678CF" w:rsidP="008678CF">
      <w:pPr>
        <w:spacing w:after="120"/>
        <w:ind w:firstLine="709"/>
        <w:rPr>
          <w:szCs w:val="24"/>
        </w:rPr>
      </w:pPr>
      <w:r w:rsidRPr="00204221">
        <w:rPr>
          <w:b/>
          <w:szCs w:val="24"/>
        </w:rPr>
        <w:t xml:space="preserve">Dotace </w:t>
      </w:r>
      <w:r w:rsidRPr="00204221">
        <w:rPr>
          <w:szCs w:val="24"/>
        </w:rPr>
        <w:t>je</w:t>
      </w:r>
      <w:r w:rsidRPr="00204221">
        <w:rPr>
          <w:b/>
          <w:szCs w:val="24"/>
        </w:rPr>
        <w:t xml:space="preserve"> </w:t>
      </w:r>
      <w:r w:rsidRPr="00204221">
        <w:rPr>
          <w:szCs w:val="24"/>
        </w:rPr>
        <w:t xml:space="preserve">VVŠ podle zákona o </w:t>
      </w:r>
      <w:r>
        <w:rPr>
          <w:szCs w:val="24"/>
        </w:rPr>
        <w:t>VŠ</w:t>
      </w:r>
      <w:r w:rsidRPr="00204221">
        <w:rPr>
          <w:szCs w:val="24"/>
        </w:rPr>
        <w:t xml:space="preserve"> poskytována na rozvoj, dále může být poskytnuta na ubytování a stravování studentů. Soukromé vysoké škole (dále také jen „SVŠ“)</w:t>
      </w:r>
      <w:r w:rsidRPr="0010755E">
        <w:rPr>
          <w:szCs w:val="24"/>
        </w:rPr>
        <w:t xml:space="preserve"> </w:t>
      </w:r>
      <w:r w:rsidRPr="00204221">
        <w:rPr>
          <w:szCs w:val="24"/>
        </w:rPr>
        <w:t>může být podle zákona o</w:t>
      </w:r>
      <w:r>
        <w:rPr>
          <w:szCs w:val="24"/>
        </w:rPr>
        <w:t> VŠ</w:t>
      </w:r>
      <w:r w:rsidRPr="00204221">
        <w:rPr>
          <w:szCs w:val="24"/>
        </w:rPr>
        <w:t xml:space="preserve"> dotace poskytnuta na sociální a</w:t>
      </w:r>
      <w:r>
        <w:rPr>
          <w:szCs w:val="24"/>
        </w:rPr>
        <w:t> u</w:t>
      </w:r>
      <w:r w:rsidRPr="00204221">
        <w:rPr>
          <w:szCs w:val="24"/>
        </w:rPr>
        <w:t xml:space="preserve">bytovací stipendia. </w:t>
      </w:r>
      <w:r>
        <w:rPr>
          <w:szCs w:val="24"/>
        </w:rPr>
        <w:t xml:space="preserve">Poskytnutí dotace SVŠ na plnění závazku veřejné služby (jeden případ) je realizováno na základě rozpočtových pravidel. </w:t>
      </w:r>
    </w:p>
    <w:p w14:paraId="141C8249" w14:textId="77777777" w:rsidR="008678CF" w:rsidRPr="00204221" w:rsidRDefault="008678CF" w:rsidP="008678CF">
      <w:pPr>
        <w:ind w:firstLine="709"/>
        <w:rPr>
          <w:szCs w:val="24"/>
        </w:rPr>
      </w:pPr>
      <w:r w:rsidRPr="00204221">
        <w:rPr>
          <w:szCs w:val="24"/>
        </w:rPr>
        <w:t xml:space="preserve">O poskytnutí dotace rozhoduje MŠMT rozhodnutím na základě písemné žádosti VŠ. Pro výši dotace je rozhodný </w:t>
      </w:r>
      <w:r>
        <w:rPr>
          <w:szCs w:val="24"/>
        </w:rPr>
        <w:t xml:space="preserve">strategický </w:t>
      </w:r>
      <w:r w:rsidRPr="00204221">
        <w:rPr>
          <w:szCs w:val="24"/>
        </w:rPr>
        <w:t xml:space="preserve">záměr VŠ a </w:t>
      </w:r>
      <w:r>
        <w:rPr>
          <w:szCs w:val="24"/>
        </w:rPr>
        <w:t>strategický</w:t>
      </w:r>
      <w:r w:rsidRPr="00204221">
        <w:rPr>
          <w:szCs w:val="24"/>
        </w:rPr>
        <w:t xml:space="preserve"> záměr ministerstva. Podmínky, které musí příjemce v souvislosti s poskytnutím dotace splnit a náležitosti jejího </w:t>
      </w:r>
      <w:r>
        <w:rPr>
          <w:szCs w:val="24"/>
        </w:rPr>
        <w:t>finančního vypořádání,</w:t>
      </w:r>
      <w:r w:rsidRPr="00204221">
        <w:rPr>
          <w:szCs w:val="24"/>
        </w:rPr>
        <w:t xml:space="preserve"> se řídí rozpočtovými pravidly.</w:t>
      </w:r>
    </w:p>
    <w:p w14:paraId="24BEF7C6" w14:textId="77777777" w:rsidR="008678CF" w:rsidRPr="004852C6" w:rsidRDefault="008678CF" w:rsidP="0031482F">
      <w:pPr>
        <w:pStyle w:val="KS4"/>
      </w:pPr>
    </w:p>
    <w:p w14:paraId="4D3424D2" w14:textId="77777777" w:rsidR="008678CF" w:rsidRPr="004852C6" w:rsidRDefault="008678CF" w:rsidP="0031482F">
      <w:pPr>
        <w:pStyle w:val="Nadpis4"/>
      </w:pPr>
      <w:bookmarkStart w:id="66" w:name="_Toc318894716"/>
      <w:bookmarkStart w:id="67" w:name="_Toc5968830"/>
      <w:r w:rsidRPr="004852C6">
        <w:t>Pravidla stanovení výše příspěvku a dotací</w:t>
      </w:r>
      <w:bookmarkEnd w:id="66"/>
      <w:bookmarkEnd w:id="67"/>
    </w:p>
    <w:p w14:paraId="6475677A" w14:textId="77777777" w:rsidR="008678CF" w:rsidRPr="004852C6" w:rsidRDefault="008678CF" w:rsidP="0031482F">
      <w:pPr>
        <w:pStyle w:val="KS4"/>
      </w:pPr>
    </w:p>
    <w:p w14:paraId="070F8F56" w14:textId="77777777" w:rsidR="008678CF" w:rsidRPr="0043303A" w:rsidRDefault="008678CF" w:rsidP="008678CF">
      <w:pPr>
        <w:spacing w:after="120"/>
        <w:ind w:firstLine="709"/>
        <w:rPr>
          <w:szCs w:val="24"/>
        </w:rPr>
      </w:pPr>
      <w:r w:rsidRPr="0043303A">
        <w:rPr>
          <w:szCs w:val="24"/>
        </w:rPr>
        <w:t>Postupy pro stanovení výše příspěvku a dotací, podmínky použití a jejich finanční vypořádání pro rok 201</w:t>
      </w:r>
      <w:r>
        <w:rPr>
          <w:szCs w:val="24"/>
        </w:rPr>
        <w:t>9</w:t>
      </w:r>
      <w:r w:rsidRPr="0043303A">
        <w:rPr>
          <w:szCs w:val="24"/>
        </w:rPr>
        <w:t xml:space="preserve"> jsou blíže specifikovány v </w:t>
      </w:r>
      <w:r w:rsidRPr="0043303A">
        <w:rPr>
          <w:b/>
          <w:szCs w:val="24"/>
        </w:rPr>
        <w:t>Pravidlech</w:t>
      </w:r>
      <w:r w:rsidRPr="0043303A">
        <w:rPr>
          <w:szCs w:val="24"/>
        </w:rPr>
        <w:t xml:space="preserve"> a v </w:t>
      </w:r>
      <w:r w:rsidRPr="0043303A">
        <w:rPr>
          <w:b/>
          <w:szCs w:val="24"/>
        </w:rPr>
        <w:t>Pravidlech pro poskytování dotací soukromým vysokým školám</w:t>
      </w:r>
      <w:r w:rsidRPr="0043303A">
        <w:rPr>
          <w:rStyle w:val="Znakapoznpodarou"/>
          <w:szCs w:val="24"/>
        </w:rPr>
        <w:footnoteReference w:id="8"/>
      </w:r>
      <w:r w:rsidRPr="0043303A">
        <w:rPr>
          <w:szCs w:val="24"/>
        </w:rPr>
        <w:t>.</w:t>
      </w:r>
    </w:p>
    <w:p w14:paraId="7AFA8BD0" w14:textId="77777777" w:rsidR="008678CF" w:rsidRPr="0043303A" w:rsidRDefault="008678CF" w:rsidP="008678CF">
      <w:pPr>
        <w:spacing w:after="120"/>
        <w:rPr>
          <w:szCs w:val="24"/>
        </w:rPr>
      </w:pPr>
      <w:r w:rsidRPr="0043303A">
        <w:rPr>
          <w:szCs w:val="24"/>
        </w:rPr>
        <w:t>Oproti roku 201</w:t>
      </w:r>
      <w:r>
        <w:rPr>
          <w:szCs w:val="24"/>
        </w:rPr>
        <w:t>8</w:t>
      </w:r>
      <w:r w:rsidRPr="0043303A">
        <w:rPr>
          <w:szCs w:val="24"/>
        </w:rPr>
        <w:t xml:space="preserve"> dochází v Pravidlech k několika změnám.</w:t>
      </w:r>
    </w:p>
    <w:p w14:paraId="78D2A5E4" w14:textId="1D5228E0" w:rsidR="008678CF" w:rsidRDefault="008678CF" w:rsidP="000C3BFF">
      <w:pPr>
        <w:pStyle w:val="Text"/>
      </w:pPr>
      <w:r>
        <w:t xml:space="preserve">Nejvýznamnější změnou pro rok 2019 je rozšíření </w:t>
      </w:r>
      <w:r w:rsidR="00E77F62">
        <w:t xml:space="preserve">rozpočtového okruhu I (dále jen „RO I“) </w:t>
      </w:r>
      <w:r>
        <w:t xml:space="preserve">o ukazatel společenské poptávky (ukazatel „P“), jehož prostřednictvím je realizována institucionální podporu VVŠ v konkrétních oblastech vzdělávání a tvůrčí činnosti. </w:t>
      </w:r>
    </w:p>
    <w:p w14:paraId="44331B6E" w14:textId="77777777" w:rsidR="008678CF" w:rsidRDefault="008678CF" w:rsidP="000C3BFF">
      <w:pPr>
        <w:pStyle w:val="Text"/>
      </w:pPr>
      <w:r>
        <w:t xml:space="preserve">Část společenské poptávky je základním finančním nástrojem ministerstva pro řešení společenských priorit, které VVŠ nejsou schopné v rámci své samosprávné působnosti řešit. </w:t>
      </w:r>
    </w:p>
    <w:p w14:paraId="77B031AF" w14:textId="21160428" w:rsidR="008678CF" w:rsidRDefault="008678CF" w:rsidP="000C3BFF">
      <w:pPr>
        <w:pStyle w:val="Text"/>
      </w:pPr>
      <w:r>
        <w:t xml:space="preserve">Rozhodnutí o konkrétních oblastech podpory prostřednictvím tohoto ukazatele vychází obvykle z usnesení vydávaných na úrovni vlády ČR. Nejnižší úrovní pro rozhodnutí o realizaci takové podpory je rozhodnutí ministra. </w:t>
      </w:r>
    </w:p>
    <w:p w14:paraId="3D6F07E7" w14:textId="7EC68408" w:rsidR="008678CF" w:rsidRDefault="008678CF" w:rsidP="000C3BFF">
      <w:pPr>
        <w:pStyle w:val="Text"/>
      </w:pPr>
      <w:r>
        <w:t>Finanční prostředky rozdělované skrze část společenské poptávky jsou VVŠ poskytovány obvykle s víceletou perspektivou, a to na základě předchozího deklarovaného souhlasu VVŠ se zajištěním požadovaného plnění. Jedná se o</w:t>
      </w:r>
      <w:r w:rsidR="007641CD">
        <w:t xml:space="preserve"> nastavení vztahu mezi státem a </w:t>
      </w:r>
      <w:r>
        <w:t xml:space="preserve">VVŠ s využitím principu víceletého financování. Oblast takovéto podpory musí být jasně vymezena a součástí schvalovaného materiálu ministerstva musí být transparentní klíč pro přerozdělení těchto finančních prostředků. </w:t>
      </w:r>
    </w:p>
    <w:p w14:paraId="678EF02C" w14:textId="77777777" w:rsidR="008678CF" w:rsidRPr="0043303A" w:rsidRDefault="008678CF" w:rsidP="008678CF">
      <w:pPr>
        <w:spacing w:after="120"/>
        <w:rPr>
          <w:szCs w:val="24"/>
        </w:rPr>
      </w:pPr>
      <w:r w:rsidRPr="0043303A">
        <w:rPr>
          <w:szCs w:val="24"/>
        </w:rPr>
        <w:t>Další navrhované úpravy v RO I spočívají zejména:</w:t>
      </w:r>
    </w:p>
    <w:p w14:paraId="71A0BE38" w14:textId="77777777" w:rsidR="008678CF" w:rsidRPr="0043303A" w:rsidRDefault="008678CF" w:rsidP="008678CF">
      <w:pPr>
        <w:spacing w:after="120"/>
        <w:ind w:left="709" w:hanging="349"/>
        <w:rPr>
          <w:szCs w:val="24"/>
        </w:rPr>
      </w:pPr>
      <w:r w:rsidRPr="0043303A">
        <w:rPr>
          <w:szCs w:val="24"/>
        </w:rPr>
        <w:t>-</w:t>
      </w:r>
      <w:r w:rsidRPr="0043303A">
        <w:rPr>
          <w:szCs w:val="24"/>
        </w:rPr>
        <w:tab/>
        <w:t>v</w:t>
      </w:r>
      <w:r>
        <w:rPr>
          <w:szCs w:val="24"/>
        </w:rPr>
        <w:t> přenastavení referenčních hodnot pro ověřování naplnění parametrů fixní části z 31. 10. 2015 na 31. 10. 2017</w:t>
      </w:r>
    </w:p>
    <w:p w14:paraId="3EAE5C4F" w14:textId="77777777" w:rsidR="008678CF" w:rsidRPr="0043303A" w:rsidRDefault="008678CF" w:rsidP="005B6E93">
      <w:pPr>
        <w:numPr>
          <w:ilvl w:val="0"/>
          <w:numId w:val="50"/>
        </w:numPr>
        <w:spacing w:after="120"/>
        <w:rPr>
          <w:szCs w:val="24"/>
        </w:rPr>
      </w:pPr>
      <w:r>
        <w:rPr>
          <w:szCs w:val="24"/>
        </w:rPr>
        <w:t xml:space="preserve">v úpravě </w:t>
      </w:r>
      <w:r w:rsidRPr="00A839F5">
        <w:rPr>
          <w:szCs w:val="24"/>
        </w:rPr>
        <w:t>indikátoru RIV na</w:t>
      </w:r>
      <w:r>
        <w:rPr>
          <w:szCs w:val="24"/>
        </w:rPr>
        <w:t xml:space="preserve"> indikátor VaV složený, zohledňující bodové hodnoty výsledku výzkumu, vývoje a inovací evidovaných v Rejstříku informací o výsledcích (s váhou 90 %) a hodnocení výzkumných organizací dle Metodiky hodnocení výzkumných organizací a hodnocení programů účelové podpory výzkumu, vývoje a inovací, tzv. Metodika 17+ (s váhou 10 %).</w:t>
      </w:r>
    </w:p>
    <w:p w14:paraId="4218272E" w14:textId="77777777" w:rsidR="008678CF" w:rsidRPr="0043303A" w:rsidRDefault="008678CF" w:rsidP="005B6E93">
      <w:pPr>
        <w:numPr>
          <w:ilvl w:val="0"/>
          <w:numId w:val="50"/>
        </w:numPr>
        <w:spacing w:after="120"/>
        <w:rPr>
          <w:szCs w:val="24"/>
        </w:rPr>
      </w:pPr>
      <w:r>
        <w:rPr>
          <w:szCs w:val="24"/>
        </w:rPr>
        <w:t>ve vyčlenění samostatného indikátoru Samoplátci jeho vyjmutím z indikátoru Externí příjmy</w:t>
      </w:r>
    </w:p>
    <w:p w14:paraId="33A3D971" w14:textId="77777777" w:rsidR="008678CF" w:rsidRPr="0043303A" w:rsidRDefault="008678CF" w:rsidP="005B6E93">
      <w:pPr>
        <w:numPr>
          <w:ilvl w:val="0"/>
          <w:numId w:val="50"/>
        </w:numPr>
        <w:spacing w:after="120"/>
        <w:rPr>
          <w:szCs w:val="24"/>
        </w:rPr>
      </w:pPr>
      <w:r w:rsidRPr="0043303A">
        <w:rPr>
          <w:szCs w:val="24"/>
        </w:rPr>
        <w:lastRenderedPageBreak/>
        <w:t>v</w:t>
      </w:r>
      <w:r>
        <w:rPr>
          <w:szCs w:val="24"/>
        </w:rPr>
        <w:t> úpravě definice indikátoru Cizinci rozšířením jeho působnosti na akademické a vědecké pracovníky s cizím státním občanstvím</w:t>
      </w:r>
    </w:p>
    <w:p w14:paraId="2FD993B3" w14:textId="77777777" w:rsidR="008678CF" w:rsidRPr="0043303A" w:rsidRDefault="008678CF" w:rsidP="005B6E93">
      <w:pPr>
        <w:numPr>
          <w:ilvl w:val="0"/>
          <w:numId w:val="50"/>
        </w:numPr>
        <w:spacing w:after="120"/>
        <w:rPr>
          <w:szCs w:val="24"/>
        </w:rPr>
      </w:pPr>
      <w:r w:rsidRPr="0043303A">
        <w:rPr>
          <w:szCs w:val="24"/>
        </w:rPr>
        <w:t>v</w:t>
      </w:r>
      <w:r>
        <w:rPr>
          <w:szCs w:val="24"/>
        </w:rPr>
        <w:t>e specifickém přístupu k uměleckým veřejným vysokým školám kompenzací disproporce mezi nárůstem prostředků na dlouhodobý koncepční rozvoj výzkumných organizací uměleckých veřejných vysokých škol a ostatních veřejných vysokých škol.</w:t>
      </w:r>
    </w:p>
    <w:p w14:paraId="49041717" w14:textId="77777777" w:rsidR="008678CF" w:rsidRPr="0043303A" w:rsidRDefault="008678CF" w:rsidP="008678CF">
      <w:pPr>
        <w:spacing w:after="120"/>
        <w:rPr>
          <w:szCs w:val="24"/>
        </w:rPr>
      </w:pPr>
      <w:r w:rsidRPr="0043303A">
        <w:rPr>
          <w:szCs w:val="24"/>
        </w:rPr>
        <w:t>Mimo RO I jsou v Pravidlech provedeny tyto změny:</w:t>
      </w:r>
    </w:p>
    <w:p w14:paraId="3CF697C3" w14:textId="77777777" w:rsidR="008678CF" w:rsidRPr="0043303A" w:rsidRDefault="008678CF" w:rsidP="005B6E93">
      <w:pPr>
        <w:numPr>
          <w:ilvl w:val="0"/>
          <w:numId w:val="50"/>
        </w:numPr>
        <w:spacing w:after="120"/>
        <w:rPr>
          <w:szCs w:val="24"/>
        </w:rPr>
      </w:pPr>
      <w:r>
        <w:rPr>
          <w:szCs w:val="24"/>
        </w:rPr>
        <w:t>rozšíření ukazatele I rozpočtového okruhu III o program digitalizace VVŠ ve výši 50 000 000 Kč</w:t>
      </w:r>
    </w:p>
    <w:p w14:paraId="5B28D57A" w14:textId="77777777" w:rsidR="008678CF" w:rsidRPr="0043303A" w:rsidRDefault="008678CF" w:rsidP="005B6E93">
      <w:pPr>
        <w:numPr>
          <w:ilvl w:val="0"/>
          <w:numId w:val="50"/>
        </w:numPr>
        <w:spacing w:after="120"/>
        <w:rPr>
          <w:szCs w:val="24"/>
        </w:rPr>
      </w:pPr>
      <w:r>
        <w:rPr>
          <w:szCs w:val="24"/>
        </w:rPr>
        <w:t>změna výpočtu alokace v ukazateli D zohledňující mezinárodní mobility studentů.</w:t>
      </w:r>
    </w:p>
    <w:p w14:paraId="489287A8" w14:textId="2FC01699" w:rsidR="008678CF" w:rsidRDefault="008678CF" w:rsidP="00AC6E3E">
      <w:pPr>
        <w:pStyle w:val="Text"/>
      </w:pPr>
      <w:r w:rsidRPr="0043303A">
        <w:t>Uvedené úpravy Pravidel byly projednány se zástupc</w:t>
      </w:r>
      <w:r w:rsidR="00B8183F">
        <w:t>i reprezentace vysokých škol na </w:t>
      </w:r>
      <w:r w:rsidRPr="0043303A">
        <w:t>úrovni Reprezentativní komise pro rozpis rozpočtu veřejných vysokých škol.</w:t>
      </w:r>
    </w:p>
    <w:p w14:paraId="7CCA9E80" w14:textId="77777777" w:rsidR="008678CF" w:rsidRPr="0043303A" w:rsidRDefault="008678CF" w:rsidP="008678CF">
      <w:pPr>
        <w:spacing w:after="200"/>
        <w:rPr>
          <w:szCs w:val="24"/>
        </w:rPr>
      </w:pPr>
      <w:r w:rsidRPr="0043303A">
        <w:rPr>
          <w:szCs w:val="24"/>
        </w:rPr>
        <w:t>Rozpis rozpočtu na rok 201</w:t>
      </w:r>
      <w:r>
        <w:rPr>
          <w:szCs w:val="24"/>
        </w:rPr>
        <w:t>9</w:t>
      </w:r>
      <w:r w:rsidRPr="0043303A">
        <w:rPr>
          <w:szCs w:val="24"/>
        </w:rPr>
        <w:t xml:space="preserve"> byl koncipován s ohledem na několik základních principů:</w:t>
      </w:r>
    </w:p>
    <w:p w14:paraId="042F9F92" w14:textId="77777777" w:rsidR="008678CF" w:rsidRDefault="008678CF" w:rsidP="005B6E93">
      <w:pPr>
        <w:numPr>
          <w:ilvl w:val="0"/>
          <w:numId w:val="49"/>
        </w:numPr>
        <w:rPr>
          <w:szCs w:val="24"/>
        </w:rPr>
      </w:pPr>
      <w:r w:rsidRPr="0043303A">
        <w:rPr>
          <w:szCs w:val="24"/>
        </w:rPr>
        <w:t>zachování dosavadní struktury rozpočtu tvořené 4 rozpočtovými okruhy;</w:t>
      </w:r>
    </w:p>
    <w:p w14:paraId="32095C50" w14:textId="77777777" w:rsidR="008678CF" w:rsidRPr="0043303A" w:rsidRDefault="008678CF" w:rsidP="005B6E93">
      <w:pPr>
        <w:numPr>
          <w:ilvl w:val="0"/>
          <w:numId w:val="49"/>
        </w:numPr>
        <w:rPr>
          <w:szCs w:val="24"/>
        </w:rPr>
      </w:pPr>
      <w:r>
        <w:rPr>
          <w:szCs w:val="24"/>
        </w:rPr>
        <w:t>zachování stávajícího rozdělení VVŠ do 4 segmentů;</w:t>
      </w:r>
    </w:p>
    <w:p w14:paraId="2C272C5A" w14:textId="77777777" w:rsidR="008678CF" w:rsidRPr="0043303A" w:rsidRDefault="008678CF" w:rsidP="005B6E93">
      <w:pPr>
        <w:numPr>
          <w:ilvl w:val="0"/>
          <w:numId w:val="49"/>
        </w:numPr>
        <w:rPr>
          <w:szCs w:val="24"/>
        </w:rPr>
      </w:pPr>
      <w:r w:rsidRPr="0043303A">
        <w:rPr>
          <w:szCs w:val="24"/>
        </w:rPr>
        <w:t xml:space="preserve">zajištění stability rozpočtu </w:t>
      </w:r>
      <w:r>
        <w:rPr>
          <w:szCs w:val="24"/>
        </w:rPr>
        <w:t>VVŠ</w:t>
      </w:r>
      <w:r w:rsidRPr="0043303A">
        <w:rPr>
          <w:szCs w:val="24"/>
        </w:rPr>
        <w:t xml:space="preserve"> využitím ustanovení Pravidel, která omezují meziroční pokles rozpočtu jednotlivých škol z titulu změny algoritmu a v důsledku vložení aktuálních dat do výpočtu max. o 2%;</w:t>
      </w:r>
    </w:p>
    <w:p w14:paraId="75DD3084" w14:textId="77777777" w:rsidR="008678CF" w:rsidRDefault="008678CF" w:rsidP="005B6E93">
      <w:pPr>
        <w:numPr>
          <w:ilvl w:val="0"/>
          <w:numId w:val="49"/>
        </w:numPr>
        <w:rPr>
          <w:szCs w:val="24"/>
        </w:rPr>
      </w:pPr>
      <w:r w:rsidRPr="0043303A">
        <w:rPr>
          <w:szCs w:val="24"/>
        </w:rPr>
        <w:t xml:space="preserve">uplatnění specifického přístupu </w:t>
      </w:r>
      <w:r>
        <w:rPr>
          <w:szCs w:val="24"/>
        </w:rPr>
        <w:t>vůči uměleckým veřejným vysokým při nastavení podílů na fixní části;</w:t>
      </w:r>
    </w:p>
    <w:p w14:paraId="419B1E28" w14:textId="77777777" w:rsidR="008678CF" w:rsidRPr="0043303A" w:rsidRDefault="008678CF" w:rsidP="005B6E93">
      <w:pPr>
        <w:numPr>
          <w:ilvl w:val="0"/>
          <w:numId w:val="49"/>
        </w:numPr>
        <w:rPr>
          <w:szCs w:val="24"/>
        </w:rPr>
      </w:pPr>
      <w:r>
        <w:rPr>
          <w:szCs w:val="24"/>
        </w:rPr>
        <w:t>uplatnění specifického přístupu vůči uměleckým veřejným vysokým školám zohledňující disproporci mezi nárůstem prostředků na dlouhodobý koncepční rozvoj výzkumných organizací u uměleckých VVŠ a ostatních VVŠ;</w:t>
      </w:r>
    </w:p>
    <w:p w14:paraId="76E0B513" w14:textId="77777777" w:rsidR="008678CF" w:rsidRPr="0043303A" w:rsidRDefault="008678CF" w:rsidP="005B6E93">
      <w:pPr>
        <w:numPr>
          <w:ilvl w:val="0"/>
          <w:numId w:val="49"/>
        </w:numPr>
        <w:rPr>
          <w:szCs w:val="24"/>
        </w:rPr>
      </w:pPr>
      <w:r w:rsidRPr="0043303A">
        <w:rPr>
          <w:szCs w:val="24"/>
        </w:rPr>
        <w:t>nesnižování výše prostředků poskytovaných na rozpočtový okruh III;</w:t>
      </w:r>
    </w:p>
    <w:p w14:paraId="258FA439" w14:textId="77777777" w:rsidR="008678CF" w:rsidRPr="0043303A" w:rsidRDefault="008678CF" w:rsidP="005B6E93">
      <w:pPr>
        <w:numPr>
          <w:ilvl w:val="0"/>
          <w:numId w:val="49"/>
        </w:numPr>
        <w:rPr>
          <w:szCs w:val="24"/>
        </w:rPr>
      </w:pPr>
      <w:r w:rsidRPr="0043303A">
        <w:rPr>
          <w:szCs w:val="24"/>
        </w:rPr>
        <w:t xml:space="preserve">zachování výdajů na seniorské vzdělávání (U3V) a </w:t>
      </w:r>
      <w:r w:rsidRPr="008B0CDB">
        <w:rPr>
          <w:szCs w:val="24"/>
        </w:rPr>
        <w:t>navýšení výdajů na podporu studentů se specifickými potřebami (SSP) tak, aby při vzrůstajících uplatněných požadavcích neklesal podíl jejich vykrytí prostředky státního rozpočtu</w:t>
      </w:r>
      <w:r w:rsidRPr="0043303A">
        <w:rPr>
          <w:szCs w:val="24"/>
        </w:rPr>
        <w:t>.</w:t>
      </w:r>
    </w:p>
    <w:p w14:paraId="129BDE2D" w14:textId="77777777" w:rsidR="008678CF" w:rsidRPr="0043303A" w:rsidRDefault="008678CF" w:rsidP="008678CF">
      <w:pPr>
        <w:tabs>
          <w:tab w:val="left" w:pos="5280"/>
        </w:tabs>
        <w:rPr>
          <w:szCs w:val="24"/>
        </w:rPr>
      </w:pPr>
      <w:r w:rsidRPr="0043303A">
        <w:rPr>
          <w:szCs w:val="24"/>
        </w:rPr>
        <w:tab/>
      </w:r>
    </w:p>
    <w:p w14:paraId="00A7120F" w14:textId="77777777" w:rsidR="008678CF" w:rsidRDefault="008678CF" w:rsidP="008678CF">
      <w:pPr>
        <w:ind w:firstLine="709"/>
        <w:rPr>
          <w:szCs w:val="24"/>
        </w:rPr>
      </w:pPr>
      <w:r w:rsidRPr="0043303A">
        <w:rPr>
          <w:b/>
          <w:szCs w:val="24"/>
        </w:rPr>
        <w:t>Ukazatele</w:t>
      </w:r>
      <w:r w:rsidRPr="0043303A">
        <w:rPr>
          <w:szCs w:val="24"/>
        </w:rPr>
        <w:t xml:space="preserve"> použité pro rozpis rozpočtu VŠ </w:t>
      </w:r>
      <w:r>
        <w:rPr>
          <w:szCs w:val="24"/>
        </w:rPr>
        <w:t>jsou rozšířeny o ukazatel společenské poptávky „P“. J</w:t>
      </w:r>
      <w:r w:rsidRPr="0043303A">
        <w:rPr>
          <w:szCs w:val="24"/>
        </w:rPr>
        <w:t>ejich přesn</w:t>
      </w:r>
      <w:r>
        <w:rPr>
          <w:szCs w:val="24"/>
        </w:rPr>
        <w:t>é</w:t>
      </w:r>
      <w:r w:rsidRPr="0043303A">
        <w:rPr>
          <w:szCs w:val="24"/>
        </w:rPr>
        <w:t xml:space="preserve"> definice i způsob výpočtu jsou uvedeny v Pravidlech. V přehledu níže je uveden pouze jejich výčet. Finanční alokace pro rok 201</w:t>
      </w:r>
      <w:r>
        <w:rPr>
          <w:szCs w:val="24"/>
        </w:rPr>
        <w:t>9</w:t>
      </w:r>
      <w:r w:rsidRPr="0043303A">
        <w:rPr>
          <w:szCs w:val="24"/>
        </w:rPr>
        <w:t xml:space="preserve"> na každý</w:t>
      </w:r>
      <w:r w:rsidRPr="00204221">
        <w:rPr>
          <w:szCs w:val="24"/>
        </w:rPr>
        <w:t xml:space="preserve"> ukazatel je uvedena v souvisejících tabulkách.</w:t>
      </w:r>
    </w:p>
    <w:p w14:paraId="246C7549" w14:textId="77777777" w:rsidR="008678CF" w:rsidRPr="00204221" w:rsidRDefault="008678CF" w:rsidP="008678CF">
      <w:pPr>
        <w:ind w:left="567"/>
        <w:rPr>
          <w:b/>
          <w:szCs w:val="24"/>
        </w:rPr>
      </w:pPr>
    </w:p>
    <w:p w14:paraId="6FDC2EF6" w14:textId="77777777" w:rsidR="008678CF" w:rsidRPr="00204221" w:rsidRDefault="008678CF" w:rsidP="008678CF">
      <w:pPr>
        <w:spacing w:after="120"/>
        <w:ind w:left="425"/>
        <w:rPr>
          <w:szCs w:val="24"/>
          <w:u w:val="single"/>
        </w:rPr>
      </w:pPr>
      <w:r w:rsidRPr="00204221">
        <w:rPr>
          <w:szCs w:val="24"/>
          <w:u w:val="single"/>
        </w:rPr>
        <w:t>Jedná se o tyto ukazatele:</w:t>
      </w:r>
    </w:p>
    <w:p w14:paraId="6D02769B" w14:textId="77777777" w:rsidR="008678CF" w:rsidRDefault="008678CF" w:rsidP="009A7813">
      <w:pPr>
        <w:tabs>
          <w:tab w:val="left" w:pos="1843"/>
        </w:tabs>
        <w:ind w:left="426"/>
        <w:rPr>
          <w:szCs w:val="24"/>
        </w:rPr>
      </w:pPr>
      <w:r>
        <w:rPr>
          <w:szCs w:val="24"/>
        </w:rPr>
        <w:t>RO I</w:t>
      </w:r>
      <w:r>
        <w:rPr>
          <w:szCs w:val="24"/>
        </w:rPr>
        <w:tab/>
        <w:t>u</w:t>
      </w:r>
      <w:r w:rsidRPr="00204221">
        <w:rPr>
          <w:szCs w:val="24"/>
        </w:rPr>
        <w:t>kazatel A</w:t>
      </w:r>
      <w:r>
        <w:rPr>
          <w:szCs w:val="24"/>
        </w:rPr>
        <w:tab/>
        <w:t>fixní část</w:t>
      </w:r>
      <w:r w:rsidRPr="00204221">
        <w:rPr>
          <w:szCs w:val="24"/>
        </w:rPr>
        <w:t>,</w:t>
      </w:r>
    </w:p>
    <w:p w14:paraId="128D1BD0" w14:textId="77777777" w:rsidR="008678CF" w:rsidRDefault="008678CF" w:rsidP="009A7813">
      <w:pPr>
        <w:tabs>
          <w:tab w:val="left" w:pos="1843"/>
        </w:tabs>
        <w:ind w:left="426"/>
        <w:rPr>
          <w:szCs w:val="24"/>
        </w:rPr>
      </w:pPr>
      <w:r>
        <w:rPr>
          <w:szCs w:val="24"/>
        </w:rPr>
        <w:tab/>
        <w:t>ukazatel K</w:t>
      </w:r>
      <w:r>
        <w:rPr>
          <w:szCs w:val="24"/>
        </w:rPr>
        <w:tab/>
        <w:t>výkonová část,</w:t>
      </w:r>
    </w:p>
    <w:p w14:paraId="4A70A5A5" w14:textId="478C5389" w:rsidR="008678CF" w:rsidRDefault="008678CF" w:rsidP="009A7813">
      <w:pPr>
        <w:tabs>
          <w:tab w:val="left" w:pos="1843"/>
        </w:tabs>
        <w:ind w:left="425"/>
        <w:rPr>
          <w:szCs w:val="24"/>
        </w:rPr>
      </w:pPr>
      <w:r>
        <w:rPr>
          <w:szCs w:val="24"/>
        </w:rPr>
        <w:tab/>
        <w:t>ukazatel P</w:t>
      </w:r>
      <w:r>
        <w:rPr>
          <w:szCs w:val="24"/>
        </w:rPr>
        <w:tab/>
      </w:r>
      <w:r w:rsidR="00B83F48">
        <w:rPr>
          <w:szCs w:val="24"/>
        </w:rPr>
        <w:tab/>
      </w:r>
      <w:r>
        <w:rPr>
          <w:szCs w:val="24"/>
        </w:rPr>
        <w:t>společenská poptávka</w:t>
      </w:r>
    </w:p>
    <w:p w14:paraId="5E8F95CA" w14:textId="77777777" w:rsidR="008678CF" w:rsidRDefault="008678CF" w:rsidP="009A7813">
      <w:pPr>
        <w:ind w:left="1843" w:hanging="1417"/>
        <w:rPr>
          <w:szCs w:val="24"/>
        </w:rPr>
      </w:pPr>
      <w:r>
        <w:rPr>
          <w:szCs w:val="24"/>
        </w:rPr>
        <w:t>RO II</w:t>
      </w:r>
      <w:r>
        <w:rPr>
          <w:szCs w:val="24"/>
        </w:rPr>
        <w:tab/>
      </w:r>
      <w:r w:rsidRPr="00204221">
        <w:rPr>
          <w:szCs w:val="24"/>
        </w:rPr>
        <w:t>ukazatel C</w:t>
      </w:r>
      <w:r w:rsidRPr="00204221">
        <w:rPr>
          <w:szCs w:val="24"/>
        </w:rPr>
        <w:tab/>
        <w:t>stipendia pro studenty doktorských akreditovaných</w:t>
      </w:r>
    </w:p>
    <w:p w14:paraId="457240F9" w14:textId="1C73F466" w:rsidR="008678CF" w:rsidRDefault="008678CF" w:rsidP="009A7813">
      <w:pPr>
        <w:ind w:left="1843" w:hanging="1417"/>
        <w:rPr>
          <w:szCs w:val="24"/>
        </w:rPr>
      </w:pPr>
      <w:r>
        <w:rPr>
          <w:szCs w:val="24"/>
        </w:rPr>
        <w:t xml:space="preserve">                   </w:t>
      </w:r>
      <w:r w:rsidR="005607F5">
        <w:rPr>
          <w:szCs w:val="24"/>
        </w:rPr>
        <w:t xml:space="preserve">                            </w:t>
      </w:r>
      <w:r w:rsidRPr="00204221">
        <w:rPr>
          <w:szCs w:val="24"/>
        </w:rPr>
        <w:t>studijních programů,</w:t>
      </w:r>
    </w:p>
    <w:p w14:paraId="4B335B16" w14:textId="6D6D8203" w:rsidR="008678CF" w:rsidRPr="00204221" w:rsidRDefault="008678CF" w:rsidP="009A7813">
      <w:pPr>
        <w:tabs>
          <w:tab w:val="left" w:pos="1843"/>
        </w:tabs>
        <w:ind w:left="426"/>
        <w:rPr>
          <w:szCs w:val="24"/>
        </w:rPr>
      </w:pPr>
      <w:r>
        <w:rPr>
          <w:szCs w:val="24"/>
        </w:rPr>
        <w:tab/>
      </w:r>
      <w:r w:rsidRPr="00204221">
        <w:rPr>
          <w:szCs w:val="24"/>
        </w:rPr>
        <w:t>ukazatel S</w:t>
      </w:r>
      <w:r w:rsidRPr="00204221">
        <w:rPr>
          <w:szCs w:val="24"/>
        </w:rPr>
        <w:tab/>
      </w:r>
      <w:r w:rsidR="00B83F48">
        <w:rPr>
          <w:szCs w:val="24"/>
        </w:rPr>
        <w:tab/>
      </w:r>
      <w:r w:rsidRPr="00204221">
        <w:rPr>
          <w:szCs w:val="24"/>
        </w:rPr>
        <w:t>sociální stipendia studentů,</w:t>
      </w:r>
    </w:p>
    <w:p w14:paraId="0C3A318A" w14:textId="77777777" w:rsidR="008678CF" w:rsidRPr="00204221" w:rsidRDefault="008678CF" w:rsidP="009A7813">
      <w:pPr>
        <w:tabs>
          <w:tab w:val="left" w:pos="1843"/>
        </w:tabs>
        <w:ind w:left="426"/>
        <w:rPr>
          <w:szCs w:val="24"/>
        </w:rPr>
      </w:pPr>
      <w:r>
        <w:rPr>
          <w:szCs w:val="24"/>
        </w:rPr>
        <w:tab/>
      </w:r>
      <w:r w:rsidRPr="00204221">
        <w:rPr>
          <w:szCs w:val="24"/>
        </w:rPr>
        <w:t>ukazatel U</w:t>
      </w:r>
      <w:r w:rsidRPr="00204221">
        <w:rPr>
          <w:szCs w:val="24"/>
        </w:rPr>
        <w:tab/>
        <w:t>ubytovací stipendia studentů,</w:t>
      </w:r>
    </w:p>
    <w:p w14:paraId="2F8B26BE" w14:textId="77777777" w:rsidR="008678CF" w:rsidRDefault="008678CF" w:rsidP="009A7813">
      <w:pPr>
        <w:ind w:left="1843"/>
        <w:rPr>
          <w:szCs w:val="24"/>
        </w:rPr>
      </w:pPr>
      <w:r w:rsidRPr="00204221">
        <w:rPr>
          <w:szCs w:val="24"/>
        </w:rPr>
        <w:t>ukazatel J</w:t>
      </w:r>
      <w:r w:rsidRPr="00204221">
        <w:rPr>
          <w:szCs w:val="24"/>
        </w:rPr>
        <w:tab/>
      </w:r>
      <w:r>
        <w:rPr>
          <w:szCs w:val="24"/>
        </w:rPr>
        <w:tab/>
      </w:r>
      <w:r w:rsidRPr="00204221">
        <w:rPr>
          <w:szCs w:val="24"/>
        </w:rPr>
        <w:t>dotace na ubytování a stravování studentů.</w:t>
      </w:r>
    </w:p>
    <w:p w14:paraId="085A15ED" w14:textId="77777777" w:rsidR="008678CF" w:rsidRPr="00204221" w:rsidRDefault="008678CF" w:rsidP="009A7813">
      <w:pPr>
        <w:tabs>
          <w:tab w:val="left" w:pos="1134"/>
          <w:tab w:val="left" w:pos="1418"/>
          <w:tab w:val="left" w:pos="1843"/>
        </w:tabs>
        <w:ind w:left="425"/>
        <w:rPr>
          <w:szCs w:val="24"/>
        </w:rPr>
      </w:pPr>
      <w:r>
        <w:rPr>
          <w:szCs w:val="24"/>
        </w:rPr>
        <w:t>RO III</w:t>
      </w:r>
      <w:r w:rsidRPr="008B0CDB">
        <w:rPr>
          <w:szCs w:val="24"/>
        </w:rPr>
        <w:t xml:space="preserve"> </w:t>
      </w:r>
      <w:r>
        <w:rPr>
          <w:szCs w:val="24"/>
        </w:rPr>
        <w:tab/>
      </w:r>
      <w:r>
        <w:rPr>
          <w:szCs w:val="24"/>
        </w:rPr>
        <w:tab/>
      </w:r>
      <w:r>
        <w:rPr>
          <w:szCs w:val="24"/>
        </w:rPr>
        <w:tab/>
      </w:r>
      <w:r w:rsidRPr="00204221">
        <w:rPr>
          <w:szCs w:val="24"/>
        </w:rPr>
        <w:t>ukazatel I</w:t>
      </w:r>
      <w:r w:rsidRPr="00204221">
        <w:rPr>
          <w:szCs w:val="24"/>
        </w:rPr>
        <w:tab/>
      </w:r>
      <w:r w:rsidRPr="00204221">
        <w:rPr>
          <w:szCs w:val="24"/>
        </w:rPr>
        <w:tab/>
        <w:t>rozvojové programy,</w:t>
      </w:r>
    </w:p>
    <w:p w14:paraId="0307E2D8" w14:textId="77777777" w:rsidR="008678CF" w:rsidRPr="00204221" w:rsidRDefault="008678CF" w:rsidP="009A7813">
      <w:pPr>
        <w:tabs>
          <w:tab w:val="left" w:pos="1843"/>
        </w:tabs>
        <w:ind w:left="426"/>
        <w:rPr>
          <w:szCs w:val="24"/>
        </w:rPr>
      </w:pPr>
      <w:r>
        <w:rPr>
          <w:szCs w:val="24"/>
        </w:rPr>
        <w:t>RO IV</w:t>
      </w:r>
      <w:r>
        <w:rPr>
          <w:szCs w:val="24"/>
        </w:rPr>
        <w:tab/>
      </w:r>
      <w:r w:rsidRPr="00204221">
        <w:rPr>
          <w:szCs w:val="24"/>
        </w:rPr>
        <w:t>ukazatel D</w:t>
      </w:r>
      <w:r w:rsidRPr="00204221">
        <w:rPr>
          <w:szCs w:val="24"/>
        </w:rPr>
        <w:tab/>
        <w:t>podpora mezinárodní spolupráce,</w:t>
      </w:r>
    </w:p>
    <w:p w14:paraId="60961F5B" w14:textId="1D21A5BA" w:rsidR="008678CF" w:rsidRDefault="008678CF" w:rsidP="008678CF">
      <w:pPr>
        <w:tabs>
          <w:tab w:val="left" w:pos="1843"/>
        </w:tabs>
        <w:ind w:left="426"/>
        <w:rPr>
          <w:szCs w:val="24"/>
        </w:rPr>
      </w:pPr>
      <w:r>
        <w:rPr>
          <w:szCs w:val="24"/>
        </w:rPr>
        <w:tab/>
      </w:r>
      <w:r w:rsidRPr="00204221">
        <w:rPr>
          <w:szCs w:val="24"/>
        </w:rPr>
        <w:t>ukazatel F</w:t>
      </w:r>
      <w:r w:rsidRPr="00204221">
        <w:rPr>
          <w:szCs w:val="24"/>
        </w:rPr>
        <w:tab/>
      </w:r>
      <w:r w:rsidR="00B83F48">
        <w:rPr>
          <w:szCs w:val="24"/>
        </w:rPr>
        <w:tab/>
      </w:r>
      <w:r w:rsidRPr="00204221">
        <w:rPr>
          <w:szCs w:val="24"/>
        </w:rPr>
        <w:t>vzdělávací projekty, programy a záměry,</w:t>
      </w:r>
    </w:p>
    <w:p w14:paraId="05CA55F7" w14:textId="77777777" w:rsidR="00EA764A" w:rsidRDefault="00EA764A" w:rsidP="008678CF">
      <w:pPr>
        <w:tabs>
          <w:tab w:val="left" w:pos="1843"/>
        </w:tabs>
        <w:ind w:left="426"/>
        <w:rPr>
          <w:szCs w:val="24"/>
        </w:rPr>
      </w:pPr>
    </w:p>
    <w:p w14:paraId="3E508F5D" w14:textId="77777777" w:rsidR="00EA764A" w:rsidRPr="00204221" w:rsidRDefault="00EA764A" w:rsidP="008678CF">
      <w:pPr>
        <w:tabs>
          <w:tab w:val="left" w:pos="1843"/>
        </w:tabs>
        <w:ind w:left="426"/>
        <w:rPr>
          <w:szCs w:val="24"/>
        </w:rPr>
      </w:pPr>
    </w:p>
    <w:p w14:paraId="2F875141" w14:textId="77777777" w:rsidR="008678CF" w:rsidRPr="00CC4589" w:rsidRDefault="008678CF" w:rsidP="0031482F">
      <w:pPr>
        <w:pStyle w:val="Nadpis4"/>
      </w:pPr>
      <w:bookmarkStart w:id="68" w:name="_Toc5968831"/>
      <w:r w:rsidRPr="00CC4589">
        <w:lastRenderedPageBreak/>
        <w:t>Charakteristika výdajů</w:t>
      </w:r>
      <w:bookmarkEnd w:id="68"/>
    </w:p>
    <w:p w14:paraId="7544FD8E" w14:textId="77777777" w:rsidR="008678CF" w:rsidRPr="00CC4589" w:rsidRDefault="008678CF" w:rsidP="008678CF">
      <w:pPr>
        <w:rPr>
          <w:b/>
          <w:i/>
          <w:szCs w:val="24"/>
        </w:rPr>
      </w:pPr>
    </w:p>
    <w:p w14:paraId="72C033B5" w14:textId="525F0A31" w:rsidR="008678CF" w:rsidRDefault="008678CF" w:rsidP="000C3BFF">
      <w:pPr>
        <w:spacing w:before="60" w:after="60"/>
        <w:ind w:firstLine="709"/>
        <w:rPr>
          <w:szCs w:val="24"/>
        </w:rPr>
      </w:pPr>
      <w:r w:rsidRPr="00CC4589">
        <w:rPr>
          <w:szCs w:val="24"/>
        </w:rPr>
        <w:t>Institucionální část rozpočtu</w:t>
      </w:r>
      <w:r>
        <w:rPr>
          <w:szCs w:val="24"/>
        </w:rPr>
        <w:t>,</w:t>
      </w:r>
      <w:r w:rsidRPr="00CC4589">
        <w:rPr>
          <w:szCs w:val="24"/>
        </w:rPr>
        <w:t xml:space="preserve"> představující </w:t>
      </w:r>
      <w:r>
        <w:rPr>
          <w:szCs w:val="24"/>
        </w:rPr>
        <w:t>82</w:t>
      </w:r>
      <w:r w:rsidRPr="0043303A">
        <w:rPr>
          <w:szCs w:val="24"/>
        </w:rPr>
        <w:t>,</w:t>
      </w:r>
      <w:r>
        <w:rPr>
          <w:szCs w:val="24"/>
        </w:rPr>
        <w:t>5</w:t>
      </w:r>
      <w:r w:rsidRPr="0043303A">
        <w:rPr>
          <w:szCs w:val="24"/>
        </w:rPr>
        <w:t xml:space="preserve"> % výdajů na činnost, tvoří rozpočtový okruh I. Rozdělení prostředků rozpočtu VŠ v institucionální části financování </w:t>
      </w:r>
      <w:r>
        <w:rPr>
          <w:szCs w:val="24"/>
        </w:rPr>
        <w:t>VVŠ</w:t>
      </w:r>
      <w:r w:rsidRPr="0043303A">
        <w:rPr>
          <w:szCs w:val="24"/>
        </w:rPr>
        <w:t xml:space="preserve"> je kombinací výkonové</w:t>
      </w:r>
      <w:r>
        <w:rPr>
          <w:szCs w:val="24"/>
        </w:rPr>
        <w:t xml:space="preserve"> a</w:t>
      </w:r>
      <w:r w:rsidRPr="0043303A">
        <w:rPr>
          <w:szCs w:val="24"/>
        </w:rPr>
        <w:t xml:space="preserve"> kvalitativní části</w:t>
      </w:r>
      <w:r>
        <w:rPr>
          <w:szCs w:val="24"/>
        </w:rPr>
        <w:t xml:space="preserve"> a části společenské poptávky</w:t>
      </w:r>
      <w:r w:rsidRPr="0043303A">
        <w:rPr>
          <w:szCs w:val="24"/>
        </w:rPr>
        <w:t xml:space="preserve">. Finanční prostředky v RO I jsou jednotlivým </w:t>
      </w:r>
      <w:r>
        <w:rPr>
          <w:szCs w:val="24"/>
        </w:rPr>
        <w:t>VVŠ</w:t>
      </w:r>
      <w:r w:rsidRPr="0043303A">
        <w:rPr>
          <w:szCs w:val="24"/>
        </w:rPr>
        <w:t xml:space="preserve"> rozdělovány formou příspěvku prostřednictvím </w:t>
      </w:r>
      <w:r>
        <w:rPr>
          <w:szCs w:val="24"/>
        </w:rPr>
        <w:t>tří</w:t>
      </w:r>
      <w:r w:rsidRPr="0043303A">
        <w:rPr>
          <w:szCs w:val="24"/>
        </w:rPr>
        <w:t xml:space="preserve"> ukazatelů, ukazatele A (tzv. fixní část) představujícího základní stabilizační prvek rozpočtu </w:t>
      </w:r>
      <w:r>
        <w:rPr>
          <w:szCs w:val="24"/>
        </w:rPr>
        <w:t>VVŠ</w:t>
      </w:r>
      <w:r w:rsidRPr="0043303A">
        <w:rPr>
          <w:szCs w:val="24"/>
        </w:rPr>
        <w:t xml:space="preserve">, který vychází především z výkonů jednotlivých </w:t>
      </w:r>
      <w:r>
        <w:rPr>
          <w:szCs w:val="24"/>
        </w:rPr>
        <w:t>VVŠ</w:t>
      </w:r>
      <w:r w:rsidRPr="0043303A">
        <w:rPr>
          <w:szCs w:val="24"/>
        </w:rPr>
        <w:t xml:space="preserve"> (kvantitativními ukazateli jsou počty studentů a ekonomická náročnost vyučovaných studijních programů)</w:t>
      </w:r>
      <w:r>
        <w:rPr>
          <w:szCs w:val="24"/>
        </w:rPr>
        <w:t>,</w:t>
      </w:r>
      <w:r w:rsidRPr="0043303A">
        <w:rPr>
          <w:szCs w:val="24"/>
        </w:rPr>
        <w:t xml:space="preserve"> ukazatele K (tzv. výkonová část), který je založen na vyhodnocení souboru </w:t>
      </w:r>
      <w:r>
        <w:rPr>
          <w:szCs w:val="24"/>
        </w:rPr>
        <w:t>8</w:t>
      </w:r>
      <w:r w:rsidRPr="0043303A">
        <w:rPr>
          <w:szCs w:val="24"/>
        </w:rPr>
        <w:t xml:space="preserve"> ukazatelů výkonu a kvality</w:t>
      </w:r>
      <w:r>
        <w:rPr>
          <w:szCs w:val="24"/>
        </w:rPr>
        <w:t xml:space="preserve"> a ukazatele P (tzv. část společenské poptávky), který představuje finanční prostředky na podporu společensky potřebných oborů</w:t>
      </w:r>
      <w:r w:rsidRPr="0043303A">
        <w:rPr>
          <w:szCs w:val="24"/>
        </w:rPr>
        <w:t xml:space="preserve">. </w:t>
      </w:r>
      <w:r w:rsidRPr="000331B1">
        <w:rPr>
          <w:szCs w:val="24"/>
        </w:rPr>
        <w:t>V roce 2019 je v rámci ukazatele „P“ společenské poptávky přerozdělováno 615 000 000 Kč, přičemž 500 000 000 Kč bude alokováno lékařským fakultám na navýšení studentů lékařských oborů o 15</w:t>
      </w:r>
      <w:r w:rsidR="00D7506F">
        <w:rPr>
          <w:szCs w:val="24"/>
        </w:rPr>
        <w:t xml:space="preserve"> </w:t>
      </w:r>
      <w:r w:rsidRPr="000331B1">
        <w:rPr>
          <w:szCs w:val="24"/>
        </w:rPr>
        <w:t>% a 115 000 000 Kč pedagogickým fakultám na řešení systematického nedostatku pedagogů (85 000 000 Kč na podporu studijních programů vzdělávajících budoucí učitele bude poskytnuto prostřednictvím ukazatele „F“).</w:t>
      </w:r>
    </w:p>
    <w:p w14:paraId="528CA229" w14:textId="2316CE8C" w:rsidR="008678CF" w:rsidRPr="0043303A" w:rsidRDefault="008678CF" w:rsidP="000C3BFF">
      <w:pPr>
        <w:spacing w:before="60" w:after="60"/>
        <w:ind w:firstLine="709"/>
        <w:rPr>
          <w:szCs w:val="24"/>
        </w:rPr>
      </w:pPr>
      <w:r w:rsidRPr="0043303A">
        <w:rPr>
          <w:szCs w:val="24"/>
        </w:rPr>
        <w:t xml:space="preserve">Prostřednictvím rozpočtového okruhu II jsou řešeny především sociální záležitosti studentů. Prostředky jsou přidělovány VVŠ formou příspěvku (mimo dotace na ubytování a stravování studentů), soukromým vysokým školám (SVŠ) formou dotace. Rozpočtový okruh II představuje </w:t>
      </w:r>
      <w:r>
        <w:rPr>
          <w:szCs w:val="24"/>
        </w:rPr>
        <w:t>9</w:t>
      </w:r>
      <w:r w:rsidRPr="0043303A">
        <w:rPr>
          <w:szCs w:val="24"/>
        </w:rPr>
        <w:t>,3 % výdajů.</w:t>
      </w:r>
    </w:p>
    <w:p w14:paraId="7835DF06" w14:textId="77777777" w:rsidR="008678CF" w:rsidRPr="0043303A" w:rsidRDefault="008678CF" w:rsidP="000C3BFF">
      <w:pPr>
        <w:spacing w:before="60" w:after="60"/>
        <w:ind w:firstLine="709"/>
        <w:rPr>
          <w:szCs w:val="24"/>
        </w:rPr>
      </w:pPr>
      <w:r w:rsidRPr="0043303A">
        <w:rPr>
          <w:szCs w:val="24"/>
        </w:rPr>
        <w:t>Rozpočtový okruh III představující 5,</w:t>
      </w:r>
      <w:r>
        <w:rPr>
          <w:szCs w:val="24"/>
        </w:rPr>
        <w:t>1</w:t>
      </w:r>
      <w:r w:rsidRPr="0043303A">
        <w:rPr>
          <w:szCs w:val="24"/>
        </w:rPr>
        <w:t xml:space="preserve"> % výdajů rozpočtu obsahuje výdaje na</w:t>
      </w:r>
      <w:r>
        <w:rPr>
          <w:szCs w:val="24"/>
        </w:rPr>
        <w:t> </w:t>
      </w:r>
      <w:r w:rsidRPr="0043303A">
        <w:rPr>
          <w:szCs w:val="24"/>
        </w:rPr>
        <w:t>institucionální plány</w:t>
      </w:r>
      <w:r>
        <w:rPr>
          <w:szCs w:val="24"/>
        </w:rPr>
        <w:t>,</w:t>
      </w:r>
      <w:r w:rsidRPr="0043303A">
        <w:rPr>
          <w:szCs w:val="24"/>
        </w:rPr>
        <w:t xml:space="preserve"> centralizované rozvojové projekty</w:t>
      </w:r>
      <w:r>
        <w:rPr>
          <w:szCs w:val="24"/>
        </w:rPr>
        <w:t xml:space="preserve"> a nově také na program digitalizace</w:t>
      </w:r>
      <w:r w:rsidRPr="0043303A">
        <w:rPr>
          <w:szCs w:val="24"/>
        </w:rPr>
        <w:t>.</w:t>
      </w:r>
    </w:p>
    <w:p w14:paraId="45B9EB1B" w14:textId="77777777" w:rsidR="008678CF" w:rsidRPr="0043303A" w:rsidRDefault="008678CF" w:rsidP="000C3BFF">
      <w:pPr>
        <w:spacing w:before="60" w:after="60"/>
        <w:ind w:firstLine="709"/>
        <w:rPr>
          <w:szCs w:val="24"/>
        </w:rPr>
      </w:pPr>
      <w:r w:rsidRPr="0043303A">
        <w:rPr>
          <w:szCs w:val="24"/>
        </w:rPr>
        <w:t>V rozpočtovém okruhu IV (</w:t>
      </w:r>
      <w:r>
        <w:rPr>
          <w:szCs w:val="24"/>
        </w:rPr>
        <w:t>3</w:t>
      </w:r>
      <w:r w:rsidRPr="0043303A">
        <w:rPr>
          <w:szCs w:val="24"/>
        </w:rPr>
        <w:t>,</w:t>
      </w:r>
      <w:r>
        <w:rPr>
          <w:szCs w:val="24"/>
        </w:rPr>
        <w:t>1</w:t>
      </w:r>
      <w:r w:rsidRPr="0043303A">
        <w:rPr>
          <w:szCs w:val="24"/>
        </w:rPr>
        <w:t xml:space="preserve"> % z rozpočtu) jsou rozpočtovány výdaje na podporu mezinárodní spolupráce</w:t>
      </w:r>
      <w:r>
        <w:rPr>
          <w:szCs w:val="24"/>
        </w:rPr>
        <w:t xml:space="preserve"> (z</w:t>
      </w:r>
      <w:r w:rsidRPr="0043303A">
        <w:rPr>
          <w:szCs w:val="24"/>
        </w:rPr>
        <w:t>ejména se jedná o výdaje související s mobilitami, zejména programem ERASMUS+</w:t>
      </w:r>
      <w:r>
        <w:rPr>
          <w:szCs w:val="24"/>
        </w:rPr>
        <w:t>,</w:t>
      </w:r>
      <w:r w:rsidRPr="0043303A">
        <w:rPr>
          <w:szCs w:val="24"/>
        </w:rPr>
        <w:t xml:space="preserve"> </w:t>
      </w:r>
      <w:r>
        <w:rPr>
          <w:szCs w:val="24"/>
        </w:rPr>
        <w:t>a</w:t>
      </w:r>
      <w:r w:rsidRPr="0043303A">
        <w:rPr>
          <w:szCs w:val="24"/>
        </w:rPr>
        <w:t xml:space="preserve"> výdaje na mobilitní program CEEPUS) a ostatní výdaje Fondu vzdělávací politiky. </w:t>
      </w:r>
    </w:p>
    <w:p w14:paraId="087D4374" w14:textId="77777777" w:rsidR="008678CF" w:rsidRPr="0043303A" w:rsidRDefault="008678CF" w:rsidP="008678CF">
      <w:pPr>
        <w:spacing w:after="120"/>
        <w:ind w:firstLine="709"/>
        <w:rPr>
          <w:szCs w:val="24"/>
        </w:rPr>
      </w:pPr>
      <w:r w:rsidRPr="0043303A">
        <w:rPr>
          <w:szCs w:val="24"/>
        </w:rPr>
        <w:t>Fond vzdělávací politiky bude v roce 201</w:t>
      </w:r>
      <w:r>
        <w:rPr>
          <w:szCs w:val="24"/>
        </w:rPr>
        <w:t>9</w:t>
      </w:r>
      <w:r w:rsidRPr="0043303A">
        <w:rPr>
          <w:szCs w:val="24"/>
        </w:rPr>
        <w:t xml:space="preserve"> využit především na řešení významných společenských témat, jimiž je obdobně s rokem 201</w:t>
      </w:r>
      <w:r>
        <w:rPr>
          <w:szCs w:val="24"/>
        </w:rPr>
        <w:t>8</w:t>
      </w:r>
      <w:r w:rsidRPr="0043303A">
        <w:rPr>
          <w:szCs w:val="24"/>
        </w:rPr>
        <w:t xml:space="preserve"> problematika vzdělávání budoucích pedagogů</w:t>
      </w:r>
      <w:r>
        <w:rPr>
          <w:szCs w:val="24"/>
        </w:rPr>
        <w:t>, podpora tzv. malých oborů a podpora umělecké tvůrčí činnosti</w:t>
      </w:r>
      <w:r w:rsidRPr="0043303A">
        <w:rPr>
          <w:szCs w:val="24"/>
        </w:rPr>
        <w:t>. Dále jsou zde rozpočtovány prostředky na podporu zvýšených nákladů vysokých škol na studium studentů se specifickými potřebami (SSP) a na vzdělávání seniorů prostřednictvím Univerzit třetího věku (U3V).</w:t>
      </w:r>
    </w:p>
    <w:p w14:paraId="4891680C" w14:textId="77777777" w:rsidR="008678CF" w:rsidRPr="0043303A" w:rsidRDefault="008678CF" w:rsidP="00911311">
      <w:pPr>
        <w:pStyle w:val="Text"/>
      </w:pPr>
      <w:r w:rsidRPr="0043303A">
        <w:t>Součástí tohoto ukazatele rozpočtu VŠ jsou i výdaje poskytované SVŠ a státní vysoké škole – Univerzitě obrany.</w:t>
      </w:r>
    </w:p>
    <w:p w14:paraId="0D5162F6" w14:textId="77777777" w:rsidR="008678CF" w:rsidRDefault="008678CF" w:rsidP="008678CF">
      <w:pPr>
        <w:spacing w:after="120"/>
        <w:rPr>
          <w:szCs w:val="24"/>
        </w:rPr>
      </w:pPr>
      <w:r w:rsidRPr="0043303A">
        <w:rPr>
          <w:szCs w:val="24"/>
        </w:rPr>
        <w:t>Prostředky pro SVŠ obsažené ve výdajových okruzích II a IV v</w:t>
      </w:r>
      <w:r>
        <w:rPr>
          <w:szCs w:val="24"/>
        </w:rPr>
        <w:t xml:space="preserve"> souhrnné</w:t>
      </w:r>
      <w:r w:rsidRPr="0043303A">
        <w:rPr>
          <w:szCs w:val="24"/>
        </w:rPr>
        <w:t xml:space="preserve"> výši </w:t>
      </w:r>
      <w:r>
        <w:rPr>
          <w:szCs w:val="24"/>
        </w:rPr>
        <w:t>40</w:t>
      </w:r>
      <w:r w:rsidRPr="0043303A">
        <w:rPr>
          <w:szCs w:val="24"/>
        </w:rPr>
        <w:t xml:space="preserve"> 000 </w:t>
      </w:r>
      <w:r w:rsidR="00C45C9D">
        <w:rPr>
          <w:szCs w:val="24"/>
        </w:rPr>
        <w:t>000</w:t>
      </w:r>
      <w:r w:rsidRPr="0043303A">
        <w:rPr>
          <w:szCs w:val="24"/>
        </w:rPr>
        <w:t xml:space="preserve"> Kč jsou plánovány na dotace na sociální a ubytovací stipendia a na zajištění plnění závazku veřejné služby Vysoké škole zdravotnické, o. p. s. Prostředky na podporu financování studia civilních studentů studujících na Univerzitě obrany jsou v rozpočtu na rok 201</w:t>
      </w:r>
      <w:r>
        <w:rPr>
          <w:szCs w:val="24"/>
        </w:rPr>
        <w:t>9</w:t>
      </w:r>
      <w:r w:rsidRPr="0043303A">
        <w:rPr>
          <w:szCs w:val="24"/>
        </w:rPr>
        <w:t xml:space="preserve"> rozpočtovány, s ohledem na rozpočtové možnosti i vývoj počtu studentů, částkou ve výši 2</w:t>
      </w:r>
      <w:r>
        <w:rPr>
          <w:szCs w:val="24"/>
        </w:rPr>
        <w:t>4 </w:t>
      </w:r>
      <w:r w:rsidRPr="0043303A">
        <w:rPr>
          <w:szCs w:val="24"/>
        </w:rPr>
        <w:t xml:space="preserve">000 </w:t>
      </w:r>
      <w:r w:rsidR="00C45C9D">
        <w:rPr>
          <w:szCs w:val="24"/>
        </w:rPr>
        <w:t>000</w:t>
      </w:r>
      <w:r w:rsidRPr="0043303A">
        <w:rPr>
          <w:szCs w:val="24"/>
        </w:rPr>
        <w:t xml:space="preserve"> Kč.</w:t>
      </w:r>
    </w:p>
    <w:p w14:paraId="1F44C21C" w14:textId="77777777" w:rsidR="009A7813" w:rsidRPr="0043303A" w:rsidRDefault="009A7813" w:rsidP="008678CF">
      <w:pPr>
        <w:spacing w:after="120"/>
        <w:rPr>
          <w:szCs w:val="24"/>
        </w:rPr>
      </w:pPr>
    </w:p>
    <w:p w14:paraId="064E3F9A" w14:textId="77777777" w:rsidR="008678CF" w:rsidRPr="0043303A" w:rsidRDefault="008678CF" w:rsidP="0031482F">
      <w:pPr>
        <w:pStyle w:val="Nadpis4"/>
      </w:pPr>
      <w:bookmarkStart w:id="69" w:name="_Toc318894717"/>
      <w:bookmarkStart w:id="70" w:name="_Toc5968832"/>
      <w:r w:rsidRPr="004852C6">
        <w:t xml:space="preserve">Rozpis rozpočtu vysokých škol na rok </w:t>
      </w:r>
      <w:r w:rsidRPr="0043303A">
        <w:t>201</w:t>
      </w:r>
      <w:r>
        <w:t>9</w:t>
      </w:r>
      <w:r w:rsidRPr="0043303A">
        <w:t xml:space="preserve"> ve srovnání s rokem </w:t>
      </w:r>
      <w:bookmarkEnd w:id="69"/>
      <w:r w:rsidRPr="0043303A">
        <w:t>201</w:t>
      </w:r>
      <w:r>
        <w:t>8</w:t>
      </w:r>
      <w:bookmarkEnd w:id="70"/>
      <w:r w:rsidRPr="0043303A">
        <w:tab/>
      </w:r>
    </w:p>
    <w:p w14:paraId="02EAAE52" w14:textId="77777777" w:rsidR="008678CF" w:rsidRPr="0043303A" w:rsidRDefault="008678CF" w:rsidP="008678CF">
      <w:pPr>
        <w:ind w:left="360"/>
        <w:rPr>
          <w:szCs w:val="24"/>
        </w:rPr>
      </w:pPr>
    </w:p>
    <w:p w14:paraId="002E3C2F" w14:textId="48DDC7EB" w:rsidR="008678CF" w:rsidRPr="0043303A" w:rsidRDefault="008678CF" w:rsidP="000C3BFF">
      <w:pPr>
        <w:pStyle w:val="Text"/>
      </w:pPr>
      <w:r w:rsidRPr="0043303A">
        <w:t>Výše rozpočtu na rok 201</w:t>
      </w:r>
      <w:r>
        <w:t>9</w:t>
      </w:r>
      <w:r w:rsidRPr="0043303A">
        <w:t xml:space="preserve"> v ukazateli „vysoké školy“ je oproti rozpočtu na rok 201</w:t>
      </w:r>
      <w:r>
        <w:t>8</w:t>
      </w:r>
      <w:r w:rsidRPr="0043303A">
        <w:t xml:space="preserve"> vyšší o </w:t>
      </w:r>
      <w:r>
        <w:t>1</w:t>
      </w:r>
      <w:r w:rsidRPr="0043303A">
        <w:t> 9</w:t>
      </w:r>
      <w:r>
        <w:t>17</w:t>
      </w:r>
      <w:r w:rsidRPr="0043303A">
        <w:t xml:space="preserve"> </w:t>
      </w:r>
      <w:r>
        <w:t>0</w:t>
      </w:r>
      <w:r w:rsidRPr="0043303A">
        <w:t xml:space="preserve">00 000 Kč (v tom o zvýšení výdajů na činnost o </w:t>
      </w:r>
      <w:r>
        <w:t>1</w:t>
      </w:r>
      <w:r w:rsidRPr="0043303A">
        <w:t xml:space="preserve"> </w:t>
      </w:r>
      <w:r>
        <w:t>417</w:t>
      </w:r>
      <w:r w:rsidRPr="0043303A">
        <w:t xml:space="preserve"> </w:t>
      </w:r>
      <w:r>
        <w:t>0</w:t>
      </w:r>
      <w:r w:rsidRPr="0043303A">
        <w:t xml:space="preserve">00 000 Kč a zvýšení </w:t>
      </w:r>
      <w:r w:rsidRPr="0043303A">
        <w:lastRenderedPageBreak/>
        <w:t xml:space="preserve">výdajů na programové financování o </w:t>
      </w:r>
      <w:r>
        <w:t>5</w:t>
      </w:r>
      <w:r w:rsidRPr="0043303A">
        <w:t>00 000 000 Kč), což p</w:t>
      </w:r>
      <w:r w:rsidR="00A839F5">
        <w:t>ředstavuje meziroční navýšení o </w:t>
      </w:r>
      <w:r>
        <w:t>7</w:t>
      </w:r>
      <w:r w:rsidRPr="0043303A">
        <w:t>,</w:t>
      </w:r>
      <w:r>
        <w:t>79</w:t>
      </w:r>
      <w:r w:rsidRPr="0043303A">
        <w:t xml:space="preserve"> %. Jedná se o </w:t>
      </w:r>
      <w:r>
        <w:t>třetí</w:t>
      </w:r>
      <w:r w:rsidRPr="0043303A">
        <w:t xml:space="preserve"> meziroční navýšení výdajů na vysoké školy v řadě (navýšení mezi roky 2016 a 2017 činilo 6,13 %</w:t>
      </w:r>
      <w:r>
        <w:t xml:space="preserve"> a mezi roky 2017 a 2018 poté 13,80</w:t>
      </w:r>
      <w:r w:rsidR="00D7506F">
        <w:t xml:space="preserve"> </w:t>
      </w:r>
      <w:r>
        <w:t>%</w:t>
      </w:r>
      <w:r w:rsidRPr="0043303A">
        <w:t>) po několikaletém poklesu rozpočtu (poklesu o 0,15 % mezi roky 2013 a 2014, poklesu o 0,17 % mezi roky 2014 a 2015 a propadu mezi lety 2015 a 2016 o 5,19 %).</w:t>
      </w:r>
    </w:p>
    <w:p w14:paraId="08C799FE" w14:textId="1ADE3005" w:rsidR="008678CF" w:rsidRPr="0043303A" w:rsidRDefault="008678CF" w:rsidP="000C3BFF">
      <w:pPr>
        <w:pStyle w:val="Text"/>
      </w:pPr>
      <w:r w:rsidRPr="0043303A">
        <w:t>Z pohledu vnitřního členění ukazatele „Vysoké školy“ dochází v roce 201</w:t>
      </w:r>
      <w:r>
        <w:t>9</w:t>
      </w:r>
      <w:r w:rsidRPr="0043303A">
        <w:t xml:space="preserve"> oproti roku 201</w:t>
      </w:r>
      <w:r>
        <w:t>8</w:t>
      </w:r>
      <w:r w:rsidRPr="0043303A">
        <w:t xml:space="preserve"> (při zachování shodné výše plánovaných prostředků na mezinárodní spolupráci) k mírnému snížení podílu výdajů na činnost vysokých škol vůči výdajům na programové financování. </w:t>
      </w:r>
      <w:r w:rsidR="00D7506F">
        <w:t>P</w:t>
      </w:r>
      <w:r w:rsidRPr="0043303A">
        <w:t>ro rok 201</w:t>
      </w:r>
      <w:r>
        <w:t>9</w:t>
      </w:r>
      <w:r w:rsidRPr="0043303A">
        <w:t xml:space="preserve"> </w:t>
      </w:r>
      <w:r w:rsidR="00D7506F">
        <w:t xml:space="preserve">se </w:t>
      </w:r>
      <w:r w:rsidRPr="0043303A">
        <w:t>jedná o poměr 9</w:t>
      </w:r>
      <w:r>
        <w:t>1</w:t>
      </w:r>
      <w:r w:rsidRPr="0043303A">
        <w:t>,</w:t>
      </w:r>
      <w:r>
        <w:t>53</w:t>
      </w:r>
      <w:r w:rsidRPr="0043303A">
        <w:t>:</w:t>
      </w:r>
      <w:r>
        <w:t>8</w:t>
      </w:r>
      <w:r w:rsidRPr="0043303A">
        <w:t>,</w:t>
      </w:r>
      <w:r>
        <w:t>47</w:t>
      </w:r>
      <w:r w:rsidRPr="0043303A">
        <w:t xml:space="preserve">. </w:t>
      </w:r>
      <w:r>
        <w:t>V roce 2018 tento poměr činil 92,91:7,09, v</w:t>
      </w:r>
      <w:r w:rsidRPr="0043303A">
        <w:t xml:space="preserve"> roce 2017 </w:t>
      </w:r>
      <w:r>
        <w:t>poté</w:t>
      </w:r>
      <w:r w:rsidRPr="0043303A">
        <w:t xml:space="preserve"> 93,31:6,69</w:t>
      </w:r>
      <w:r>
        <w:t xml:space="preserve"> a</w:t>
      </w:r>
      <w:r w:rsidRPr="0043303A">
        <w:t xml:space="preserve"> v roce 2016 činil 92,27:7,73.</w:t>
      </w:r>
    </w:p>
    <w:p w14:paraId="6C6B5140" w14:textId="5F388E31" w:rsidR="008678CF" w:rsidRPr="0043303A" w:rsidRDefault="008678CF" w:rsidP="000C3BFF">
      <w:pPr>
        <w:pStyle w:val="Text"/>
      </w:pPr>
      <w:r w:rsidRPr="0043303A">
        <w:t>Podíl navrhovaných výdajů na vysoké školství na rok 201</w:t>
      </w:r>
      <w:r>
        <w:t>9</w:t>
      </w:r>
      <w:r w:rsidRPr="0043303A">
        <w:t xml:space="preserve"> (mimo VaV a bez prostředků EU) vůči odhadovanému HDP</w:t>
      </w:r>
      <w:r w:rsidR="00E420C5">
        <w:rPr>
          <w:rStyle w:val="Znakapoznpodarou"/>
        </w:rPr>
        <w:footnoteReference w:id="9"/>
      </w:r>
      <w:r w:rsidRPr="0043303A">
        <w:t xml:space="preserve"> v roce 201</w:t>
      </w:r>
      <w:r>
        <w:t>9</w:t>
      </w:r>
      <w:r w:rsidRPr="0043303A">
        <w:t xml:space="preserve"> představuje 0,4</w:t>
      </w:r>
      <w:r w:rsidR="00E420C5">
        <w:t>7</w:t>
      </w:r>
      <w:r w:rsidRPr="0043303A">
        <w:t xml:space="preserve"> %. V předchozích letech tento podíl činil: v roce 2013 - 0,53 %, v roce 2014 - 0,51 %, v roce 2015 - 0,4</w:t>
      </w:r>
      <w:r>
        <w:t>7</w:t>
      </w:r>
      <w:r w:rsidRPr="0043303A">
        <w:t xml:space="preserve"> %, v roce 2016 - 0,43 %</w:t>
      </w:r>
      <w:r>
        <w:t>, v roce 2017 – 0,43</w:t>
      </w:r>
      <w:r w:rsidR="00E420C5">
        <w:t xml:space="preserve"> </w:t>
      </w:r>
      <w:r>
        <w:t>%</w:t>
      </w:r>
      <w:r w:rsidRPr="0043303A">
        <w:t xml:space="preserve"> a v roce 201</w:t>
      </w:r>
      <w:r>
        <w:t>8</w:t>
      </w:r>
      <w:r w:rsidRPr="0043303A">
        <w:t xml:space="preserve"> se jednalo o 0,4</w:t>
      </w:r>
      <w:r w:rsidR="00E420C5">
        <w:t>6</w:t>
      </w:r>
      <w:r w:rsidRPr="0043303A">
        <w:t xml:space="preserve"> %.</w:t>
      </w:r>
    </w:p>
    <w:p w14:paraId="6C18E5BD" w14:textId="77777777" w:rsidR="00C069EF" w:rsidRPr="00E466D3" w:rsidRDefault="00C069EF" w:rsidP="00C069EF">
      <w:pPr>
        <w:rPr>
          <w:rFonts w:ascii="Calibri" w:hAnsi="Calibri"/>
          <w:color w:val="548DD4"/>
        </w:rPr>
      </w:pPr>
    </w:p>
    <w:p w14:paraId="123278ED" w14:textId="77777777" w:rsidR="00C069EF" w:rsidRPr="00E466D3" w:rsidRDefault="00965570" w:rsidP="0031482F">
      <w:pPr>
        <w:pStyle w:val="Nadpis4"/>
      </w:pPr>
      <w:r w:rsidRPr="00E466D3">
        <w:t xml:space="preserve"> </w:t>
      </w:r>
      <w:bookmarkStart w:id="71" w:name="_Toc5968833"/>
      <w:r w:rsidR="00C069EF" w:rsidRPr="00E466D3">
        <w:t>Výdaje vysokých škol na programové financování</w:t>
      </w:r>
      <w:bookmarkEnd w:id="71"/>
    </w:p>
    <w:p w14:paraId="3555D9EA" w14:textId="77777777" w:rsidR="00C069EF" w:rsidRPr="00E466D3" w:rsidRDefault="00C069EF" w:rsidP="00C069EF">
      <w:pPr>
        <w:ind w:left="426"/>
        <w:rPr>
          <w:b/>
          <w:color w:val="548DD4"/>
          <w:szCs w:val="24"/>
        </w:rPr>
      </w:pPr>
    </w:p>
    <w:p w14:paraId="3995BA3A" w14:textId="77777777" w:rsidR="00E466D3" w:rsidRPr="00E466D3" w:rsidRDefault="00E466D3" w:rsidP="00E466D3">
      <w:pPr>
        <w:pStyle w:val="Text"/>
      </w:pPr>
      <w:r w:rsidRPr="00E466D3">
        <w:t xml:space="preserve">Rozpočet výdajů vysokých škol stanovený na programové financování činí celkem </w:t>
      </w:r>
      <w:r w:rsidRPr="00E466D3">
        <w:rPr>
          <w:b/>
        </w:rPr>
        <w:t> </w:t>
      </w:r>
      <w:r w:rsidRPr="00E466D3">
        <w:rPr>
          <w:b/>
        </w:rPr>
        <w:br/>
        <w:t>2 245 994 748 Kč</w:t>
      </w:r>
      <w:r w:rsidRPr="00E466D3">
        <w:t xml:space="preserve">, v tom kapitálové výdaje 2 154 598 611 Kč a běžné výdaje 91 396 137 Kč. Veškeré výdaje programového financování jsou pro rok 2019 rozpočtovány ve dvou programech: v programu </w:t>
      </w:r>
      <w:r w:rsidRPr="00E466D3">
        <w:rPr>
          <w:b/>
        </w:rPr>
        <w:t>133 210</w:t>
      </w:r>
      <w:r w:rsidRPr="00E466D3">
        <w:t xml:space="preserve"> </w:t>
      </w:r>
      <w:r w:rsidRPr="00E466D3">
        <w:rPr>
          <w:i/>
        </w:rPr>
        <w:t xml:space="preserve">- Rozvoj a obnova materiálně technické základny veřejných vysokých škol </w:t>
      </w:r>
      <w:r w:rsidRPr="00E466D3">
        <w:t>v celkové výši 1 745 994 748 Kč</w:t>
      </w:r>
      <w:r w:rsidRPr="00E466D3">
        <w:rPr>
          <w:i/>
        </w:rPr>
        <w:t xml:space="preserve"> </w:t>
      </w:r>
      <w:r w:rsidRPr="00E466D3">
        <w:t xml:space="preserve">a v navazujícím programu </w:t>
      </w:r>
      <w:r w:rsidRPr="00E466D3">
        <w:rPr>
          <w:b/>
          <w:sz w:val="22"/>
        </w:rPr>
        <w:t>133 220</w:t>
      </w:r>
      <w:r w:rsidRPr="00E466D3">
        <w:rPr>
          <w:i/>
          <w:sz w:val="22"/>
        </w:rPr>
        <w:t xml:space="preserve"> </w:t>
      </w:r>
      <w:r w:rsidRPr="00E466D3">
        <w:rPr>
          <w:i/>
        </w:rPr>
        <w:t xml:space="preserve">- Rozvoj a obnova materiálně technické základny veřejných vysokých škol </w:t>
      </w:r>
      <w:r w:rsidRPr="00E466D3">
        <w:t>v celkové výši 500 000 000 Kč.</w:t>
      </w:r>
    </w:p>
    <w:p w14:paraId="40162334" w14:textId="26841DD9" w:rsidR="00E466D3" w:rsidRPr="00E466D3" w:rsidRDefault="00E466D3" w:rsidP="00E466D3">
      <w:pPr>
        <w:pStyle w:val="Text"/>
      </w:pPr>
      <w:r w:rsidRPr="00E466D3">
        <w:t xml:space="preserve"> Jedná se o programy VVŠ, jejichž prostřednictvím jsou zabezpečovány technické podmínky pro uskutečňování akreditovaných studijních programů všech VVŠ. </w:t>
      </w:r>
    </w:p>
    <w:p w14:paraId="2C515D74" w14:textId="77777777" w:rsidR="00E466D3" w:rsidRPr="00E466D3" w:rsidRDefault="00E466D3" w:rsidP="00E466D3">
      <w:pPr>
        <w:pStyle w:val="Text"/>
      </w:pPr>
      <w:r w:rsidRPr="00E466D3">
        <w:t>Dokumentace programu 133 210 byla schválena</w:t>
      </w:r>
      <w:r w:rsidRPr="00E466D3" w:rsidDel="00A56B4D">
        <w:t xml:space="preserve"> </w:t>
      </w:r>
      <w:r w:rsidRPr="00E466D3">
        <w:t xml:space="preserve">usnesením vlády č. 653 ze dne </w:t>
      </w:r>
      <w:r w:rsidRPr="00E466D3">
        <w:br/>
        <w:t xml:space="preserve">31. 8. 2011. Její aktualizace byla schválena usnesením vlády č. 494 ze dne 24. 6. 2015. Program by měl být ukončen do 31. 12. 2019. </w:t>
      </w:r>
    </w:p>
    <w:p w14:paraId="487B03A1" w14:textId="77777777" w:rsidR="00E466D3" w:rsidRPr="00E466D3" w:rsidRDefault="00E466D3" w:rsidP="00E466D3">
      <w:pPr>
        <w:pStyle w:val="Text"/>
      </w:pPr>
      <w:r w:rsidRPr="00E466D3">
        <w:t>Do financování programu 133 210 budou zapojeny nároky z nespotřebovaných profilujících výdajů ve výši 1 765 530 093,89 Kč.</w:t>
      </w:r>
    </w:p>
    <w:p w14:paraId="3247252F" w14:textId="701ED9C6" w:rsidR="00E466D3" w:rsidRPr="000C3BFF" w:rsidRDefault="00E466D3" w:rsidP="000C3BFF">
      <w:pPr>
        <w:pStyle w:val="Text"/>
      </w:pPr>
      <w:r w:rsidRPr="000C3BFF">
        <w:t xml:space="preserve">V roce 2019 bude pokračovat realizace jak dosud, tak nově registrovaných akcí v programu 133 210 z výzvy k předkládání žádostí o poskytnutí dotace, která byla </w:t>
      </w:r>
      <w:r w:rsidR="00E420C5">
        <w:t>zveřejně</w:t>
      </w:r>
      <w:r w:rsidR="00E420C5" w:rsidRPr="000C3BFF">
        <w:t xml:space="preserve">na </w:t>
      </w:r>
      <w:r w:rsidRPr="000C3BFF">
        <w:t>v závěru roku 2018.</w:t>
      </w:r>
    </w:p>
    <w:p w14:paraId="6E6A52EA" w14:textId="08ED4B8B" w:rsidR="00E466D3" w:rsidRPr="00E466D3" w:rsidRDefault="00E466D3" w:rsidP="000C3BFF">
      <w:pPr>
        <w:pStyle w:val="Text"/>
      </w:pPr>
      <w:r w:rsidRPr="000C3BFF">
        <w:t xml:space="preserve">Dokumentace programu 133 220 byla schválena usnesením vlády České </w:t>
      </w:r>
      <w:r w:rsidR="00B8183F">
        <w:t>republiky č. </w:t>
      </w:r>
      <w:r w:rsidRPr="000C3BFF">
        <w:t>564 ze dne 4. 9.</w:t>
      </w:r>
      <w:r w:rsidR="00E420C5">
        <w:t xml:space="preserve"> </w:t>
      </w:r>
      <w:r w:rsidRPr="000C3BFF">
        <w:t xml:space="preserve">2018. Ukončení programu je plánováno 30. 6. 2027. Do financování programu 133 220 budou zapojeny nároky z nespotřebovaných </w:t>
      </w:r>
      <w:r w:rsidR="00E420C5">
        <w:t xml:space="preserve">profilujících </w:t>
      </w:r>
      <w:r w:rsidRPr="000C3BFF">
        <w:t xml:space="preserve">výdajů ve výši </w:t>
      </w:r>
      <w:r w:rsidR="00E420C5">
        <w:br/>
      </w:r>
      <w:r w:rsidRPr="000C3BFF">
        <w:t>300 000 000 Kč. V roce 2019 bude</w:t>
      </w:r>
      <w:r w:rsidRPr="00E466D3">
        <w:t xml:space="preserve"> program realizován v rámci průběžné výzvy k předkládání žádostí pro poskytnutí dotace na část výukovou, která byla </w:t>
      </w:r>
      <w:r w:rsidR="00B8183F">
        <w:t>zveřejněna v závěru roku 2018 a </w:t>
      </w:r>
      <w:r w:rsidRPr="00E466D3">
        <w:t xml:space="preserve">jednak z výzvy pro ubytovací a stravovací kapacity, která </w:t>
      </w:r>
      <w:r w:rsidR="00E420C5">
        <w:t>byla zveřejněna</w:t>
      </w:r>
      <w:r w:rsidRPr="00E466D3">
        <w:t xml:space="preserve"> v prvním čtvrtletí roku 2019.</w:t>
      </w:r>
    </w:p>
    <w:p w14:paraId="7FFBC8D9" w14:textId="77777777" w:rsidR="00E466D3" w:rsidRPr="00E466D3" w:rsidRDefault="00E466D3" w:rsidP="00E466D3">
      <w:pPr>
        <w:rPr>
          <w:b/>
          <w:color w:val="FF0000"/>
        </w:rPr>
      </w:pPr>
    </w:p>
    <w:p w14:paraId="7955381F" w14:textId="77777777" w:rsidR="00E466D3" w:rsidRPr="00E466D3" w:rsidRDefault="00E466D3" w:rsidP="00E466D3">
      <w:pPr>
        <w:pStyle w:val="Titulek"/>
        <w:keepNext/>
      </w:pPr>
      <w:bookmarkStart w:id="72" w:name="_Toc478632321"/>
      <w:bookmarkStart w:id="73" w:name="_Toc5965622"/>
      <w:r w:rsidRPr="00E466D3">
        <w:lastRenderedPageBreak/>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w:t>
      </w:r>
      <w:r w:rsidR="005F53B0">
        <w:rPr>
          <w:noProof/>
        </w:rPr>
        <w:fldChar w:fldCharType="end"/>
      </w:r>
      <w:r w:rsidRPr="00E466D3">
        <w:t xml:space="preserve">: </w:t>
      </w:r>
      <w:bookmarkEnd w:id="72"/>
      <w:r w:rsidRPr="00E466D3">
        <w:t>Porovnání upraveného rozpočtu VŠ</w:t>
      </w:r>
      <w:bookmarkEnd w:id="7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68"/>
      </w:tblGrid>
      <w:tr w:rsidR="00E466D3" w:rsidRPr="00E466D3" w14:paraId="382BEEC0" w14:textId="77777777" w:rsidTr="002541C7">
        <w:trPr>
          <w:trHeight w:val="995"/>
          <w:jc w:val="center"/>
        </w:trPr>
        <w:tc>
          <w:tcPr>
            <w:tcW w:w="921" w:type="dxa"/>
            <w:tcBorders>
              <w:top w:val="single" w:sz="6" w:space="0" w:color="auto"/>
              <w:left w:val="single" w:sz="6" w:space="0" w:color="auto"/>
              <w:bottom w:val="single" w:sz="12" w:space="0" w:color="auto"/>
              <w:right w:val="outset" w:sz="6" w:space="0" w:color="auto"/>
            </w:tcBorders>
            <w:vAlign w:val="center"/>
          </w:tcPr>
          <w:p w14:paraId="0363A5B5" w14:textId="77777777" w:rsidR="00E466D3" w:rsidRPr="00E466D3" w:rsidRDefault="00E466D3" w:rsidP="002541C7">
            <w:pPr>
              <w:pStyle w:val="Zkladntext"/>
              <w:jc w:val="center"/>
              <w:rPr>
                <w:b/>
              </w:rPr>
            </w:pPr>
            <w:r w:rsidRPr="00E466D3">
              <w:rPr>
                <w:b/>
              </w:rPr>
              <w:t>Rok</w:t>
            </w:r>
          </w:p>
        </w:tc>
        <w:tc>
          <w:tcPr>
            <w:tcW w:w="2268" w:type="dxa"/>
            <w:tcBorders>
              <w:top w:val="single" w:sz="6" w:space="0" w:color="auto"/>
              <w:left w:val="outset" w:sz="6" w:space="0" w:color="auto"/>
              <w:bottom w:val="single" w:sz="12" w:space="0" w:color="auto"/>
              <w:right w:val="single" w:sz="6" w:space="0" w:color="auto"/>
            </w:tcBorders>
            <w:vAlign w:val="center"/>
          </w:tcPr>
          <w:p w14:paraId="20D8CC8D" w14:textId="77777777" w:rsidR="00E466D3" w:rsidRPr="00E466D3" w:rsidRDefault="00E466D3" w:rsidP="002541C7">
            <w:pPr>
              <w:pStyle w:val="Zkladntext"/>
              <w:jc w:val="center"/>
              <w:rPr>
                <w:b/>
              </w:rPr>
            </w:pPr>
            <w:r w:rsidRPr="00E466D3">
              <w:rPr>
                <w:b/>
              </w:rPr>
              <w:t>Upravený rozpočet všech programů VŠ</w:t>
            </w:r>
          </w:p>
        </w:tc>
      </w:tr>
      <w:tr w:rsidR="00E466D3" w:rsidRPr="00E466D3" w14:paraId="34DDA1D3" w14:textId="77777777" w:rsidTr="002541C7">
        <w:trPr>
          <w:trHeight w:val="312"/>
          <w:jc w:val="center"/>
        </w:trPr>
        <w:tc>
          <w:tcPr>
            <w:tcW w:w="921" w:type="dxa"/>
            <w:tcBorders>
              <w:top w:val="single" w:sz="6" w:space="0" w:color="auto"/>
              <w:left w:val="single" w:sz="6" w:space="0" w:color="auto"/>
              <w:bottom w:val="single" w:sz="6" w:space="0" w:color="auto"/>
              <w:right w:val="single" w:sz="6" w:space="0" w:color="auto"/>
            </w:tcBorders>
            <w:vAlign w:val="center"/>
          </w:tcPr>
          <w:p w14:paraId="08731811" w14:textId="77777777" w:rsidR="00E466D3" w:rsidRPr="00E466D3" w:rsidRDefault="00E466D3" w:rsidP="002541C7">
            <w:pPr>
              <w:jc w:val="left"/>
              <w:rPr>
                <w:snapToGrid w:val="0"/>
                <w:color w:val="000000"/>
              </w:rPr>
            </w:pPr>
            <w:r w:rsidRPr="00E466D3">
              <w:rPr>
                <w:snapToGrid w:val="0"/>
                <w:color w:val="000000"/>
              </w:rPr>
              <w:t>2011</w:t>
            </w:r>
          </w:p>
        </w:tc>
        <w:tc>
          <w:tcPr>
            <w:tcW w:w="2268" w:type="dxa"/>
            <w:tcBorders>
              <w:top w:val="single" w:sz="6" w:space="0" w:color="auto"/>
              <w:left w:val="single" w:sz="6" w:space="0" w:color="auto"/>
              <w:bottom w:val="single" w:sz="6" w:space="0" w:color="auto"/>
              <w:right w:val="single" w:sz="6" w:space="0" w:color="auto"/>
            </w:tcBorders>
            <w:vAlign w:val="center"/>
          </w:tcPr>
          <w:p w14:paraId="426EEF42" w14:textId="77777777" w:rsidR="00E466D3" w:rsidRPr="00E466D3" w:rsidRDefault="00E466D3" w:rsidP="002541C7">
            <w:pPr>
              <w:jc w:val="center"/>
              <w:rPr>
                <w:snapToGrid w:val="0"/>
                <w:color w:val="000000"/>
              </w:rPr>
            </w:pPr>
            <w:r w:rsidRPr="00E466D3">
              <w:rPr>
                <w:snapToGrid w:val="0"/>
                <w:color w:val="000000"/>
              </w:rPr>
              <w:t>1 635 030 000 Kč</w:t>
            </w:r>
          </w:p>
        </w:tc>
      </w:tr>
      <w:tr w:rsidR="00E466D3" w:rsidRPr="00E466D3" w14:paraId="0C9275B7" w14:textId="77777777" w:rsidTr="002541C7">
        <w:trPr>
          <w:trHeight w:val="291"/>
          <w:jc w:val="center"/>
        </w:trPr>
        <w:tc>
          <w:tcPr>
            <w:tcW w:w="921" w:type="dxa"/>
            <w:tcBorders>
              <w:top w:val="single" w:sz="6" w:space="0" w:color="auto"/>
              <w:left w:val="single" w:sz="6" w:space="0" w:color="auto"/>
              <w:bottom w:val="single" w:sz="6" w:space="0" w:color="auto"/>
              <w:right w:val="single" w:sz="6" w:space="0" w:color="auto"/>
            </w:tcBorders>
            <w:vAlign w:val="center"/>
          </w:tcPr>
          <w:p w14:paraId="3595F63E" w14:textId="77777777" w:rsidR="00E466D3" w:rsidRPr="00E466D3" w:rsidRDefault="00E466D3" w:rsidP="002541C7">
            <w:pPr>
              <w:jc w:val="left"/>
              <w:rPr>
                <w:snapToGrid w:val="0"/>
                <w:color w:val="000000"/>
              </w:rPr>
            </w:pPr>
            <w:r w:rsidRPr="00E466D3">
              <w:rPr>
                <w:snapToGrid w:val="0"/>
                <w:color w:val="000000"/>
              </w:rPr>
              <w:t>2012</w:t>
            </w:r>
          </w:p>
        </w:tc>
        <w:tc>
          <w:tcPr>
            <w:tcW w:w="2268" w:type="dxa"/>
            <w:tcBorders>
              <w:top w:val="single" w:sz="6" w:space="0" w:color="auto"/>
              <w:left w:val="single" w:sz="6" w:space="0" w:color="auto"/>
              <w:bottom w:val="single" w:sz="6" w:space="0" w:color="auto"/>
              <w:right w:val="single" w:sz="6" w:space="0" w:color="auto"/>
            </w:tcBorders>
            <w:vAlign w:val="center"/>
          </w:tcPr>
          <w:p w14:paraId="55147327" w14:textId="77777777" w:rsidR="00E466D3" w:rsidRPr="00E466D3" w:rsidRDefault="00E466D3" w:rsidP="002541C7">
            <w:pPr>
              <w:jc w:val="center"/>
              <w:rPr>
                <w:snapToGrid w:val="0"/>
                <w:color w:val="000000"/>
              </w:rPr>
            </w:pPr>
            <w:r w:rsidRPr="00E466D3">
              <w:t>2 073 030 000 Kč</w:t>
            </w:r>
          </w:p>
        </w:tc>
      </w:tr>
      <w:tr w:rsidR="00E466D3" w:rsidRPr="00E466D3" w14:paraId="471B5FB8" w14:textId="77777777" w:rsidTr="002541C7">
        <w:trPr>
          <w:trHeight w:val="312"/>
          <w:jc w:val="center"/>
        </w:trPr>
        <w:tc>
          <w:tcPr>
            <w:tcW w:w="921" w:type="dxa"/>
            <w:tcBorders>
              <w:top w:val="single" w:sz="6" w:space="0" w:color="auto"/>
              <w:left w:val="single" w:sz="6" w:space="0" w:color="auto"/>
              <w:bottom w:val="single" w:sz="6" w:space="0" w:color="auto"/>
              <w:right w:val="single" w:sz="6" w:space="0" w:color="auto"/>
            </w:tcBorders>
            <w:vAlign w:val="center"/>
          </w:tcPr>
          <w:p w14:paraId="69BA9916" w14:textId="77777777" w:rsidR="00E466D3" w:rsidRPr="00E466D3" w:rsidRDefault="00E466D3" w:rsidP="002541C7">
            <w:pPr>
              <w:jc w:val="left"/>
              <w:rPr>
                <w:snapToGrid w:val="0"/>
                <w:color w:val="000000"/>
              </w:rPr>
            </w:pPr>
            <w:r w:rsidRPr="00E466D3">
              <w:rPr>
                <w:snapToGrid w:val="0"/>
                <w:color w:val="000000"/>
              </w:rPr>
              <w:t>2013</w:t>
            </w:r>
          </w:p>
        </w:tc>
        <w:tc>
          <w:tcPr>
            <w:tcW w:w="2268" w:type="dxa"/>
            <w:tcBorders>
              <w:top w:val="single" w:sz="6" w:space="0" w:color="auto"/>
              <w:left w:val="single" w:sz="6" w:space="0" w:color="auto"/>
              <w:bottom w:val="single" w:sz="6" w:space="0" w:color="auto"/>
              <w:right w:val="single" w:sz="6" w:space="0" w:color="auto"/>
            </w:tcBorders>
            <w:vAlign w:val="center"/>
          </w:tcPr>
          <w:p w14:paraId="368FD642" w14:textId="77777777" w:rsidR="00E466D3" w:rsidRPr="00E466D3" w:rsidRDefault="00E466D3" w:rsidP="002541C7">
            <w:pPr>
              <w:jc w:val="center"/>
              <w:rPr>
                <w:snapToGrid w:val="0"/>
                <w:color w:val="000000"/>
              </w:rPr>
            </w:pPr>
            <w:r w:rsidRPr="00E466D3">
              <w:t>1 995 030 000 Kč</w:t>
            </w:r>
          </w:p>
        </w:tc>
      </w:tr>
      <w:tr w:rsidR="00E466D3" w:rsidRPr="00E466D3" w14:paraId="36EB72A6" w14:textId="77777777" w:rsidTr="002541C7">
        <w:trPr>
          <w:trHeight w:val="291"/>
          <w:jc w:val="center"/>
        </w:trPr>
        <w:tc>
          <w:tcPr>
            <w:tcW w:w="921" w:type="dxa"/>
            <w:tcBorders>
              <w:top w:val="single" w:sz="6" w:space="0" w:color="auto"/>
              <w:left w:val="single" w:sz="6" w:space="0" w:color="auto"/>
              <w:bottom w:val="single" w:sz="6" w:space="0" w:color="auto"/>
              <w:right w:val="single" w:sz="6" w:space="0" w:color="auto"/>
            </w:tcBorders>
            <w:vAlign w:val="center"/>
          </w:tcPr>
          <w:p w14:paraId="0033E319" w14:textId="77777777" w:rsidR="00E466D3" w:rsidRPr="00E466D3" w:rsidRDefault="00E466D3" w:rsidP="002541C7">
            <w:pPr>
              <w:jc w:val="left"/>
              <w:rPr>
                <w:snapToGrid w:val="0"/>
                <w:color w:val="000000"/>
              </w:rPr>
            </w:pPr>
            <w:r w:rsidRPr="00E466D3">
              <w:rPr>
                <w:snapToGrid w:val="0"/>
                <w:color w:val="000000"/>
              </w:rPr>
              <w:t>2014</w:t>
            </w:r>
          </w:p>
        </w:tc>
        <w:tc>
          <w:tcPr>
            <w:tcW w:w="2268" w:type="dxa"/>
            <w:tcBorders>
              <w:top w:val="single" w:sz="6" w:space="0" w:color="auto"/>
              <w:left w:val="single" w:sz="6" w:space="0" w:color="auto"/>
              <w:bottom w:val="single" w:sz="6" w:space="0" w:color="auto"/>
              <w:right w:val="single" w:sz="6" w:space="0" w:color="auto"/>
            </w:tcBorders>
            <w:vAlign w:val="center"/>
          </w:tcPr>
          <w:p w14:paraId="619BF3F9" w14:textId="77777777" w:rsidR="00E466D3" w:rsidRPr="00E466D3" w:rsidRDefault="00E466D3" w:rsidP="002541C7">
            <w:pPr>
              <w:jc w:val="center"/>
              <w:rPr>
                <w:snapToGrid w:val="0"/>
                <w:color w:val="000000"/>
              </w:rPr>
            </w:pPr>
            <w:r w:rsidRPr="00E466D3">
              <w:t>1 311 065 882 Kč</w:t>
            </w:r>
          </w:p>
        </w:tc>
      </w:tr>
      <w:tr w:rsidR="00E466D3" w:rsidRPr="00E466D3" w14:paraId="3B1AE0BE" w14:textId="77777777" w:rsidTr="002541C7">
        <w:trPr>
          <w:trHeight w:val="312"/>
          <w:jc w:val="center"/>
        </w:trPr>
        <w:tc>
          <w:tcPr>
            <w:tcW w:w="921" w:type="dxa"/>
            <w:tcBorders>
              <w:top w:val="single" w:sz="6" w:space="0" w:color="auto"/>
              <w:left w:val="single" w:sz="6" w:space="0" w:color="auto"/>
              <w:bottom w:val="single" w:sz="6" w:space="0" w:color="auto"/>
              <w:right w:val="single" w:sz="6" w:space="0" w:color="auto"/>
            </w:tcBorders>
            <w:vAlign w:val="center"/>
          </w:tcPr>
          <w:p w14:paraId="019A0E58" w14:textId="77777777" w:rsidR="00E466D3" w:rsidRPr="00E466D3" w:rsidRDefault="00E466D3" w:rsidP="002541C7">
            <w:pPr>
              <w:jc w:val="left"/>
              <w:rPr>
                <w:snapToGrid w:val="0"/>
                <w:color w:val="000000"/>
              </w:rPr>
            </w:pPr>
            <w:r w:rsidRPr="00E466D3">
              <w:rPr>
                <w:snapToGrid w:val="0"/>
                <w:color w:val="000000"/>
              </w:rPr>
              <w:t>2015</w:t>
            </w:r>
          </w:p>
        </w:tc>
        <w:tc>
          <w:tcPr>
            <w:tcW w:w="2268" w:type="dxa"/>
            <w:tcBorders>
              <w:top w:val="single" w:sz="6" w:space="0" w:color="auto"/>
              <w:left w:val="single" w:sz="6" w:space="0" w:color="auto"/>
              <w:bottom w:val="single" w:sz="6" w:space="0" w:color="auto"/>
              <w:right w:val="single" w:sz="6" w:space="0" w:color="auto"/>
            </w:tcBorders>
            <w:vAlign w:val="center"/>
          </w:tcPr>
          <w:p w14:paraId="0E24F6C0" w14:textId="77777777" w:rsidR="00E466D3" w:rsidRPr="00E466D3" w:rsidRDefault="00E466D3" w:rsidP="002541C7">
            <w:pPr>
              <w:jc w:val="center"/>
              <w:rPr>
                <w:snapToGrid w:val="0"/>
                <w:color w:val="000000"/>
              </w:rPr>
            </w:pPr>
            <w:r w:rsidRPr="00E466D3">
              <w:t>2 168 284 000 Kč</w:t>
            </w:r>
          </w:p>
        </w:tc>
      </w:tr>
      <w:tr w:rsidR="00E466D3" w:rsidRPr="00E466D3" w14:paraId="54BC77A3" w14:textId="77777777" w:rsidTr="002541C7">
        <w:trPr>
          <w:trHeight w:val="291"/>
          <w:jc w:val="center"/>
        </w:trPr>
        <w:tc>
          <w:tcPr>
            <w:tcW w:w="921" w:type="dxa"/>
            <w:tcBorders>
              <w:top w:val="single" w:sz="6" w:space="0" w:color="auto"/>
              <w:left w:val="single" w:sz="6" w:space="0" w:color="auto"/>
              <w:bottom w:val="single" w:sz="6" w:space="0" w:color="auto"/>
              <w:right w:val="single" w:sz="6" w:space="0" w:color="auto"/>
            </w:tcBorders>
            <w:vAlign w:val="center"/>
          </w:tcPr>
          <w:p w14:paraId="112CB8D3" w14:textId="77777777" w:rsidR="00E466D3" w:rsidRPr="00E466D3" w:rsidRDefault="00E466D3" w:rsidP="002541C7">
            <w:pPr>
              <w:jc w:val="left"/>
              <w:rPr>
                <w:snapToGrid w:val="0"/>
                <w:color w:val="000000"/>
              </w:rPr>
            </w:pPr>
            <w:r w:rsidRPr="00E466D3">
              <w:rPr>
                <w:snapToGrid w:val="0"/>
                <w:color w:val="000000"/>
              </w:rPr>
              <w:t>2016</w:t>
            </w:r>
          </w:p>
        </w:tc>
        <w:tc>
          <w:tcPr>
            <w:tcW w:w="2268" w:type="dxa"/>
            <w:tcBorders>
              <w:top w:val="single" w:sz="6" w:space="0" w:color="auto"/>
              <w:left w:val="single" w:sz="6" w:space="0" w:color="auto"/>
              <w:bottom w:val="single" w:sz="6" w:space="0" w:color="auto"/>
              <w:right w:val="single" w:sz="6" w:space="0" w:color="auto"/>
            </w:tcBorders>
            <w:vAlign w:val="center"/>
          </w:tcPr>
          <w:p w14:paraId="7BBB1FB6" w14:textId="77777777" w:rsidR="00E466D3" w:rsidRPr="00E466D3" w:rsidRDefault="00E466D3" w:rsidP="002541C7">
            <w:pPr>
              <w:jc w:val="center"/>
              <w:rPr>
                <w:snapToGrid w:val="0"/>
                <w:color w:val="000000"/>
              </w:rPr>
            </w:pPr>
            <w:r w:rsidRPr="00E466D3">
              <w:t>1 865 994 748 Kč</w:t>
            </w:r>
          </w:p>
        </w:tc>
      </w:tr>
      <w:tr w:rsidR="00E466D3" w:rsidRPr="00E466D3" w14:paraId="33A6743E" w14:textId="77777777" w:rsidTr="002541C7">
        <w:trPr>
          <w:trHeight w:val="333"/>
          <w:jc w:val="center"/>
        </w:trPr>
        <w:tc>
          <w:tcPr>
            <w:tcW w:w="921" w:type="dxa"/>
            <w:tcBorders>
              <w:top w:val="single" w:sz="6" w:space="0" w:color="auto"/>
              <w:left w:val="single" w:sz="6" w:space="0" w:color="auto"/>
              <w:bottom w:val="single" w:sz="6" w:space="0" w:color="auto"/>
              <w:right w:val="single" w:sz="6" w:space="0" w:color="auto"/>
            </w:tcBorders>
            <w:vAlign w:val="center"/>
          </w:tcPr>
          <w:p w14:paraId="5D467F0E" w14:textId="77777777" w:rsidR="00E466D3" w:rsidRPr="00E466D3" w:rsidRDefault="00E466D3" w:rsidP="002541C7">
            <w:pPr>
              <w:jc w:val="left"/>
              <w:rPr>
                <w:snapToGrid w:val="0"/>
                <w:color w:val="000000"/>
              </w:rPr>
            </w:pPr>
            <w:r w:rsidRPr="00E466D3">
              <w:rPr>
                <w:snapToGrid w:val="0"/>
                <w:color w:val="000000"/>
              </w:rPr>
              <w:t>2017</w:t>
            </w:r>
          </w:p>
        </w:tc>
        <w:tc>
          <w:tcPr>
            <w:tcW w:w="2268" w:type="dxa"/>
            <w:tcBorders>
              <w:top w:val="single" w:sz="6" w:space="0" w:color="auto"/>
              <w:left w:val="single" w:sz="6" w:space="0" w:color="auto"/>
              <w:bottom w:val="single" w:sz="6" w:space="0" w:color="auto"/>
              <w:right w:val="single" w:sz="6" w:space="0" w:color="auto"/>
            </w:tcBorders>
            <w:vAlign w:val="center"/>
          </w:tcPr>
          <w:p w14:paraId="748529EE" w14:textId="77777777" w:rsidR="00E466D3" w:rsidRPr="00E466D3" w:rsidRDefault="00E466D3" w:rsidP="002541C7">
            <w:pPr>
              <w:jc w:val="center"/>
              <w:rPr>
                <w:snapToGrid w:val="0"/>
                <w:color w:val="000000"/>
              </w:rPr>
            </w:pPr>
            <w:r w:rsidRPr="00E466D3">
              <w:t>1 445 994 748 Kč</w:t>
            </w:r>
          </w:p>
        </w:tc>
      </w:tr>
      <w:tr w:rsidR="00E466D3" w:rsidRPr="00B2296E" w14:paraId="10F4999A" w14:textId="77777777" w:rsidTr="002541C7">
        <w:trPr>
          <w:trHeight w:val="333"/>
          <w:jc w:val="center"/>
        </w:trPr>
        <w:tc>
          <w:tcPr>
            <w:tcW w:w="921" w:type="dxa"/>
            <w:tcBorders>
              <w:top w:val="single" w:sz="6" w:space="0" w:color="auto"/>
              <w:left w:val="single" w:sz="6" w:space="0" w:color="auto"/>
              <w:bottom w:val="single" w:sz="6" w:space="0" w:color="auto"/>
              <w:right w:val="single" w:sz="6" w:space="0" w:color="auto"/>
            </w:tcBorders>
            <w:vAlign w:val="center"/>
          </w:tcPr>
          <w:p w14:paraId="13C62DD7" w14:textId="77777777" w:rsidR="00E466D3" w:rsidRPr="00E466D3" w:rsidRDefault="00E466D3" w:rsidP="002541C7">
            <w:pPr>
              <w:jc w:val="left"/>
              <w:rPr>
                <w:snapToGrid w:val="0"/>
                <w:color w:val="000000"/>
              </w:rPr>
            </w:pPr>
            <w:r w:rsidRPr="00E466D3">
              <w:rPr>
                <w:snapToGrid w:val="0"/>
                <w:color w:val="000000"/>
              </w:rPr>
              <w:t>2018</w:t>
            </w:r>
          </w:p>
        </w:tc>
        <w:tc>
          <w:tcPr>
            <w:tcW w:w="2268" w:type="dxa"/>
            <w:tcBorders>
              <w:top w:val="single" w:sz="6" w:space="0" w:color="auto"/>
              <w:left w:val="single" w:sz="6" w:space="0" w:color="auto"/>
              <w:bottom w:val="single" w:sz="6" w:space="0" w:color="auto"/>
              <w:right w:val="single" w:sz="6" w:space="0" w:color="auto"/>
            </w:tcBorders>
            <w:vAlign w:val="center"/>
          </w:tcPr>
          <w:p w14:paraId="34D9573D" w14:textId="77777777" w:rsidR="00E466D3" w:rsidRPr="00E466D3" w:rsidRDefault="00E466D3" w:rsidP="002541C7">
            <w:pPr>
              <w:jc w:val="center"/>
            </w:pPr>
            <w:r w:rsidRPr="00E466D3">
              <w:t>1 745 994 748 Kč</w:t>
            </w:r>
          </w:p>
        </w:tc>
      </w:tr>
    </w:tbl>
    <w:p w14:paraId="12B565A4" w14:textId="77777777" w:rsidR="00E466D3" w:rsidRPr="00B2296E" w:rsidRDefault="00E466D3" w:rsidP="00E466D3">
      <w:pPr>
        <w:pStyle w:val="Zkladntextodsazen"/>
        <w:ind w:left="426"/>
      </w:pPr>
    </w:p>
    <w:p w14:paraId="5408FD00" w14:textId="77777777" w:rsidR="00E13495" w:rsidRPr="00526028" w:rsidRDefault="00E466D3" w:rsidP="00E466D3">
      <w:pPr>
        <w:pStyle w:val="Zkladntextodsazen2"/>
        <w:ind w:left="0" w:firstLine="0"/>
        <w:rPr>
          <w:b w:val="0"/>
        </w:rPr>
      </w:pPr>
      <w:r w:rsidRPr="00526028">
        <w:rPr>
          <w:b w:val="0"/>
        </w:rPr>
        <w:t>Souhrnná rekapitulace výdajů programového financování v celé kapitole MŠMT je zařazena v části D.</w:t>
      </w:r>
    </w:p>
    <w:p w14:paraId="77DEBA38" w14:textId="77777777" w:rsidR="00E466D3" w:rsidRPr="00853611" w:rsidRDefault="00E466D3" w:rsidP="00E466D3">
      <w:pPr>
        <w:pStyle w:val="Zkladntextodsazen2"/>
        <w:ind w:left="0" w:firstLine="0"/>
        <w:rPr>
          <w:b w:val="0"/>
          <w:highlight w:val="yellow"/>
        </w:rPr>
      </w:pPr>
    </w:p>
    <w:p w14:paraId="369AF2A7" w14:textId="77777777" w:rsidR="00E13495" w:rsidRPr="002764E5" w:rsidRDefault="00E13495" w:rsidP="00E13495">
      <w:pPr>
        <w:pStyle w:val="Zkladntextodsazen2"/>
        <w:ind w:left="0" w:firstLine="0"/>
        <w:rPr>
          <w:i/>
          <w:sz w:val="20"/>
        </w:rPr>
      </w:pPr>
      <w:r w:rsidRPr="002764E5">
        <w:rPr>
          <w:i/>
          <w:sz w:val="20"/>
        </w:rPr>
        <w:t>Tabulkové přílohy</w:t>
      </w:r>
      <w:r w:rsidR="00503E04" w:rsidRPr="002764E5">
        <w:rPr>
          <w:i/>
          <w:sz w:val="20"/>
        </w:rPr>
        <w:t xml:space="preserve"> ke kapitole C.I.1.</w:t>
      </w:r>
      <w:r w:rsidRPr="002764E5">
        <w:rPr>
          <w:i/>
          <w:sz w:val="20"/>
        </w:rPr>
        <w:t>:</w:t>
      </w:r>
    </w:p>
    <w:p w14:paraId="715BB154" w14:textId="77777777" w:rsidR="003571A1" w:rsidRPr="002764E5" w:rsidRDefault="003571A1" w:rsidP="00E13495">
      <w:pPr>
        <w:pStyle w:val="Zkladntextodsazen2"/>
        <w:ind w:left="0" w:firstLine="0"/>
        <w:rPr>
          <w:i/>
          <w:sz w:val="20"/>
        </w:rPr>
      </w:pPr>
    </w:p>
    <w:p w14:paraId="65AEDA5A" w14:textId="77777777" w:rsidR="00A33D15" w:rsidRPr="002764E5" w:rsidRDefault="00A33D15" w:rsidP="00A33D15">
      <w:pPr>
        <w:pStyle w:val="Zkladntextodsazen2"/>
        <w:ind w:left="1418" w:hanging="1418"/>
        <w:rPr>
          <w:b w:val="0"/>
          <w:sz w:val="20"/>
        </w:rPr>
      </w:pPr>
      <w:r w:rsidRPr="002764E5">
        <w:rPr>
          <w:b w:val="0"/>
          <w:sz w:val="20"/>
        </w:rPr>
        <w:t>Tabulka č. 1</w:t>
      </w:r>
      <w:r w:rsidRPr="002764E5">
        <w:rPr>
          <w:b w:val="0"/>
          <w:sz w:val="20"/>
        </w:rPr>
        <w:tab/>
        <w:t>Rozpočet vysokých škol na rok 201</w:t>
      </w:r>
      <w:r w:rsidR="002764E5" w:rsidRPr="002764E5">
        <w:rPr>
          <w:b w:val="0"/>
          <w:sz w:val="20"/>
        </w:rPr>
        <w:t>9</w:t>
      </w:r>
    </w:p>
    <w:p w14:paraId="7FFB8BD4" w14:textId="77777777" w:rsidR="00A33D15" w:rsidRPr="002764E5" w:rsidRDefault="00A33D15" w:rsidP="00A33D15">
      <w:pPr>
        <w:pStyle w:val="Zkladntextodsazen2"/>
        <w:ind w:left="1418" w:hanging="1418"/>
        <w:rPr>
          <w:b w:val="0"/>
          <w:sz w:val="20"/>
        </w:rPr>
      </w:pPr>
      <w:r w:rsidRPr="002764E5">
        <w:rPr>
          <w:b w:val="0"/>
          <w:sz w:val="20"/>
        </w:rPr>
        <w:t>Tabulka č. 2</w:t>
      </w:r>
      <w:r w:rsidRPr="002764E5">
        <w:rPr>
          <w:b w:val="0"/>
          <w:sz w:val="20"/>
        </w:rPr>
        <w:tab/>
        <w:t>Bilance zdrojů pro rozdělení příspěvku a dotací vysokým školám v roce 201</w:t>
      </w:r>
      <w:r w:rsidR="002764E5" w:rsidRPr="002764E5">
        <w:rPr>
          <w:b w:val="0"/>
          <w:sz w:val="20"/>
        </w:rPr>
        <w:t>9</w:t>
      </w:r>
    </w:p>
    <w:p w14:paraId="70303BC0" w14:textId="77777777" w:rsidR="00A33D15" w:rsidRPr="002764E5" w:rsidRDefault="00A33D15" w:rsidP="00A33D15">
      <w:pPr>
        <w:pStyle w:val="Zkladntextodsazen2"/>
        <w:ind w:left="1418" w:hanging="1418"/>
        <w:rPr>
          <w:b w:val="0"/>
          <w:sz w:val="20"/>
        </w:rPr>
      </w:pPr>
      <w:r w:rsidRPr="002764E5">
        <w:rPr>
          <w:b w:val="0"/>
          <w:sz w:val="20"/>
        </w:rPr>
        <w:t>Tabulka č. 3</w:t>
      </w:r>
      <w:r w:rsidRPr="002764E5">
        <w:rPr>
          <w:b w:val="0"/>
          <w:sz w:val="20"/>
        </w:rPr>
        <w:tab/>
        <w:t>Rozpis jednotlivých ukazatelů rozpočtu 201</w:t>
      </w:r>
      <w:r w:rsidR="002764E5" w:rsidRPr="002764E5">
        <w:rPr>
          <w:b w:val="0"/>
          <w:sz w:val="20"/>
        </w:rPr>
        <w:t>9</w:t>
      </w:r>
      <w:r w:rsidRPr="002764E5">
        <w:rPr>
          <w:b w:val="0"/>
          <w:sz w:val="20"/>
        </w:rPr>
        <w:t xml:space="preserve"> veřejným vysokým školám</w:t>
      </w:r>
    </w:p>
    <w:p w14:paraId="057118C8" w14:textId="36AD7C8E" w:rsidR="00A33D15" w:rsidRPr="002764E5" w:rsidRDefault="00A33D15" w:rsidP="00A33D15">
      <w:pPr>
        <w:pStyle w:val="Zkladntextodsazen2"/>
        <w:ind w:left="1418" w:hanging="1418"/>
        <w:rPr>
          <w:b w:val="0"/>
          <w:sz w:val="20"/>
        </w:rPr>
      </w:pPr>
      <w:r w:rsidRPr="002764E5">
        <w:rPr>
          <w:b w:val="0"/>
          <w:sz w:val="20"/>
        </w:rPr>
        <w:t>Tabulka č. 4</w:t>
      </w:r>
      <w:r w:rsidRPr="002764E5">
        <w:rPr>
          <w:b w:val="0"/>
          <w:sz w:val="20"/>
        </w:rPr>
        <w:tab/>
        <w:t xml:space="preserve">Rozpočtový okruh 1, institucionální část rozpočtu – </w:t>
      </w:r>
      <w:r w:rsidR="006C21F6">
        <w:rPr>
          <w:b w:val="0"/>
          <w:sz w:val="20"/>
        </w:rPr>
        <w:t xml:space="preserve">celkový </w:t>
      </w:r>
      <w:r w:rsidRPr="002764E5">
        <w:rPr>
          <w:b w:val="0"/>
          <w:sz w:val="20"/>
        </w:rPr>
        <w:t>výpočet na rok 201</w:t>
      </w:r>
      <w:r w:rsidR="002764E5" w:rsidRPr="002764E5">
        <w:rPr>
          <w:b w:val="0"/>
          <w:sz w:val="20"/>
        </w:rPr>
        <w:t>9</w:t>
      </w:r>
      <w:r w:rsidRPr="002764E5">
        <w:rPr>
          <w:b w:val="0"/>
          <w:sz w:val="20"/>
        </w:rPr>
        <w:t xml:space="preserve"> včetně </w:t>
      </w:r>
      <w:r w:rsidR="006C21F6">
        <w:rPr>
          <w:b w:val="0"/>
          <w:sz w:val="20"/>
        </w:rPr>
        <w:t>krácení dle čl. 10 odst. 7</w:t>
      </w:r>
      <w:r w:rsidRPr="002764E5">
        <w:rPr>
          <w:b w:val="0"/>
          <w:sz w:val="20"/>
        </w:rPr>
        <w:t xml:space="preserve"> Pravidel</w:t>
      </w:r>
    </w:p>
    <w:p w14:paraId="5ED07703" w14:textId="77777777" w:rsidR="00A33D15" w:rsidRPr="002764E5" w:rsidRDefault="00A33D15" w:rsidP="00A33D15">
      <w:pPr>
        <w:pStyle w:val="Zkladntextodsazen2"/>
        <w:ind w:left="1418" w:hanging="1418"/>
        <w:rPr>
          <w:b w:val="0"/>
          <w:sz w:val="20"/>
        </w:rPr>
      </w:pPr>
      <w:r w:rsidRPr="002764E5">
        <w:rPr>
          <w:b w:val="0"/>
          <w:sz w:val="20"/>
        </w:rPr>
        <w:t>Tabulka č. 5</w:t>
      </w:r>
      <w:r w:rsidRPr="002764E5">
        <w:rPr>
          <w:b w:val="0"/>
          <w:sz w:val="20"/>
        </w:rPr>
        <w:tab/>
        <w:t>Počty fyzických studentů veřejných vysokých škol a soukromých vysokých škol a počty přepočtených („financovaných“) studentů VVŠ v letech 2000</w:t>
      </w:r>
      <w:r w:rsidRPr="002764E5">
        <w:rPr>
          <w:b w:val="0"/>
          <w:sz w:val="20"/>
        </w:rPr>
        <w:noBreakHyphen/>
        <w:t>201</w:t>
      </w:r>
      <w:r w:rsidR="002764E5" w:rsidRPr="002764E5">
        <w:rPr>
          <w:b w:val="0"/>
          <w:sz w:val="20"/>
        </w:rPr>
        <w:t>9</w:t>
      </w:r>
    </w:p>
    <w:p w14:paraId="7E729D6E" w14:textId="77777777" w:rsidR="00A33D15" w:rsidRPr="002764E5" w:rsidRDefault="00A33D15" w:rsidP="00A33D15">
      <w:pPr>
        <w:pStyle w:val="Zkladntextodsazen2"/>
        <w:ind w:left="1418" w:hanging="1418"/>
        <w:rPr>
          <w:b w:val="0"/>
          <w:sz w:val="20"/>
        </w:rPr>
      </w:pPr>
      <w:r w:rsidRPr="002764E5">
        <w:rPr>
          <w:b w:val="0"/>
          <w:sz w:val="20"/>
        </w:rPr>
        <w:t>Tabulka č. 6</w:t>
      </w:r>
      <w:r w:rsidRPr="002764E5">
        <w:rPr>
          <w:b w:val="0"/>
          <w:sz w:val="20"/>
        </w:rPr>
        <w:tab/>
        <w:t>Přehled rozpočtovaných prostředků pro vysoké školy v období</w:t>
      </w:r>
      <w:r w:rsidR="00AF73D4" w:rsidRPr="002764E5">
        <w:rPr>
          <w:b w:val="0"/>
          <w:sz w:val="20"/>
        </w:rPr>
        <w:t xml:space="preserve"> let 2000-201</w:t>
      </w:r>
      <w:r w:rsidR="002764E5" w:rsidRPr="002764E5">
        <w:rPr>
          <w:b w:val="0"/>
          <w:sz w:val="20"/>
        </w:rPr>
        <w:t>9</w:t>
      </w:r>
      <w:r w:rsidR="00AF73D4" w:rsidRPr="002764E5">
        <w:rPr>
          <w:b w:val="0"/>
          <w:sz w:val="20"/>
        </w:rPr>
        <w:t xml:space="preserve"> z kapitoly 333 </w:t>
      </w:r>
      <w:r w:rsidR="00AF73D4" w:rsidRPr="002764E5">
        <w:rPr>
          <w:b w:val="0"/>
          <w:sz w:val="20"/>
        </w:rPr>
        <w:noBreakHyphen/>
        <w:t xml:space="preserve"> </w:t>
      </w:r>
      <w:r w:rsidRPr="002764E5">
        <w:rPr>
          <w:b w:val="0"/>
          <w:sz w:val="20"/>
        </w:rPr>
        <w:t>MŠMT</w:t>
      </w:r>
    </w:p>
    <w:p w14:paraId="0E0E8205" w14:textId="77777777" w:rsidR="00E13495" w:rsidRPr="00853611" w:rsidRDefault="00E13495" w:rsidP="00C069EF">
      <w:pPr>
        <w:pStyle w:val="Zkladntextodsazen2"/>
        <w:ind w:left="426" w:firstLine="0"/>
        <w:rPr>
          <w:b w:val="0"/>
          <w:highlight w:val="yellow"/>
        </w:rPr>
      </w:pPr>
    </w:p>
    <w:p w14:paraId="5D9EB36F" w14:textId="77777777" w:rsidR="00E13495" w:rsidRPr="00853611" w:rsidRDefault="00E13495" w:rsidP="00C069EF">
      <w:pPr>
        <w:pStyle w:val="Zkladntextodsazen2"/>
        <w:ind w:left="426" w:firstLine="0"/>
        <w:rPr>
          <w:b w:val="0"/>
          <w:highlight w:val="yellow"/>
        </w:rPr>
      </w:pPr>
    </w:p>
    <w:p w14:paraId="2C569D51" w14:textId="77777777" w:rsidR="00C069EF" w:rsidRDefault="00C54771" w:rsidP="00B26388">
      <w:pPr>
        <w:pStyle w:val="Nadpis3"/>
      </w:pPr>
      <w:r w:rsidRPr="00853611">
        <w:rPr>
          <w:highlight w:val="yellow"/>
        </w:rPr>
        <w:br w:type="page"/>
      </w:r>
      <w:bookmarkStart w:id="74" w:name="_Toc5968834"/>
      <w:bookmarkEnd w:id="59"/>
      <w:r w:rsidR="00C069EF" w:rsidRPr="00817676">
        <w:lastRenderedPageBreak/>
        <w:t xml:space="preserve">Výzkum, </w:t>
      </w:r>
      <w:r w:rsidR="00CB4047" w:rsidRPr="00817676">
        <w:t xml:space="preserve">experimentální </w:t>
      </w:r>
      <w:r w:rsidR="00C069EF" w:rsidRPr="00817676">
        <w:t>vývoj a inovace</w:t>
      </w:r>
      <w:bookmarkEnd w:id="74"/>
      <w:r w:rsidR="00C069EF" w:rsidRPr="00817676">
        <w:tab/>
      </w:r>
    </w:p>
    <w:p w14:paraId="11DDE6CC" w14:textId="77777777" w:rsidR="00C069EF" w:rsidRPr="00817676" w:rsidRDefault="00C069EF" w:rsidP="002F35F9">
      <w:pPr>
        <w:pStyle w:val="KS5"/>
        <w:numPr>
          <w:ilvl w:val="0"/>
          <w:numId w:val="0"/>
        </w:numPr>
        <w:ind w:left="1134"/>
      </w:pPr>
    </w:p>
    <w:p w14:paraId="08EBE6B2" w14:textId="77777777" w:rsidR="008678CF" w:rsidRDefault="002F35F9" w:rsidP="0031482F">
      <w:pPr>
        <w:pStyle w:val="Nadpis4"/>
        <w:numPr>
          <w:ilvl w:val="3"/>
          <w:numId w:val="76"/>
        </w:numPr>
      </w:pPr>
      <w:r w:rsidRPr="00817676">
        <w:t xml:space="preserve"> </w:t>
      </w:r>
      <w:bookmarkStart w:id="75" w:name="_Toc447780933"/>
      <w:bookmarkStart w:id="76" w:name="_Toc5968835"/>
      <w:r w:rsidR="008678CF" w:rsidRPr="00817676">
        <w:t>Schválené</w:t>
      </w:r>
      <w:r w:rsidR="008678CF">
        <w:t xml:space="preserve"> výdaje na výzkum, experimentální vývoj a inovace</w:t>
      </w:r>
      <w:bookmarkEnd w:id="75"/>
      <w:bookmarkEnd w:id="76"/>
    </w:p>
    <w:p w14:paraId="5CFDF22F" w14:textId="77777777" w:rsidR="008678CF" w:rsidRDefault="008678CF" w:rsidP="008678CF">
      <w:pPr>
        <w:ind w:left="426" w:firstLine="567"/>
        <w:rPr>
          <w:szCs w:val="24"/>
        </w:rPr>
      </w:pPr>
    </w:p>
    <w:p w14:paraId="1540E5C5" w14:textId="77777777" w:rsidR="008678CF" w:rsidRDefault="008678CF" w:rsidP="008678CF">
      <w:pPr>
        <w:rPr>
          <w:szCs w:val="24"/>
        </w:rPr>
      </w:pPr>
      <w:r>
        <w:rPr>
          <w:szCs w:val="24"/>
        </w:rPr>
        <w:t>Celkové výdaje jsou v rozpočtu kapitoly MŠMT strukturovány v Kč:</w:t>
      </w:r>
    </w:p>
    <w:p w14:paraId="75BB713B" w14:textId="77777777" w:rsidR="008678CF" w:rsidRDefault="008678CF" w:rsidP="008678CF">
      <w:pPr>
        <w:rPr>
          <w:sz w:val="16"/>
          <w:szCs w:val="16"/>
        </w:rPr>
      </w:pPr>
    </w:p>
    <w:tbl>
      <w:tblPr>
        <w:tblW w:w="8788" w:type="dxa"/>
        <w:tblInd w:w="496" w:type="dxa"/>
        <w:tblCellMar>
          <w:left w:w="70" w:type="dxa"/>
          <w:right w:w="70" w:type="dxa"/>
        </w:tblCellMar>
        <w:tblLook w:val="04A0" w:firstRow="1" w:lastRow="0" w:firstColumn="1" w:lastColumn="0" w:noHBand="0" w:noVBand="1"/>
      </w:tblPr>
      <w:tblGrid>
        <w:gridCol w:w="6804"/>
        <w:gridCol w:w="1984"/>
      </w:tblGrid>
      <w:tr w:rsidR="008678CF" w14:paraId="3563B906" w14:textId="77777777" w:rsidTr="008678CF">
        <w:trPr>
          <w:trHeight w:val="525"/>
        </w:trPr>
        <w:tc>
          <w:tcPr>
            <w:tcW w:w="6804" w:type="dxa"/>
            <w:vAlign w:val="bottom"/>
            <w:hideMark/>
          </w:tcPr>
          <w:p w14:paraId="32F3ED41" w14:textId="77777777" w:rsidR="008678CF" w:rsidRDefault="008678CF">
            <w:pPr>
              <w:rPr>
                <w:b/>
                <w:bCs/>
                <w:sz w:val="22"/>
                <w:szCs w:val="22"/>
              </w:rPr>
            </w:pPr>
            <w:r>
              <w:rPr>
                <w:b/>
                <w:bCs/>
                <w:sz w:val="22"/>
                <w:szCs w:val="22"/>
              </w:rPr>
              <w:t>Výdaje na VVI celkem, včetně programů spolufinancovaných z prostředků zahraničních programů</w:t>
            </w:r>
          </w:p>
        </w:tc>
        <w:tc>
          <w:tcPr>
            <w:tcW w:w="1984" w:type="dxa"/>
            <w:hideMark/>
          </w:tcPr>
          <w:p w14:paraId="52E1A42A" w14:textId="77777777" w:rsidR="008678CF" w:rsidRDefault="008678CF">
            <w:pPr>
              <w:jc w:val="right"/>
              <w:rPr>
                <w:b/>
              </w:rPr>
            </w:pPr>
            <w:r>
              <w:rPr>
                <w:b/>
              </w:rPr>
              <w:t xml:space="preserve">19 734 339 959 </w:t>
            </w:r>
          </w:p>
        </w:tc>
      </w:tr>
      <w:tr w:rsidR="008678CF" w14:paraId="020A10E4" w14:textId="77777777" w:rsidTr="008678CF">
        <w:trPr>
          <w:trHeight w:val="300"/>
        </w:trPr>
        <w:tc>
          <w:tcPr>
            <w:tcW w:w="6804" w:type="dxa"/>
            <w:vAlign w:val="bottom"/>
            <w:hideMark/>
          </w:tcPr>
          <w:p w14:paraId="4DBDE5E2" w14:textId="77777777" w:rsidR="008678CF" w:rsidRDefault="008678CF">
            <w:pPr>
              <w:rPr>
                <w:b/>
                <w:sz w:val="22"/>
                <w:szCs w:val="22"/>
              </w:rPr>
            </w:pPr>
            <w:r>
              <w:rPr>
                <w:b/>
                <w:sz w:val="22"/>
                <w:szCs w:val="22"/>
              </w:rPr>
              <w:t xml:space="preserve">     v tom: I. ze státního rozpočtu celkem</w:t>
            </w:r>
          </w:p>
        </w:tc>
        <w:tc>
          <w:tcPr>
            <w:tcW w:w="1984" w:type="dxa"/>
            <w:hideMark/>
          </w:tcPr>
          <w:p w14:paraId="0928EC9E" w14:textId="77777777" w:rsidR="008678CF" w:rsidRDefault="008678CF">
            <w:pPr>
              <w:jc w:val="right"/>
              <w:rPr>
                <w:b/>
              </w:rPr>
            </w:pPr>
            <w:r>
              <w:rPr>
                <w:b/>
              </w:rPr>
              <w:t>14 613 874 459</w:t>
            </w:r>
          </w:p>
        </w:tc>
      </w:tr>
      <w:tr w:rsidR="008678CF" w14:paraId="03DCC28A" w14:textId="77777777" w:rsidTr="008678CF">
        <w:trPr>
          <w:trHeight w:val="300"/>
        </w:trPr>
        <w:tc>
          <w:tcPr>
            <w:tcW w:w="6804" w:type="dxa"/>
            <w:vAlign w:val="bottom"/>
            <w:hideMark/>
          </w:tcPr>
          <w:p w14:paraId="5736A3BD" w14:textId="77777777" w:rsidR="008678CF" w:rsidRDefault="008678CF">
            <w:pPr>
              <w:rPr>
                <w:b/>
                <w:bCs/>
                <w:color w:val="000000"/>
                <w:sz w:val="22"/>
                <w:szCs w:val="22"/>
              </w:rPr>
            </w:pPr>
            <w:r>
              <w:rPr>
                <w:b/>
                <w:bCs/>
                <w:color w:val="000000"/>
                <w:sz w:val="22"/>
                <w:szCs w:val="22"/>
              </w:rPr>
              <w:t xml:space="preserve">                v tom: 1. institucionální podpora celkem:</w:t>
            </w:r>
          </w:p>
        </w:tc>
        <w:tc>
          <w:tcPr>
            <w:tcW w:w="1984" w:type="dxa"/>
            <w:hideMark/>
          </w:tcPr>
          <w:p w14:paraId="66346A3E" w14:textId="77777777" w:rsidR="008678CF" w:rsidRDefault="008678CF">
            <w:pPr>
              <w:jc w:val="right"/>
              <w:rPr>
                <w:b/>
              </w:rPr>
            </w:pPr>
            <w:r>
              <w:rPr>
                <w:b/>
              </w:rPr>
              <w:t xml:space="preserve">9 372 444 229  </w:t>
            </w:r>
          </w:p>
        </w:tc>
      </w:tr>
      <w:tr w:rsidR="008678CF" w14:paraId="1E31EFA9" w14:textId="77777777" w:rsidTr="008678CF">
        <w:trPr>
          <w:trHeight w:val="525"/>
        </w:trPr>
        <w:tc>
          <w:tcPr>
            <w:tcW w:w="6804" w:type="dxa"/>
            <w:vAlign w:val="bottom"/>
            <w:hideMark/>
          </w:tcPr>
          <w:p w14:paraId="471FDED5" w14:textId="77777777" w:rsidR="008678CF" w:rsidRDefault="008678CF" w:rsidP="005B6E93">
            <w:pPr>
              <w:numPr>
                <w:ilvl w:val="0"/>
                <w:numId w:val="56"/>
              </w:numPr>
              <w:rPr>
                <w:sz w:val="22"/>
                <w:szCs w:val="22"/>
              </w:rPr>
            </w:pPr>
            <w:r>
              <w:rPr>
                <w:sz w:val="22"/>
                <w:szCs w:val="22"/>
              </w:rPr>
              <w:t>Institucionální podpora výzkumných organizací podle zhodnocení jimi dosažených výsledků</w:t>
            </w:r>
          </w:p>
        </w:tc>
        <w:tc>
          <w:tcPr>
            <w:tcW w:w="1984" w:type="dxa"/>
            <w:hideMark/>
          </w:tcPr>
          <w:p w14:paraId="2CB45BC9" w14:textId="77777777" w:rsidR="008678CF" w:rsidRDefault="008678CF">
            <w:pPr>
              <w:jc w:val="right"/>
            </w:pPr>
            <w:r>
              <w:t>6 837 096 581</w:t>
            </w:r>
          </w:p>
        </w:tc>
      </w:tr>
      <w:tr w:rsidR="008678CF" w14:paraId="2456118E" w14:textId="77777777" w:rsidTr="008678CF">
        <w:trPr>
          <w:trHeight w:val="300"/>
        </w:trPr>
        <w:tc>
          <w:tcPr>
            <w:tcW w:w="6804" w:type="dxa"/>
            <w:vAlign w:val="bottom"/>
            <w:hideMark/>
          </w:tcPr>
          <w:p w14:paraId="7CC3DE5D" w14:textId="77777777" w:rsidR="008678CF" w:rsidRDefault="008678CF" w:rsidP="005B6E93">
            <w:pPr>
              <w:numPr>
                <w:ilvl w:val="0"/>
                <w:numId w:val="56"/>
              </w:numPr>
              <w:rPr>
                <w:color w:val="000000"/>
                <w:sz w:val="22"/>
                <w:szCs w:val="22"/>
              </w:rPr>
            </w:pPr>
            <w:r>
              <w:rPr>
                <w:color w:val="000000"/>
                <w:sz w:val="22"/>
                <w:szCs w:val="22"/>
              </w:rPr>
              <w:t>Institucionální podpora na mezinárodní spolupráci ČR ve výzkumu a vývoji</w:t>
            </w:r>
          </w:p>
        </w:tc>
        <w:tc>
          <w:tcPr>
            <w:tcW w:w="1984" w:type="dxa"/>
            <w:hideMark/>
          </w:tcPr>
          <w:p w14:paraId="013689EE" w14:textId="77777777" w:rsidR="008678CF" w:rsidRDefault="008678CF">
            <w:pPr>
              <w:jc w:val="right"/>
            </w:pPr>
            <w:r>
              <w:t>1 261 482 211</w:t>
            </w:r>
          </w:p>
        </w:tc>
      </w:tr>
      <w:tr w:rsidR="008678CF" w14:paraId="6787F764" w14:textId="77777777" w:rsidTr="008678CF">
        <w:trPr>
          <w:trHeight w:val="300"/>
        </w:trPr>
        <w:tc>
          <w:tcPr>
            <w:tcW w:w="6804" w:type="dxa"/>
            <w:vAlign w:val="bottom"/>
            <w:hideMark/>
          </w:tcPr>
          <w:p w14:paraId="14EC40DE" w14:textId="6A84DDB4" w:rsidR="008678CF" w:rsidRDefault="008678CF">
            <w:pPr>
              <w:rPr>
                <w:color w:val="000000"/>
                <w:sz w:val="22"/>
                <w:szCs w:val="22"/>
              </w:rPr>
            </w:pPr>
            <w:r>
              <w:rPr>
                <w:color w:val="000000"/>
                <w:sz w:val="22"/>
                <w:szCs w:val="22"/>
              </w:rPr>
              <w:t xml:space="preserve">                                 z toho: Eurostars</w:t>
            </w:r>
            <w:r w:rsidR="00040D36">
              <w:rPr>
                <w:color w:val="000000"/>
                <w:sz w:val="22"/>
                <w:szCs w:val="22"/>
              </w:rPr>
              <w:t>-2</w:t>
            </w:r>
          </w:p>
        </w:tc>
        <w:tc>
          <w:tcPr>
            <w:tcW w:w="1984" w:type="dxa"/>
            <w:hideMark/>
          </w:tcPr>
          <w:p w14:paraId="4681402E" w14:textId="77777777" w:rsidR="008678CF" w:rsidRDefault="008678CF">
            <w:pPr>
              <w:jc w:val="right"/>
            </w:pPr>
            <w:r>
              <w:t>39 526 000</w:t>
            </w:r>
          </w:p>
        </w:tc>
      </w:tr>
      <w:tr w:rsidR="008678CF" w14:paraId="52CF3C0B" w14:textId="77777777" w:rsidTr="008678CF">
        <w:trPr>
          <w:trHeight w:val="300"/>
        </w:trPr>
        <w:tc>
          <w:tcPr>
            <w:tcW w:w="6804" w:type="dxa"/>
            <w:vAlign w:val="bottom"/>
            <w:hideMark/>
          </w:tcPr>
          <w:p w14:paraId="662AB535" w14:textId="77777777" w:rsidR="008678CF" w:rsidRDefault="008678CF">
            <w:pPr>
              <w:rPr>
                <w:sz w:val="22"/>
                <w:szCs w:val="22"/>
              </w:rPr>
            </w:pPr>
            <w:r>
              <w:rPr>
                <w:sz w:val="22"/>
                <w:szCs w:val="22"/>
              </w:rPr>
              <w:t xml:space="preserve">                                             Horizont 2020</w:t>
            </w:r>
          </w:p>
        </w:tc>
        <w:tc>
          <w:tcPr>
            <w:tcW w:w="1984" w:type="dxa"/>
            <w:hideMark/>
          </w:tcPr>
          <w:p w14:paraId="0F769217" w14:textId="77777777" w:rsidR="008678CF" w:rsidRDefault="008678CF">
            <w:pPr>
              <w:jc w:val="right"/>
            </w:pPr>
            <w:r>
              <w:t>3 986 000</w:t>
            </w:r>
          </w:p>
        </w:tc>
      </w:tr>
      <w:tr w:rsidR="008678CF" w14:paraId="53BDA3CF" w14:textId="77777777" w:rsidTr="008678CF">
        <w:trPr>
          <w:trHeight w:val="300"/>
        </w:trPr>
        <w:tc>
          <w:tcPr>
            <w:tcW w:w="6804" w:type="dxa"/>
            <w:vAlign w:val="bottom"/>
            <w:hideMark/>
          </w:tcPr>
          <w:p w14:paraId="733F5AF8" w14:textId="77777777" w:rsidR="008678CF" w:rsidRDefault="008678CF" w:rsidP="005B6E93">
            <w:pPr>
              <w:numPr>
                <w:ilvl w:val="0"/>
                <w:numId w:val="56"/>
              </w:numPr>
              <w:tabs>
                <w:tab w:val="left" w:pos="650"/>
                <w:tab w:val="left" w:pos="890"/>
              </w:tabs>
              <w:rPr>
                <w:iCs/>
                <w:color w:val="000000"/>
                <w:sz w:val="22"/>
                <w:szCs w:val="22"/>
              </w:rPr>
            </w:pPr>
            <w:r>
              <w:rPr>
                <w:iCs/>
                <w:color w:val="000000"/>
                <w:sz w:val="22"/>
                <w:szCs w:val="22"/>
              </w:rPr>
              <w:t>Ostatní institucionální podpora VVI</w:t>
            </w:r>
          </w:p>
        </w:tc>
        <w:tc>
          <w:tcPr>
            <w:tcW w:w="1984" w:type="dxa"/>
            <w:hideMark/>
          </w:tcPr>
          <w:p w14:paraId="6091C84A" w14:textId="77777777" w:rsidR="008678CF" w:rsidRDefault="008678CF">
            <w:pPr>
              <w:jc w:val="right"/>
            </w:pPr>
            <w:r>
              <w:rPr>
                <w:color w:val="000000"/>
              </w:rPr>
              <w:t>1 273 865 437</w:t>
            </w:r>
          </w:p>
        </w:tc>
      </w:tr>
      <w:tr w:rsidR="008678CF" w14:paraId="0CCB1D3A" w14:textId="77777777" w:rsidTr="008678CF">
        <w:trPr>
          <w:trHeight w:val="300"/>
        </w:trPr>
        <w:tc>
          <w:tcPr>
            <w:tcW w:w="6804" w:type="dxa"/>
            <w:vAlign w:val="bottom"/>
            <w:hideMark/>
          </w:tcPr>
          <w:p w14:paraId="2D422FBD" w14:textId="77777777" w:rsidR="008678CF" w:rsidRDefault="008678CF">
            <w:pPr>
              <w:rPr>
                <w:color w:val="000000"/>
                <w:sz w:val="22"/>
                <w:szCs w:val="22"/>
              </w:rPr>
            </w:pPr>
            <w:r>
              <w:rPr>
                <w:color w:val="000000"/>
                <w:sz w:val="22"/>
                <w:szCs w:val="22"/>
              </w:rPr>
              <w:t xml:space="preserve">                                    z toho: OP VVV ze státního rozpočtu</w:t>
            </w:r>
          </w:p>
        </w:tc>
        <w:tc>
          <w:tcPr>
            <w:tcW w:w="1984" w:type="dxa"/>
            <w:hideMark/>
          </w:tcPr>
          <w:p w14:paraId="5F2E42F2" w14:textId="77777777" w:rsidR="008678CF" w:rsidRDefault="008678CF">
            <w:pPr>
              <w:jc w:val="right"/>
            </w:pPr>
            <w:r>
              <w:rPr>
                <w:color w:val="000000"/>
              </w:rPr>
              <w:t>1 247 965 437</w:t>
            </w:r>
          </w:p>
        </w:tc>
      </w:tr>
      <w:tr w:rsidR="008678CF" w14:paraId="5189592C" w14:textId="77777777" w:rsidTr="008678CF">
        <w:trPr>
          <w:trHeight w:val="300"/>
        </w:trPr>
        <w:tc>
          <w:tcPr>
            <w:tcW w:w="6804" w:type="dxa"/>
            <w:vAlign w:val="bottom"/>
            <w:hideMark/>
          </w:tcPr>
          <w:p w14:paraId="672CEF58" w14:textId="77777777" w:rsidR="008678CF" w:rsidRDefault="008678CF">
            <w:pPr>
              <w:rPr>
                <w:b/>
                <w:bCs/>
                <w:color w:val="000000"/>
                <w:sz w:val="22"/>
                <w:szCs w:val="22"/>
              </w:rPr>
            </w:pPr>
            <w:r>
              <w:rPr>
                <w:b/>
                <w:bCs/>
                <w:color w:val="000000"/>
                <w:sz w:val="22"/>
                <w:szCs w:val="22"/>
              </w:rPr>
              <w:t xml:space="preserve">                           2. účelová podpora celkem:</w:t>
            </w:r>
          </w:p>
        </w:tc>
        <w:tc>
          <w:tcPr>
            <w:tcW w:w="1984" w:type="dxa"/>
            <w:hideMark/>
          </w:tcPr>
          <w:p w14:paraId="41E6E26D" w14:textId="77777777" w:rsidR="008678CF" w:rsidRDefault="008678CF">
            <w:pPr>
              <w:jc w:val="right"/>
              <w:rPr>
                <w:b/>
              </w:rPr>
            </w:pPr>
            <w:r>
              <w:rPr>
                <w:b/>
              </w:rPr>
              <w:t>5 241 430 230</w:t>
            </w:r>
          </w:p>
        </w:tc>
      </w:tr>
      <w:tr w:rsidR="008678CF" w14:paraId="2B24F55F" w14:textId="77777777" w:rsidTr="008678CF">
        <w:trPr>
          <w:trHeight w:val="300"/>
        </w:trPr>
        <w:tc>
          <w:tcPr>
            <w:tcW w:w="6804" w:type="dxa"/>
            <w:vAlign w:val="bottom"/>
            <w:hideMark/>
          </w:tcPr>
          <w:p w14:paraId="1D2EC434" w14:textId="77777777" w:rsidR="008678CF" w:rsidRDefault="008678CF" w:rsidP="005B6E93">
            <w:pPr>
              <w:numPr>
                <w:ilvl w:val="0"/>
                <w:numId w:val="56"/>
              </w:numPr>
              <w:rPr>
                <w:sz w:val="22"/>
                <w:szCs w:val="22"/>
              </w:rPr>
            </w:pPr>
            <w:r>
              <w:rPr>
                <w:sz w:val="22"/>
                <w:szCs w:val="22"/>
              </w:rPr>
              <w:t>Účelová podpora na programy aplikovaného VVI</w:t>
            </w:r>
          </w:p>
        </w:tc>
        <w:tc>
          <w:tcPr>
            <w:tcW w:w="1984" w:type="dxa"/>
            <w:hideMark/>
          </w:tcPr>
          <w:p w14:paraId="2629C2DA" w14:textId="77777777" w:rsidR="008678CF" w:rsidRDefault="008678CF">
            <w:pPr>
              <w:jc w:val="right"/>
            </w:pPr>
            <w:r>
              <w:t>2 356 122 230</w:t>
            </w:r>
          </w:p>
        </w:tc>
      </w:tr>
      <w:tr w:rsidR="008678CF" w14:paraId="0C1BD49F" w14:textId="77777777" w:rsidTr="008678CF">
        <w:trPr>
          <w:trHeight w:val="300"/>
        </w:trPr>
        <w:tc>
          <w:tcPr>
            <w:tcW w:w="6804" w:type="dxa"/>
            <w:vAlign w:val="bottom"/>
            <w:hideMark/>
          </w:tcPr>
          <w:p w14:paraId="43E5FEA0" w14:textId="77777777" w:rsidR="008678CF" w:rsidRDefault="008678CF" w:rsidP="005B6E93">
            <w:pPr>
              <w:numPr>
                <w:ilvl w:val="0"/>
                <w:numId w:val="56"/>
              </w:numPr>
              <w:rPr>
                <w:sz w:val="22"/>
                <w:szCs w:val="22"/>
              </w:rPr>
            </w:pPr>
            <w:r>
              <w:rPr>
                <w:sz w:val="22"/>
                <w:szCs w:val="22"/>
              </w:rPr>
              <w:t>Účelová podpora na specifický VŠ výzkum</w:t>
            </w:r>
          </w:p>
        </w:tc>
        <w:tc>
          <w:tcPr>
            <w:tcW w:w="1984" w:type="dxa"/>
            <w:hideMark/>
          </w:tcPr>
          <w:p w14:paraId="6966140B" w14:textId="77777777" w:rsidR="008678CF" w:rsidRDefault="008678CF">
            <w:pPr>
              <w:jc w:val="right"/>
            </w:pPr>
            <w:r>
              <w:t>1 165 308 000</w:t>
            </w:r>
          </w:p>
        </w:tc>
      </w:tr>
      <w:tr w:rsidR="008678CF" w14:paraId="17DF6C34" w14:textId="77777777" w:rsidTr="008678CF">
        <w:trPr>
          <w:trHeight w:val="300"/>
        </w:trPr>
        <w:tc>
          <w:tcPr>
            <w:tcW w:w="6804" w:type="dxa"/>
            <w:vAlign w:val="bottom"/>
            <w:hideMark/>
          </w:tcPr>
          <w:p w14:paraId="22B89D72" w14:textId="77777777" w:rsidR="008678CF" w:rsidRDefault="008678CF" w:rsidP="005B6E93">
            <w:pPr>
              <w:numPr>
                <w:ilvl w:val="0"/>
                <w:numId w:val="56"/>
              </w:numPr>
              <w:rPr>
                <w:iCs/>
                <w:color w:val="000000"/>
                <w:sz w:val="22"/>
                <w:szCs w:val="22"/>
              </w:rPr>
            </w:pPr>
            <w:r>
              <w:rPr>
                <w:iCs/>
                <w:color w:val="000000"/>
                <w:sz w:val="22"/>
                <w:szCs w:val="22"/>
              </w:rPr>
              <w:t>Ostatní účelová podpora VVI</w:t>
            </w:r>
          </w:p>
        </w:tc>
        <w:tc>
          <w:tcPr>
            <w:tcW w:w="1984" w:type="dxa"/>
            <w:hideMark/>
          </w:tcPr>
          <w:p w14:paraId="1F7CF568" w14:textId="77777777" w:rsidR="008678CF" w:rsidRDefault="008678CF">
            <w:pPr>
              <w:jc w:val="right"/>
            </w:pPr>
            <w:r>
              <w:t>1 720 000 000</w:t>
            </w:r>
          </w:p>
        </w:tc>
      </w:tr>
      <w:tr w:rsidR="008678CF" w14:paraId="61FD2AE4" w14:textId="77777777" w:rsidTr="008678CF">
        <w:trPr>
          <w:trHeight w:val="300"/>
        </w:trPr>
        <w:tc>
          <w:tcPr>
            <w:tcW w:w="6804" w:type="dxa"/>
            <w:vAlign w:val="bottom"/>
            <w:hideMark/>
          </w:tcPr>
          <w:p w14:paraId="7146BD10" w14:textId="77777777" w:rsidR="008678CF" w:rsidRDefault="008678CF">
            <w:pPr>
              <w:rPr>
                <w:b/>
                <w:color w:val="000000"/>
                <w:sz w:val="22"/>
                <w:szCs w:val="22"/>
              </w:rPr>
            </w:pPr>
            <w:r>
              <w:rPr>
                <w:b/>
                <w:color w:val="000000"/>
                <w:sz w:val="22"/>
                <w:szCs w:val="22"/>
              </w:rPr>
              <w:t xml:space="preserve">                II. podíl prostředků zahraničních programů:</w:t>
            </w:r>
          </w:p>
        </w:tc>
        <w:tc>
          <w:tcPr>
            <w:tcW w:w="1984" w:type="dxa"/>
            <w:hideMark/>
          </w:tcPr>
          <w:p w14:paraId="41CFF52A" w14:textId="77777777" w:rsidR="008678CF" w:rsidRDefault="008678CF">
            <w:pPr>
              <w:jc w:val="right"/>
              <w:rPr>
                <w:b/>
              </w:rPr>
            </w:pPr>
            <w:r>
              <w:rPr>
                <w:b/>
                <w:color w:val="000000"/>
              </w:rPr>
              <w:t>5 120 465 500</w:t>
            </w:r>
          </w:p>
        </w:tc>
      </w:tr>
      <w:tr w:rsidR="008678CF" w14:paraId="6B918F10" w14:textId="77777777" w:rsidTr="008678CF">
        <w:trPr>
          <w:trHeight w:val="300"/>
        </w:trPr>
        <w:tc>
          <w:tcPr>
            <w:tcW w:w="6804" w:type="dxa"/>
            <w:vAlign w:val="bottom"/>
            <w:hideMark/>
          </w:tcPr>
          <w:p w14:paraId="4863567A" w14:textId="77777777" w:rsidR="008678CF" w:rsidRDefault="008678CF">
            <w:pPr>
              <w:rPr>
                <w:color w:val="000000"/>
                <w:sz w:val="22"/>
                <w:szCs w:val="22"/>
              </w:rPr>
            </w:pPr>
            <w:r>
              <w:rPr>
                <w:color w:val="000000"/>
                <w:sz w:val="22"/>
                <w:szCs w:val="22"/>
              </w:rPr>
              <w:t xml:space="preserve">                            v tom z prostředků OP VVV</w:t>
            </w:r>
          </w:p>
        </w:tc>
        <w:tc>
          <w:tcPr>
            <w:tcW w:w="1984" w:type="dxa"/>
            <w:hideMark/>
          </w:tcPr>
          <w:p w14:paraId="25F96482" w14:textId="77777777" w:rsidR="008678CF" w:rsidRDefault="008678CF">
            <w:pPr>
              <w:jc w:val="right"/>
            </w:pPr>
            <w:r>
              <w:t>5 110 000 000</w:t>
            </w:r>
          </w:p>
        </w:tc>
      </w:tr>
      <w:tr w:rsidR="008678CF" w14:paraId="68AFFA71" w14:textId="77777777" w:rsidTr="008678CF">
        <w:trPr>
          <w:trHeight w:val="295"/>
        </w:trPr>
        <w:tc>
          <w:tcPr>
            <w:tcW w:w="6804" w:type="dxa"/>
            <w:vAlign w:val="bottom"/>
            <w:hideMark/>
          </w:tcPr>
          <w:p w14:paraId="4A2A4FB9" w14:textId="063A2320" w:rsidR="008678CF" w:rsidRDefault="008678CF">
            <w:pPr>
              <w:rPr>
                <w:color w:val="000000"/>
                <w:sz w:val="22"/>
                <w:szCs w:val="22"/>
              </w:rPr>
            </w:pPr>
            <w:r>
              <w:rPr>
                <w:color w:val="000000"/>
                <w:sz w:val="22"/>
                <w:szCs w:val="22"/>
              </w:rPr>
              <w:t xml:space="preserve">                                                            Eurostars</w:t>
            </w:r>
            <w:r w:rsidR="00040D36">
              <w:rPr>
                <w:color w:val="000000"/>
                <w:sz w:val="22"/>
                <w:szCs w:val="22"/>
              </w:rPr>
              <w:t>-2</w:t>
            </w:r>
          </w:p>
        </w:tc>
        <w:tc>
          <w:tcPr>
            <w:tcW w:w="1984" w:type="dxa"/>
            <w:hideMark/>
          </w:tcPr>
          <w:p w14:paraId="5441503C" w14:textId="77777777" w:rsidR="008678CF" w:rsidRDefault="008678CF">
            <w:pPr>
              <w:jc w:val="right"/>
              <w:rPr>
                <w:highlight w:val="yellow"/>
              </w:rPr>
            </w:pPr>
            <w:r>
              <w:t>9 881 500</w:t>
            </w:r>
          </w:p>
        </w:tc>
      </w:tr>
      <w:tr w:rsidR="008678CF" w14:paraId="19BFBCAE" w14:textId="77777777" w:rsidTr="008678CF">
        <w:trPr>
          <w:trHeight w:val="295"/>
        </w:trPr>
        <w:tc>
          <w:tcPr>
            <w:tcW w:w="6804" w:type="dxa"/>
            <w:vAlign w:val="bottom"/>
            <w:hideMark/>
          </w:tcPr>
          <w:p w14:paraId="4227A96D" w14:textId="77777777" w:rsidR="008678CF" w:rsidRDefault="008678CF">
            <w:pPr>
              <w:rPr>
                <w:color w:val="000000"/>
                <w:sz w:val="22"/>
                <w:szCs w:val="22"/>
              </w:rPr>
            </w:pPr>
            <w:r>
              <w:rPr>
                <w:color w:val="000000"/>
                <w:sz w:val="22"/>
                <w:szCs w:val="22"/>
              </w:rPr>
              <w:t xml:space="preserve">                                                            Horizont 2020 </w:t>
            </w:r>
          </w:p>
        </w:tc>
        <w:tc>
          <w:tcPr>
            <w:tcW w:w="1984" w:type="dxa"/>
            <w:hideMark/>
          </w:tcPr>
          <w:p w14:paraId="069B956A" w14:textId="77777777" w:rsidR="008678CF" w:rsidRDefault="008678CF">
            <w:pPr>
              <w:jc w:val="right"/>
            </w:pPr>
            <w:r>
              <w:t>584 000</w:t>
            </w:r>
          </w:p>
        </w:tc>
      </w:tr>
    </w:tbl>
    <w:p w14:paraId="6BB62963" w14:textId="77777777" w:rsidR="008678CF" w:rsidRDefault="008678CF" w:rsidP="008678CF">
      <w:pPr>
        <w:rPr>
          <w:sz w:val="16"/>
          <w:szCs w:val="16"/>
          <w:highlight w:val="yellow"/>
        </w:rPr>
      </w:pPr>
    </w:p>
    <w:p w14:paraId="465EB46C" w14:textId="37CAA570" w:rsidR="008678CF" w:rsidRDefault="008678CF" w:rsidP="008678CF">
      <w:pPr>
        <w:pStyle w:val="Text"/>
        <w:rPr>
          <w:b/>
          <w:bCs/>
        </w:rPr>
      </w:pPr>
      <w:bookmarkStart w:id="77" w:name="_Toc398898218"/>
      <w:r>
        <w:t>Výdaje ze státního rozpočtu v členění podle § 6 zákona č. 130/2002 Sb., o podpoře výzkumu, experimentálního vývoje a inovací z veřejných prostředků a o změně některých souvisejících zákonů (dále jen „zákon o podpoře VVI“), v</w:t>
      </w:r>
      <w:r w:rsidR="00B8183F">
        <w:t>e znění pozdějších předpisů, na </w:t>
      </w:r>
      <w:r>
        <w:t>závazné ukazatele rozpočtové kapitoly jsou pro rok 2019 schváleny takto:</w:t>
      </w:r>
    </w:p>
    <w:p w14:paraId="3A3C7E02" w14:textId="77777777" w:rsidR="008678CF" w:rsidRDefault="008678CF" w:rsidP="008678CF">
      <w:pPr>
        <w:pStyle w:val="Titulek"/>
        <w:keepNext/>
        <w:rPr>
          <w:rFonts w:cs="Calibri"/>
          <w:b w:val="0"/>
          <w:bCs w:val="0"/>
          <w:szCs w:val="24"/>
        </w:rPr>
      </w:pPr>
    </w:p>
    <w:p w14:paraId="3DBAE659" w14:textId="77777777" w:rsidR="00636DE9" w:rsidRDefault="00636DE9" w:rsidP="00636DE9">
      <w:pPr>
        <w:pStyle w:val="Titulek"/>
        <w:keepNext/>
      </w:pPr>
      <w:bookmarkStart w:id="78" w:name="_Toc5965623"/>
      <w:bookmarkEnd w:id="77"/>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2</w:t>
      </w:r>
      <w:r w:rsidR="005F53B0">
        <w:rPr>
          <w:noProof/>
        </w:rPr>
        <w:fldChar w:fldCharType="end"/>
      </w:r>
      <w:r>
        <w:t>: Výdaje na VVI bez EU</w:t>
      </w:r>
      <w:bookmarkEnd w:id="7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6"/>
        <w:gridCol w:w="2158"/>
      </w:tblGrid>
      <w:tr w:rsidR="008678CF" w14:paraId="496A219A" w14:textId="77777777" w:rsidTr="00A176BD">
        <w:tc>
          <w:tcPr>
            <w:tcW w:w="6586" w:type="dxa"/>
            <w:tcBorders>
              <w:top w:val="single" w:sz="4" w:space="0" w:color="auto"/>
              <w:left w:val="single" w:sz="4" w:space="0" w:color="auto"/>
              <w:bottom w:val="single" w:sz="4" w:space="0" w:color="auto"/>
              <w:right w:val="single" w:sz="4" w:space="0" w:color="auto"/>
            </w:tcBorders>
            <w:vAlign w:val="center"/>
            <w:hideMark/>
          </w:tcPr>
          <w:p w14:paraId="4623B315" w14:textId="77777777" w:rsidR="008678CF" w:rsidRDefault="008678CF">
            <w:pPr>
              <w:rPr>
                <w:b/>
              </w:rPr>
            </w:pPr>
            <w:r>
              <w:rPr>
                <w:b/>
              </w:rPr>
              <w:t>Výdaje v roce 2019</w:t>
            </w:r>
          </w:p>
        </w:tc>
        <w:tc>
          <w:tcPr>
            <w:tcW w:w="2158" w:type="dxa"/>
            <w:tcBorders>
              <w:top w:val="single" w:sz="4" w:space="0" w:color="auto"/>
              <w:left w:val="single" w:sz="4" w:space="0" w:color="auto"/>
              <w:bottom w:val="single" w:sz="4" w:space="0" w:color="auto"/>
              <w:right w:val="single" w:sz="4" w:space="0" w:color="auto"/>
            </w:tcBorders>
            <w:hideMark/>
          </w:tcPr>
          <w:p w14:paraId="629A02CB" w14:textId="77777777" w:rsidR="008678CF" w:rsidRDefault="008678CF">
            <w:pPr>
              <w:ind w:left="175"/>
              <w:jc w:val="center"/>
              <w:rPr>
                <w:b/>
              </w:rPr>
            </w:pPr>
            <w:r>
              <w:rPr>
                <w:b/>
              </w:rPr>
              <w:t>v Kč</w:t>
            </w:r>
          </w:p>
        </w:tc>
      </w:tr>
      <w:tr w:rsidR="008678CF" w14:paraId="1EE4A597"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0797F474" w14:textId="77777777" w:rsidR="008678CF" w:rsidRDefault="008678CF">
            <w:r>
              <w:t>Výdaje na VVI celkem ze SR</w:t>
            </w:r>
          </w:p>
        </w:tc>
        <w:tc>
          <w:tcPr>
            <w:tcW w:w="2158" w:type="dxa"/>
            <w:tcBorders>
              <w:top w:val="single" w:sz="4" w:space="0" w:color="auto"/>
              <w:left w:val="single" w:sz="4" w:space="0" w:color="auto"/>
              <w:bottom w:val="single" w:sz="4" w:space="0" w:color="auto"/>
              <w:right w:val="single" w:sz="4" w:space="0" w:color="auto"/>
            </w:tcBorders>
            <w:vAlign w:val="center"/>
            <w:hideMark/>
          </w:tcPr>
          <w:p w14:paraId="6B89C202" w14:textId="77777777" w:rsidR="008678CF" w:rsidRDefault="008678CF">
            <w:pPr>
              <w:ind w:left="360"/>
              <w:jc w:val="right"/>
              <w:rPr>
                <w:b/>
              </w:rPr>
            </w:pPr>
            <w:r>
              <w:rPr>
                <w:b/>
              </w:rPr>
              <w:t>14 613 874 459</w:t>
            </w:r>
          </w:p>
        </w:tc>
      </w:tr>
      <w:tr w:rsidR="008678CF" w14:paraId="6B1E77CC"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44B143D5" w14:textId="77777777" w:rsidR="008678CF" w:rsidRDefault="008678CF">
            <w:r>
              <w:t>Institucionální podpora celkem</w:t>
            </w:r>
          </w:p>
        </w:tc>
        <w:tc>
          <w:tcPr>
            <w:tcW w:w="2158" w:type="dxa"/>
            <w:tcBorders>
              <w:top w:val="single" w:sz="4" w:space="0" w:color="auto"/>
              <w:left w:val="single" w:sz="4" w:space="0" w:color="auto"/>
              <w:bottom w:val="single" w:sz="4" w:space="0" w:color="auto"/>
              <w:right w:val="single" w:sz="4" w:space="0" w:color="auto"/>
            </w:tcBorders>
            <w:vAlign w:val="center"/>
            <w:hideMark/>
          </w:tcPr>
          <w:p w14:paraId="5F842223" w14:textId="77777777" w:rsidR="008678CF" w:rsidRDefault="008678CF">
            <w:pPr>
              <w:ind w:left="360"/>
              <w:jc w:val="right"/>
              <w:rPr>
                <w:b/>
              </w:rPr>
            </w:pPr>
            <w:r>
              <w:rPr>
                <w:b/>
              </w:rPr>
              <w:t xml:space="preserve">9 372 444 229  </w:t>
            </w:r>
          </w:p>
        </w:tc>
      </w:tr>
      <w:tr w:rsidR="008678CF" w14:paraId="312C5692"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0AE6BA35" w14:textId="77777777" w:rsidR="008678CF" w:rsidRDefault="008678CF">
            <w:r>
              <w:t>z toho:</w:t>
            </w:r>
          </w:p>
        </w:tc>
        <w:tc>
          <w:tcPr>
            <w:tcW w:w="2158" w:type="dxa"/>
            <w:tcBorders>
              <w:top w:val="single" w:sz="4" w:space="0" w:color="auto"/>
              <w:left w:val="single" w:sz="4" w:space="0" w:color="auto"/>
              <w:bottom w:val="single" w:sz="4" w:space="0" w:color="auto"/>
              <w:right w:val="single" w:sz="4" w:space="0" w:color="auto"/>
            </w:tcBorders>
            <w:vAlign w:val="center"/>
          </w:tcPr>
          <w:p w14:paraId="508248B6" w14:textId="77777777" w:rsidR="008678CF" w:rsidRDefault="008678CF">
            <w:pPr>
              <w:ind w:left="360"/>
              <w:jc w:val="right"/>
            </w:pPr>
          </w:p>
        </w:tc>
      </w:tr>
      <w:tr w:rsidR="008678CF" w14:paraId="325222ED"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0D01DA76" w14:textId="77777777" w:rsidR="008678CF" w:rsidRDefault="008678CF">
            <w:r>
              <w:t>institucionální podpora na mezinárodní spolupráci ČR ve VVI</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B2695EB" w14:textId="77777777" w:rsidR="008678CF" w:rsidRDefault="008678CF">
            <w:pPr>
              <w:ind w:left="360"/>
              <w:jc w:val="right"/>
            </w:pPr>
            <w:r>
              <w:t>1 261 482 211</w:t>
            </w:r>
          </w:p>
        </w:tc>
      </w:tr>
      <w:tr w:rsidR="008678CF" w14:paraId="52B47D4A"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1412ADAD" w14:textId="77777777" w:rsidR="008678CF" w:rsidRDefault="008678CF">
            <w:r>
              <w:t>institucionální podpora výzkumných organizací podle zhodnocení jimi dosažených výsledků</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B9D7594" w14:textId="77777777" w:rsidR="008678CF" w:rsidRDefault="008678CF">
            <w:pPr>
              <w:ind w:left="360"/>
              <w:jc w:val="right"/>
            </w:pPr>
            <w:r>
              <w:t>6 837 096 581</w:t>
            </w:r>
          </w:p>
        </w:tc>
      </w:tr>
      <w:tr w:rsidR="008678CF" w14:paraId="682AB028"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71376782" w14:textId="77777777" w:rsidR="008678CF" w:rsidRDefault="008678CF">
            <w:r>
              <w:t>Účelová podpora celkem</w:t>
            </w:r>
          </w:p>
        </w:tc>
        <w:tc>
          <w:tcPr>
            <w:tcW w:w="2158" w:type="dxa"/>
            <w:tcBorders>
              <w:top w:val="single" w:sz="4" w:space="0" w:color="auto"/>
              <w:left w:val="single" w:sz="4" w:space="0" w:color="auto"/>
              <w:bottom w:val="single" w:sz="4" w:space="0" w:color="auto"/>
              <w:right w:val="single" w:sz="4" w:space="0" w:color="auto"/>
            </w:tcBorders>
            <w:vAlign w:val="center"/>
            <w:hideMark/>
          </w:tcPr>
          <w:p w14:paraId="758AC814" w14:textId="77777777" w:rsidR="008678CF" w:rsidRDefault="008678CF">
            <w:pPr>
              <w:ind w:left="360"/>
              <w:jc w:val="right"/>
              <w:rPr>
                <w:b/>
              </w:rPr>
            </w:pPr>
            <w:r>
              <w:rPr>
                <w:b/>
              </w:rPr>
              <w:t>5 241 430 230</w:t>
            </w:r>
          </w:p>
        </w:tc>
      </w:tr>
      <w:tr w:rsidR="008678CF" w14:paraId="469B025B"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48B4E957" w14:textId="77777777" w:rsidR="008678CF" w:rsidRDefault="008678CF">
            <w:r>
              <w:t>z toho:</w:t>
            </w:r>
          </w:p>
        </w:tc>
        <w:tc>
          <w:tcPr>
            <w:tcW w:w="2158" w:type="dxa"/>
            <w:tcBorders>
              <w:top w:val="single" w:sz="4" w:space="0" w:color="auto"/>
              <w:left w:val="single" w:sz="4" w:space="0" w:color="auto"/>
              <w:bottom w:val="single" w:sz="4" w:space="0" w:color="auto"/>
              <w:right w:val="single" w:sz="4" w:space="0" w:color="auto"/>
            </w:tcBorders>
            <w:vAlign w:val="center"/>
          </w:tcPr>
          <w:p w14:paraId="5F687D47" w14:textId="77777777" w:rsidR="008678CF" w:rsidRDefault="008678CF">
            <w:pPr>
              <w:ind w:left="360"/>
              <w:jc w:val="right"/>
            </w:pPr>
          </w:p>
        </w:tc>
      </w:tr>
      <w:tr w:rsidR="008678CF" w14:paraId="2F3437CA"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43B636AC" w14:textId="77777777" w:rsidR="008678CF" w:rsidRDefault="008678CF">
            <w:r>
              <w:t>účelová podpora na programy aplikovaného VVI</w:t>
            </w:r>
          </w:p>
        </w:tc>
        <w:tc>
          <w:tcPr>
            <w:tcW w:w="2158" w:type="dxa"/>
            <w:tcBorders>
              <w:top w:val="single" w:sz="4" w:space="0" w:color="auto"/>
              <w:left w:val="single" w:sz="4" w:space="0" w:color="auto"/>
              <w:bottom w:val="single" w:sz="4" w:space="0" w:color="auto"/>
              <w:right w:val="single" w:sz="4" w:space="0" w:color="auto"/>
            </w:tcBorders>
            <w:vAlign w:val="center"/>
            <w:hideMark/>
          </w:tcPr>
          <w:p w14:paraId="405C479D" w14:textId="77777777" w:rsidR="008678CF" w:rsidRDefault="008678CF">
            <w:pPr>
              <w:ind w:left="360"/>
              <w:jc w:val="right"/>
            </w:pPr>
            <w:r>
              <w:t>2 356 122 230</w:t>
            </w:r>
          </w:p>
        </w:tc>
      </w:tr>
      <w:tr w:rsidR="008678CF" w14:paraId="3A7EE738" w14:textId="77777777" w:rsidTr="00A176BD">
        <w:tc>
          <w:tcPr>
            <w:tcW w:w="6586" w:type="dxa"/>
            <w:tcBorders>
              <w:top w:val="single" w:sz="4" w:space="0" w:color="auto"/>
              <w:left w:val="single" w:sz="4" w:space="0" w:color="auto"/>
              <w:bottom w:val="single" w:sz="4" w:space="0" w:color="auto"/>
              <w:right w:val="single" w:sz="4" w:space="0" w:color="auto"/>
            </w:tcBorders>
            <w:hideMark/>
          </w:tcPr>
          <w:p w14:paraId="014D0D7D" w14:textId="77777777" w:rsidR="008678CF" w:rsidRDefault="008678CF">
            <w:r>
              <w:t>účelová podpora na specifický vysokoškolský výzkum</w:t>
            </w:r>
          </w:p>
        </w:tc>
        <w:tc>
          <w:tcPr>
            <w:tcW w:w="2158" w:type="dxa"/>
            <w:tcBorders>
              <w:top w:val="single" w:sz="4" w:space="0" w:color="auto"/>
              <w:left w:val="single" w:sz="4" w:space="0" w:color="auto"/>
              <w:bottom w:val="single" w:sz="4" w:space="0" w:color="auto"/>
              <w:right w:val="single" w:sz="4" w:space="0" w:color="auto"/>
            </w:tcBorders>
            <w:vAlign w:val="center"/>
            <w:hideMark/>
          </w:tcPr>
          <w:p w14:paraId="040B245E" w14:textId="77777777" w:rsidR="008678CF" w:rsidRDefault="008678CF">
            <w:pPr>
              <w:ind w:left="360"/>
              <w:jc w:val="right"/>
            </w:pPr>
            <w:r>
              <w:t>1 165 308 000</w:t>
            </w:r>
          </w:p>
        </w:tc>
      </w:tr>
    </w:tbl>
    <w:p w14:paraId="31790FBE" w14:textId="77777777" w:rsidR="008678CF" w:rsidRDefault="008678CF" w:rsidP="008678CF">
      <w:pPr>
        <w:ind w:left="426" w:firstLine="567"/>
        <w:rPr>
          <w:sz w:val="16"/>
          <w:szCs w:val="16"/>
        </w:rPr>
      </w:pPr>
    </w:p>
    <w:p w14:paraId="0C5DAFB0" w14:textId="01120865" w:rsidR="008678CF" w:rsidRDefault="008678CF" w:rsidP="008678CF">
      <w:pPr>
        <w:pStyle w:val="Text"/>
      </w:pPr>
      <w:r>
        <w:t xml:space="preserve">Do institucionální podpory celkem jsou rovněž zahrnuty </w:t>
      </w:r>
      <w:r>
        <w:rPr>
          <w:b/>
        </w:rPr>
        <w:t>výdaje ze státního rozpočtu</w:t>
      </w:r>
      <w:r>
        <w:t xml:space="preserve"> na kofinancování operačního programu OP VVV ve v</w:t>
      </w:r>
      <w:r w:rsidR="00B8183F">
        <w:t>ýši 1 247 965 437 Kč, výdaje na </w:t>
      </w:r>
      <w:r>
        <w:t>spolufinancovaný program Eurostars</w:t>
      </w:r>
      <w:r w:rsidR="00040D36">
        <w:t>-2</w:t>
      </w:r>
      <w:r>
        <w:t xml:space="preserve"> (39 526 000 Kč) a Horizont 2020 (3 986 000 Kč).</w:t>
      </w:r>
    </w:p>
    <w:p w14:paraId="0129A73E" w14:textId="4BA041C5" w:rsidR="008678CF" w:rsidRDefault="008678CF" w:rsidP="008678CF">
      <w:pPr>
        <w:pStyle w:val="Text"/>
      </w:pPr>
      <w:r>
        <w:lastRenderedPageBreak/>
        <w:t>Výdaje na VVI na rok 2019, snížené o výdaje na kofi</w:t>
      </w:r>
      <w:r w:rsidR="00B8183F">
        <w:t>nancování OP VVV, v  členění na </w:t>
      </w:r>
      <w:r>
        <w:t>závazné ukazatele podle § 6 zákona o podpoře VVI, byly schváleny takto:</w:t>
      </w:r>
    </w:p>
    <w:p w14:paraId="3601A0C2" w14:textId="77777777" w:rsidR="00636DE9" w:rsidRPr="00636DE9" w:rsidRDefault="00636DE9" w:rsidP="00636DE9"/>
    <w:p w14:paraId="778104E5" w14:textId="77777777" w:rsidR="00636DE9" w:rsidRDefault="00636DE9" w:rsidP="00636DE9">
      <w:pPr>
        <w:pStyle w:val="Titulek"/>
        <w:keepNext/>
      </w:pPr>
      <w:bookmarkStart w:id="79" w:name="_Toc5965624"/>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3</w:t>
      </w:r>
      <w:r w:rsidR="005F53B0">
        <w:rPr>
          <w:noProof/>
        </w:rPr>
        <w:fldChar w:fldCharType="end"/>
      </w:r>
      <w:r>
        <w:t>: Výdaje na VVI bez výdajů na OP VVV</w:t>
      </w:r>
      <w:bookmarkEnd w:id="79"/>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126"/>
      </w:tblGrid>
      <w:tr w:rsidR="008678CF" w14:paraId="11A70662" w14:textId="77777777" w:rsidTr="00A176BD">
        <w:tc>
          <w:tcPr>
            <w:tcW w:w="6662" w:type="dxa"/>
            <w:tcBorders>
              <w:top w:val="single" w:sz="4" w:space="0" w:color="auto"/>
              <w:left w:val="single" w:sz="4" w:space="0" w:color="auto"/>
              <w:bottom w:val="single" w:sz="4" w:space="0" w:color="auto"/>
              <w:right w:val="single" w:sz="4" w:space="0" w:color="auto"/>
            </w:tcBorders>
            <w:vAlign w:val="center"/>
            <w:hideMark/>
          </w:tcPr>
          <w:p w14:paraId="2BA5C95E" w14:textId="77777777" w:rsidR="008678CF" w:rsidRDefault="008678CF">
            <w:pPr>
              <w:ind w:left="33"/>
              <w:rPr>
                <w:b/>
              </w:rPr>
            </w:pPr>
            <w:r>
              <w:rPr>
                <w:b/>
              </w:rPr>
              <w:t>Výdaje v roce 2019</w:t>
            </w:r>
          </w:p>
        </w:tc>
        <w:tc>
          <w:tcPr>
            <w:tcW w:w="2126" w:type="dxa"/>
            <w:tcBorders>
              <w:top w:val="single" w:sz="4" w:space="0" w:color="auto"/>
              <w:left w:val="single" w:sz="4" w:space="0" w:color="auto"/>
              <w:bottom w:val="single" w:sz="4" w:space="0" w:color="auto"/>
              <w:right w:val="single" w:sz="4" w:space="0" w:color="auto"/>
            </w:tcBorders>
            <w:hideMark/>
          </w:tcPr>
          <w:p w14:paraId="122ADE83" w14:textId="77777777" w:rsidR="008678CF" w:rsidRDefault="008678CF">
            <w:pPr>
              <w:ind w:left="175"/>
              <w:jc w:val="center"/>
              <w:rPr>
                <w:b/>
              </w:rPr>
            </w:pPr>
            <w:r>
              <w:rPr>
                <w:b/>
              </w:rPr>
              <w:t>v Kč</w:t>
            </w:r>
          </w:p>
        </w:tc>
      </w:tr>
      <w:tr w:rsidR="008678CF" w14:paraId="4F9BB98D"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4FAC9952" w14:textId="77777777" w:rsidR="008678CF" w:rsidRDefault="008678CF">
            <w:pPr>
              <w:ind w:left="33"/>
            </w:pPr>
            <w:r>
              <w:t>Výdaje na VVI celkem</w:t>
            </w:r>
          </w:p>
        </w:tc>
        <w:tc>
          <w:tcPr>
            <w:tcW w:w="2126" w:type="dxa"/>
            <w:tcBorders>
              <w:top w:val="single" w:sz="4" w:space="0" w:color="auto"/>
              <w:left w:val="single" w:sz="4" w:space="0" w:color="auto"/>
              <w:bottom w:val="single" w:sz="4" w:space="0" w:color="auto"/>
              <w:right w:val="single" w:sz="4" w:space="0" w:color="auto"/>
            </w:tcBorders>
            <w:hideMark/>
          </w:tcPr>
          <w:p w14:paraId="2B82AFB7" w14:textId="77777777" w:rsidR="008678CF" w:rsidRDefault="008678CF">
            <w:pPr>
              <w:ind w:left="360"/>
              <w:jc w:val="right"/>
              <w:rPr>
                <w:b/>
              </w:rPr>
            </w:pPr>
            <w:r>
              <w:rPr>
                <w:b/>
              </w:rPr>
              <w:t>13 365 909 022</w:t>
            </w:r>
          </w:p>
        </w:tc>
      </w:tr>
      <w:tr w:rsidR="008678CF" w14:paraId="2631B43B"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242A274C" w14:textId="77777777" w:rsidR="008678CF" w:rsidRDefault="008678CF">
            <w:pPr>
              <w:ind w:left="33"/>
            </w:pPr>
            <w:r>
              <w:t xml:space="preserve">Institucionální podpora celkem </w:t>
            </w:r>
            <w:r>
              <w:rPr>
                <w:vertAlign w:val="superscript"/>
              </w:rPr>
              <w:t>x)</w:t>
            </w:r>
          </w:p>
        </w:tc>
        <w:tc>
          <w:tcPr>
            <w:tcW w:w="2126" w:type="dxa"/>
            <w:tcBorders>
              <w:top w:val="single" w:sz="4" w:space="0" w:color="auto"/>
              <w:left w:val="single" w:sz="4" w:space="0" w:color="auto"/>
              <w:bottom w:val="single" w:sz="4" w:space="0" w:color="auto"/>
              <w:right w:val="single" w:sz="4" w:space="0" w:color="auto"/>
            </w:tcBorders>
            <w:hideMark/>
          </w:tcPr>
          <w:p w14:paraId="0032569F" w14:textId="77777777" w:rsidR="008678CF" w:rsidRDefault="008678CF">
            <w:pPr>
              <w:ind w:left="360"/>
              <w:jc w:val="right"/>
              <w:rPr>
                <w:b/>
              </w:rPr>
            </w:pPr>
            <w:r>
              <w:rPr>
                <w:b/>
              </w:rPr>
              <w:t>8 124 478 792</w:t>
            </w:r>
          </w:p>
        </w:tc>
      </w:tr>
      <w:tr w:rsidR="008678CF" w14:paraId="7A0186EE"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5BDC0430" w14:textId="77777777" w:rsidR="008678CF" w:rsidRDefault="008678CF">
            <w:pPr>
              <w:ind w:left="33"/>
            </w:pPr>
            <w:r>
              <w:t>z toho: inst. podpora na mezinárodní spolupráci ČR ve VVI</w:t>
            </w:r>
          </w:p>
        </w:tc>
        <w:tc>
          <w:tcPr>
            <w:tcW w:w="2126" w:type="dxa"/>
            <w:tcBorders>
              <w:top w:val="single" w:sz="4" w:space="0" w:color="auto"/>
              <w:left w:val="single" w:sz="4" w:space="0" w:color="auto"/>
              <w:bottom w:val="single" w:sz="4" w:space="0" w:color="auto"/>
              <w:right w:val="single" w:sz="4" w:space="0" w:color="auto"/>
            </w:tcBorders>
            <w:hideMark/>
          </w:tcPr>
          <w:p w14:paraId="22999BFA" w14:textId="77777777" w:rsidR="008678CF" w:rsidRDefault="008678CF">
            <w:pPr>
              <w:ind w:left="360"/>
              <w:jc w:val="right"/>
            </w:pPr>
            <w:r>
              <w:t>1 261 482 211</w:t>
            </w:r>
          </w:p>
        </w:tc>
      </w:tr>
      <w:tr w:rsidR="008678CF" w14:paraId="40DCFEFD"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27A252BF" w14:textId="77777777" w:rsidR="008678CF" w:rsidRDefault="008678CF">
            <w:pPr>
              <w:ind w:left="742"/>
            </w:pPr>
            <w:r>
              <w:t>inst. podpora výzkumných organizací podle zhodnocení jimi dosažených výsledků</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4D2DA6" w14:textId="77777777" w:rsidR="008678CF" w:rsidRDefault="008678CF">
            <w:pPr>
              <w:ind w:left="360"/>
              <w:jc w:val="right"/>
            </w:pPr>
            <w:r>
              <w:t>6 837 096 581</w:t>
            </w:r>
          </w:p>
        </w:tc>
      </w:tr>
      <w:tr w:rsidR="008678CF" w14:paraId="5DC23CC7"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792F06E6" w14:textId="77777777" w:rsidR="008678CF" w:rsidRDefault="008678CF">
            <w:pPr>
              <w:ind w:left="33"/>
            </w:pPr>
            <w:r>
              <w:t>Účelová podpora celkem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28A157" w14:textId="77777777" w:rsidR="008678CF" w:rsidRDefault="008678CF">
            <w:pPr>
              <w:ind w:left="360"/>
              <w:jc w:val="right"/>
              <w:rPr>
                <w:b/>
              </w:rPr>
            </w:pPr>
            <w:r>
              <w:rPr>
                <w:b/>
              </w:rPr>
              <w:t>5 241 430 230</w:t>
            </w:r>
          </w:p>
        </w:tc>
      </w:tr>
      <w:tr w:rsidR="008678CF" w14:paraId="3A630D63"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7FA284A4" w14:textId="77777777" w:rsidR="008678CF" w:rsidRDefault="008678CF">
            <w:pPr>
              <w:ind w:left="33"/>
            </w:pPr>
            <w:r>
              <w:t>z toho: účel. podpora na programy aplikovaného VVI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C78C6E" w14:textId="77777777" w:rsidR="008678CF" w:rsidRDefault="008678CF">
            <w:pPr>
              <w:ind w:left="360"/>
              <w:jc w:val="right"/>
            </w:pPr>
            <w:r>
              <w:t>2 356 122 230</w:t>
            </w:r>
          </w:p>
        </w:tc>
      </w:tr>
      <w:tr w:rsidR="008678CF" w14:paraId="5E1C1A0F" w14:textId="77777777" w:rsidTr="00A176BD">
        <w:tc>
          <w:tcPr>
            <w:tcW w:w="6662" w:type="dxa"/>
            <w:tcBorders>
              <w:top w:val="single" w:sz="4" w:space="0" w:color="auto"/>
              <w:left w:val="single" w:sz="4" w:space="0" w:color="auto"/>
              <w:bottom w:val="single" w:sz="4" w:space="0" w:color="auto"/>
              <w:right w:val="single" w:sz="4" w:space="0" w:color="auto"/>
            </w:tcBorders>
            <w:hideMark/>
          </w:tcPr>
          <w:p w14:paraId="05055600" w14:textId="77777777" w:rsidR="008678CF" w:rsidRDefault="008678CF">
            <w:pPr>
              <w:ind w:left="742"/>
            </w:pPr>
            <w:r>
              <w:t>specifický vysokoškolský výzkum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8C0F8F8" w14:textId="77777777" w:rsidR="008678CF" w:rsidRDefault="008678CF">
            <w:pPr>
              <w:ind w:left="360"/>
              <w:jc w:val="right"/>
            </w:pPr>
            <w:r>
              <w:t>1 165 308 000</w:t>
            </w:r>
          </w:p>
        </w:tc>
      </w:tr>
    </w:tbl>
    <w:p w14:paraId="772094BA" w14:textId="77777777" w:rsidR="008678CF" w:rsidRDefault="008678CF" w:rsidP="00A176BD">
      <w:pPr>
        <w:rPr>
          <w:sz w:val="20"/>
        </w:rPr>
      </w:pPr>
      <w:r w:rsidRPr="000502A7">
        <w:rPr>
          <w:sz w:val="20"/>
          <w:vertAlign w:val="superscript"/>
        </w:rPr>
        <w:t>x)</w:t>
      </w:r>
      <w:r>
        <w:rPr>
          <w:sz w:val="20"/>
        </w:rPr>
        <w:t xml:space="preserve"> bez výdajů na kofinancování OP VVV ze SR ve výši 1 247 965 437 Kč v rámci ukazatele „ostatní institucionální podpora VVI“</w:t>
      </w:r>
    </w:p>
    <w:p w14:paraId="37F69743" w14:textId="77777777" w:rsidR="008678CF" w:rsidRDefault="008678CF" w:rsidP="008678CF">
      <w:pPr>
        <w:ind w:left="426"/>
        <w:rPr>
          <w:b/>
          <w:szCs w:val="24"/>
        </w:rPr>
      </w:pPr>
    </w:p>
    <w:p w14:paraId="0A15AA34" w14:textId="77777777" w:rsidR="008678CF" w:rsidRDefault="008678CF" w:rsidP="008678CF">
      <w:pPr>
        <w:pStyle w:val="Text"/>
      </w:pPr>
      <w:r>
        <w:t xml:space="preserve">Další text se týká rozpočtu výdajů na VVI </w:t>
      </w:r>
      <w:r>
        <w:rPr>
          <w:u w:val="single"/>
        </w:rPr>
        <w:t>ze státního rozpočtu</w:t>
      </w:r>
      <w:r>
        <w:t xml:space="preserve"> na rok 2019 bez výdajů na kofinancování operačního programu OP VVV.</w:t>
      </w:r>
    </w:p>
    <w:p w14:paraId="7C2F3D97" w14:textId="77777777" w:rsidR="008678CF" w:rsidRDefault="008678CF" w:rsidP="0031482F">
      <w:pPr>
        <w:pStyle w:val="Nadpis4"/>
        <w:numPr>
          <w:ilvl w:val="0"/>
          <w:numId w:val="0"/>
        </w:numPr>
        <w:ind w:left="864"/>
      </w:pPr>
    </w:p>
    <w:p w14:paraId="3B5ACC9B" w14:textId="77777777" w:rsidR="008678CF" w:rsidRDefault="008678CF" w:rsidP="0031482F">
      <w:pPr>
        <w:pStyle w:val="Nadpis4"/>
        <w:rPr>
          <w:szCs w:val="24"/>
        </w:rPr>
      </w:pPr>
      <w:bookmarkStart w:id="80" w:name="_Toc447780934"/>
      <w:bookmarkStart w:id="81" w:name="_Toc5968836"/>
      <w:r>
        <w:t>Srovnání výdajů státního rozpočtu roku 2019 se schváleným rozpočtem na rok 201</w:t>
      </w:r>
      <w:bookmarkEnd w:id="80"/>
      <w:r>
        <w:t>8</w:t>
      </w:r>
      <w:bookmarkEnd w:id="81"/>
    </w:p>
    <w:p w14:paraId="25682ECD" w14:textId="77777777" w:rsidR="008678CF" w:rsidRDefault="008678CF" w:rsidP="008678CF">
      <w:pPr>
        <w:pStyle w:val="Text"/>
      </w:pPr>
    </w:p>
    <w:p w14:paraId="28D835CE" w14:textId="68D02A9F" w:rsidR="008678CF" w:rsidRDefault="008678CF" w:rsidP="008678CF">
      <w:pPr>
        <w:pStyle w:val="Text"/>
      </w:pPr>
      <w:r>
        <w:t>Rozpočet výdajů na VVI proti srovnatelné základně ro</w:t>
      </w:r>
      <w:r w:rsidR="00B8183F">
        <w:t>ku 2018 meziročně mírně klesá o </w:t>
      </w:r>
      <w:r>
        <w:t xml:space="preserve">29 203 563 Kč, tj. o 0,22 %. </w:t>
      </w:r>
    </w:p>
    <w:p w14:paraId="0994F6AE" w14:textId="77777777" w:rsidR="008678CF" w:rsidRDefault="008678CF" w:rsidP="008678CF">
      <w:pPr>
        <w:pStyle w:val="Text"/>
      </w:pPr>
      <w:r>
        <w:t xml:space="preserve">V oblasti </w:t>
      </w:r>
      <w:r>
        <w:rPr>
          <w:b/>
        </w:rPr>
        <w:t>účelové podpory</w:t>
      </w:r>
      <w:r>
        <w:t xml:space="preserve"> dochází v roce 2019 oproti roku 2018 ke snížení výdajů o 207 091 000 Kč, tj. o 3,80 %. Toto snížení je způsobeno v účelové podpoře programů aplikovaného výzkumu, kdy v roce 2018 zejména došlo k ukončení významné části projektů podporovaných v Národním programu udržitelnosti I. Jde o projekty výzkumných center vybudovaných z operačního programu Výzkum a vývoj pro inovace, jejichž období udržitelnosti bylo zahájeno v roce 2013 nebo od 1. 1. 2014.</w:t>
      </w:r>
    </w:p>
    <w:p w14:paraId="32C838B2" w14:textId="3746DB68" w:rsidR="008678CF" w:rsidRDefault="008678CF" w:rsidP="008678CF">
      <w:pPr>
        <w:pStyle w:val="Text"/>
      </w:pPr>
      <w:r>
        <w:t xml:space="preserve">V oblasti </w:t>
      </w:r>
      <w:r w:rsidRPr="004702EB">
        <w:rPr>
          <w:b/>
        </w:rPr>
        <w:t>institucionální podpory</w:t>
      </w:r>
      <w:r>
        <w:t xml:space="preserve"> dochází v roce 2019 ve srovnání se schválenými výdaji </w:t>
      </w:r>
      <w:r w:rsidR="004702EB">
        <w:t xml:space="preserve">(bez zahrnutí OP VVV) </w:t>
      </w:r>
      <w:r>
        <w:t>v roce 2018 k nár</w:t>
      </w:r>
      <w:r w:rsidR="00B8183F">
        <w:t>ůstu výdajů o 177 887 437 Kč, t</w:t>
      </w:r>
      <w:r>
        <w:t>j. o 2,24 %. Toto zvýšení je způsobeno zejména nárůstem výdaj</w:t>
      </w:r>
      <w:r w:rsidR="00B8183F">
        <w:t>ů na institucionální podporu na </w:t>
      </w:r>
      <w:r>
        <w:t>dlouhodobý koncepční rozvoj výzkumných organizací.</w:t>
      </w:r>
    </w:p>
    <w:p w14:paraId="4633C314" w14:textId="77777777" w:rsidR="008678CF" w:rsidRDefault="008678CF" w:rsidP="008678CF">
      <w:pPr>
        <w:pStyle w:val="Text"/>
        <w:rPr>
          <w:highlight w:val="yellow"/>
        </w:rPr>
      </w:pPr>
    </w:p>
    <w:p w14:paraId="4ACFBBDE" w14:textId="77777777" w:rsidR="008678CF" w:rsidRDefault="008678CF" w:rsidP="0031482F">
      <w:pPr>
        <w:pStyle w:val="Nadpis4"/>
      </w:pPr>
      <w:bookmarkStart w:id="82" w:name="_Toc447780935"/>
      <w:bookmarkStart w:id="83" w:name="_Toc5968837"/>
      <w:r>
        <w:t>Institucionální podpora</w:t>
      </w:r>
      <w:bookmarkEnd w:id="82"/>
      <w:bookmarkEnd w:id="83"/>
    </w:p>
    <w:p w14:paraId="1E67192E" w14:textId="77777777" w:rsidR="008678CF" w:rsidRDefault="008678CF" w:rsidP="008678CF">
      <w:pPr>
        <w:rPr>
          <w:szCs w:val="24"/>
        </w:rPr>
      </w:pPr>
    </w:p>
    <w:p w14:paraId="743DB1E8" w14:textId="77777777" w:rsidR="008678CF" w:rsidRDefault="008678CF" w:rsidP="008678CF">
      <w:pPr>
        <w:rPr>
          <w:rStyle w:val="Zvraznn"/>
          <w:u w:val="single"/>
        </w:rPr>
      </w:pPr>
      <w:r>
        <w:rPr>
          <w:rStyle w:val="Zvraznn"/>
          <w:u w:val="single"/>
        </w:rPr>
        <w:t>Institucionální podpora na dlouhodobý koncepční rozvoj výzkumné organizace na základě zhodnocení jí dosažených výsledků</w:t>
      </w:r>
    </w:p>
    <w:p w14:paraId="7DDEF3F5" w14:textId="77777777" w:rsidR="008678CF" w:rsidRDefault="008678CF" w:rsidP="008678CF">
      <w:pPr>
        <w:rPr>
          <w:highlight w:val="yellow"/>
        </w:rPr>
      </w:pPr>
    </w:p>
    <w:p w14:paraId="6D4206BF" w14:textId="1A6F44A9" w:rsidR="008678CF" w:rsidRDefault="008678CF" w:rsidP="008678CF">
      <w:pPr>
        <w:pStyle w:val="Text"/>
      </w:pPr>
      <w:r>
        <w:t>Institucionální podporu na dlouhodobý koncepční rozvoj výzkumné organizace</w:t>
      </w:r>
      <w:r>
        <w:rPr>
          <w:rStyle w:val="Znakapoznpodarou"/>
        </w:rPr>
        <w:footnoteReference w:id="10"/>
      </w:r>
      <w:r w:rsidR="00B8183F">
        <w:t xml:space="preserve"> na </w:t>
      </w:r>
      <w:r>
        <w:t xml:space="preserve">základě zhodnocení jí dosažených výsledků (dále jen „RVO“) poskytne poskytovatel výzkumné organizaci na základě zhodnocení jí dosažených výsledků tak, že její podíl na celkové výši institucionální podpory výzkumných organizací ze státního rozpočtu v daném roce odpovídá jejímu podílu na hodnotě výsledků všech výzkumných organizací dosažených v uplynulých 5 letech podle hodnocení prováděného každoročně Radou pro výzkum, vývoj </w:t>
      </w:r>
      <w:r>
        <w:lastRenderedPageBreak/>
        <w:t>a inovace (dále jen „RVVI“). Poskytovatel může výši podpory upravit podle podrobnějšího hodnocení používajícího mezinárodně uznávaných metodik, které společně s výsledky podrobnějšího hodnocení a pravidly úpravy podpory před jejím poskytnutím zveřejní. Příslušnost poskytovatele institucionální podpory na dlouhodobý koncepční rozvoj určitému typu výzkumné organizace stanoví § 4 odst. 2 písm. a) zákona o podpoře VVI.</w:t>
      </w:r>
    </w:p>
    <w:p w14:paraId="1909BA43" w14:textId="77777777" w:rsidR="008678CF" w:rsidRDefault="008678CF" w:rsidP="008678CF">
      <w:pPr>
        <w:pStyle w:val="Text"/>
      </w:pPr>
      <w:r>
        <w:t>V roce 2019 podpora vychází z nové Metodiky hodnocení výzkumných organizací a hodnocení programů účelové podpory výzkumu, vývoje a inovací schválené usnesením vlády ČR ze dne 8. února 2017 č. 107 (dále jen „Metodika 2017+“), a hodnocení, které RVVI provedla v roce 2018 a zveřejnila jako hodnocení výsledků za rok 2017.</w:t>
      </w:r>
    </w:p>
    <w:p w14:paraId="253B4CF8" w14:textId="77777777" w:rsidR="008678CF" w:rsidRDefault="008678CF" w:rsidP="00911311">
      <w:pPr>
        <w:pStyle w:val="Text"/>
      </w:pPr>
      <w:r>
        <w:t xml:space="preserve">MŠMT poskytne podporu výzkumným organizacím, které jsou </w:t>
      </w:r>
      <w:r>
        <w:rPr>
          <w:b/>
        </w:rPr>
        <w:t>vysokou školou,</w:t>
      </w:r>
      <w:r>
        <w:t xml:space="preserve"> jako součet složky stabilizační a motivační. Stabilizační složka je založena na hodnocení výsledků ve výzkumu, experimentálním vývoji a inovacích podle Metodiky hodnocení výsledků výzkumných organizací a hodnocení výsledků ukončených programů (platné pro léta 2013 až 2016) schválené usnesením vlády ČR ze dne 29. července 2015 č. 605 a její výše odpovídá výši dotace na dlouhodobý koncepční rozvoj výzkumné organizace poskytnuté žadateli v roce 2018. Motivační složka je založena na hodnocení výsledků ve výzkumu, experimentálním vývoji a inovacích podle Metodiky 2017+ a její výše se stanoví v závislosti na podílu žadatele na počtu článků v 1. a 2. kvartilu rozložení četností výsledků všech oprávněných žadatelů podle mezinárodního pořadí článků AIS.</w:t>
      </w:r>
    </w:p>
    <w:p w14:paraId="6F049B82" w14:textId="77777777" w:rsidR="008678CF" w:rsidRDefault="008678CF" w:rsidP="00911311">
      <w:pPr>
        <w:pStyle w:val="Text"/>
      </w:pPr>
      <w:r>
        <w:rPr>
          <w:b/>
        </w:rPr>
        <w:t>Ostatním výzkumným organizacím</w:t>
      </w:r>
      <w:r>
        <w:t>, které nejsou vysokou školou, MŠMT poskytne podporu na základě hodnocení výzkumné organizace, provedeného MŠMT v roce 2018 podle Metodiky 2017+, a její dlouhodobé koncepce rozvoje na roky 2018 - 2022.</w:t>
      </w:r>
    </w:p>
    <w:p w14:paraId="46ED7296" w14:textId="77777777" w:rsidR="003D012B" w:rsidRDefault="003D012B" w:rsidP="00911311">
      <w:pPr>
        <w:pStyle w:val="Text"/>
      </w:pPr>
    </w:p>
    <w:p w14:paraId="1ECECD21" w14:textId="77777777" w:rsidR="00636DE9" w:rsidRDefault="00636DE9" w:rsidP="00636DE9">
      <w:pPr>
        <w:pStyle w:val="Titulek"/>
        <w:keepNext/>
      </w:pPr>
      <w:bookmarkStart w:id="84" w:name="_Toc5965625"/>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4</w:t>
      </w:r>
      <w:r w:rsidR="005F53B0">
        <w:rPr>
          <w:noProof/>
        </w:rPr>
        <w:fldChar w:fldCharType="end"/>
      </w:r>
      <w:r>
        <w:t>: Příjemci - institucionální podpora</w:t>
      </w:r>
      <w:bookmarkEnd w:id="84"/>
    </w:p>
    <w:tbl>
      <w:tblPr>
        <w:tblW w:w="0" w:type="auto"/>
        <w:tblInd w:w="30" w:type="dxa"/>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4A0" w:firstRow="1" w:lastRow="0" w:firstColumn="1" w:lastColumn="0" w:noHBand="0" w:noVBand="1"/>
      </w:tblPr>
      <w:tblGrid>
        <w:gridCol w:w="7371"/>
        <w:gridCol w:w="1560"/>
      </w:tblGrid>
      <w:tr w:rsidR="008678CF" w14:paraId="414A2DBB" w14:textId="77777777" w:rsidTr="00A176BD">
        <w:trPr>
          <w:trHeight w:val="834"/>
        </w:trPr>
        <w:tc>
          <w:tcPr>
            <w:tcW w:w="7371" w:type="dxa"/>
            <w:tcBorders>
              <w:top w:val="single" w:sz="12" w:space="0" w:color="auto"/>
              <w:left w:val="single" w:sz="12" w:space="0" w:color="auto"/>
              <w:bottom w:val="single" w:sz="12" w:space="0" w:color="auto"/>
              <w:right w:val="single" w:sz="4" w:space="0" w:color="auto"/>
            </w:tcBorders>
            <w:vAlign w:val="center"/>
            <w:hideMark/>
          </w:tcPr>
          <w:p w14:paraId="7EA02B0C" w14:textId="77777777" w:rsidR="008678CF" w:rsidRDefault="008678CF">
            <w:pPr>
              <w:jc w:val="center"/>
              <w:rPr>
                <w:snapToGrid w:val="0"/>
                <w:sz w:val="23"/>
                <w:szCs w:val="23"/>
              </w:rPr>
            </w:pPr>
            <w:r>
              <w:rPr>
                <w:snapToGrid w:val="0"/>
                <w:sz w:val="23"/>
                <w:szCs w:val="23"/>
              </w:rPr>
              <w:t>Příjemce</w:t>
            </w:r>
          </w:p>
        </w:tc>
        <w:tc>
          <w:tcPr>
            <w:tcW w:w="1560" w:type="dxa"/>
            <w:tcBorders>
              <w:top w:val="single" w:sz="12" w:space="0" w:color="auto"/>
              <w:left w:val="single" w:sz="4" w:space="0" w:color="auto"/>
              <w:bottom w:val="single" w:sz="12" w:space="0" w:color="auto"/>
              <w:right w:val="single" w:sz="12" w:space="0" w:color="auto"/>
            </w:tcBorders>
            <w:vAlign w:val="center"/>
            <w:hideMark/>
          </w:tcPr>
          <w:p w14:paraId="61A0772D" w14:textId="77777777" w:rsidR="008678CF" w:rsidRDefault="008678CF">
            <w:pPr>
              <w:jc w:val="center"/>
              <w:rPr>
                <w:snapToGrid w:val="0"/>
                <w:sz w:val="23"/>
                <w:szCs w:val="23"/>
              </w:rPr>
            </w:pPr>
            <w:r>
              <w:rPr>
                <w:snapToGrid w:val="0"/>
                <w:sz w:val="23"/>
                <w:szCs w:val="23"/>
              </w:rPr>
              <w:t xml:space="preserve">Podpora RVO v roce 2019 </w:t>
            </w:r>
          </w:p>
          <w:p w14:paraId="6408D116" w14:textId="77777777" w:rsidR="008678CF" w:rsidRDefault="008678CF">
            <w:pPr>
              <w:jc w:val="center"/>
              <w:rPr>
                <w:snapToGrid w:val="0"/>
                <w:sz w:val="23"/>
                <w:szCs w:val="23"/>
              </w:rPr>
            </w:pPr>
            <w:r>
              <w:rPr>
                <w:snapToGrid w:val="0"/>
                <w:sz w:val="23"/>
                <w:szCs w:val="23"/>
              </w:rPr>
              <w:t>v Kč</w:t>
            </w:r>
          </w:p>
        </w:tc>
      </w:tr>
      <w:tr w:rsidR="008678CF" w14:paraId="1CE97A8E" w14:textId="77777777" w:rsidTr="00A176BD">
        <w:trPr>
          <w:trHeight w:val="255"/>
        </w:trPr>
        <w:tc>
          <w:tcPr>
            <w:tcW w:w="7371" w:type="dxa"/>
            <w:tcBorders>
              <w:top w:val="single" w:sz="12"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5C9389F" w14:textId="77777777" w:rsidR="008678CF" w:rsidRDefault="008678CF">
            <w:pPr>
              <w:rPr>
                <w:snapToGrid w:val="0"/>
                <w:sz w:val="23"/>
                <w:szCs w:val="23"/>
              </w:rPr>
            </w:pPr>
            <w:r>
              <w:rPr>
                <w:snapToGrid w:val="0"/>
                <w:sz w:val="23"/>
                <w:szCs w:val="23"/>
              </w:rPr>
              <w:t>Akademie múzických umění v Praze</w:t>
            </w:r>
          </w:p>
        </w:tc>
        <w:tc>
          <w:tcPr>
            <w:tcW w:w="1560" w:type="dxa"/>
            <w:tcBorders>
              <w:top w:val="single" w:sz="12"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238E15DD" w14:textId="77777777" w:rsidR="008678CF" w:rsidRDefault="008678CF">
            <w:pPr>
              <w:jc w:val="right"/>
              <w:rPr>
                <w:sz w:val="22"/>
                <w:szCs w:val="22"/>
              </w:rPr>
            </w:pPr>
            <w:r>
              <w:rPr>
                <w:sz w:val="22"/>
                <w:szCs w:val="22"/>
              </w:rPr>
              <w:t>16 037 930</w:t>
            </w:r>
          </w:p>
        </w:tc>
      </w:tr>
      <w:tr w:rsidR="008678CF" w14:paraId="5A1E667F"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440F6710" w14:textId="77777777" w:rsidR="008678CF" w:rsidRDefault="008678CF">
            <w:pPr>
              <w:rPr>
                <w:snapToGrid w:val="0"/>
                <w:sz w:val="23"/>
                <w:szCs w:val="23"/>
              </w:rPr>
            </w:pPr>
            <w:r>
              <w:rPr>
                <w:snapToGrid w:val="0"/>
                <w:sz w:val="23"/>
                <w:szCs w:val="23"/>
              </w:rPr>
              <w:t>Akademie výtvarných umění v Praze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1DF1A39C" w14:textId="77777777" w:rsidR="008678CF" w:rsidRDefault="008678CF">
            <w:pPr>
              <w:jc w:val="right"/>
              <w:rPr>
                <w:sz w:val="22"/>
                <w:szCs w:val="22"/>
              </w:rPr>
            </w:pPr>
            <w:r>
              <w:rPr>
                <w:sz w:val="22"/>
                <w:szCs w:val="22"/>
              </w:rPr>
              <w:t>4 197 203</w:t>
            </w:r>
          </w:p>
        </w:tc>
      </w:tr>
      <w:tr w:rsidR="008678CF" w14:paraId="2F9ABD5A" w14:textId="77777777" w:rsidTr="00A176BD">
        <w:trPr>
          <w:trHeight w:val="319"/>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B4EF345" w14:textId="77777777" w:rsidR="008678CF" w:rsidRDefault="008678CF">
            <w:pPr>
              <w:rPr>
                <w:snapToGrid w:val="0"/>
                <w:sz w:val="23"/>
                <w:szCs w:val="23"/>
              </w:rPr>
            </w:pPr>
            <w:r>
              <w:rPr>
                <w:snapToGrid w:val="0"/>
                <w:sz w:val="23"/>
                <w:szCs w:val="23"/>
              </w:rPr>
              <w:t>Česká zemědělská univerzita v Praze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ED795CC" w14:textId="77777777" w:rsidR="008678CF" w:rsidRDefault="008678CF">
            <w:pPr>
              <w:jc w:val="right"/>
              <w:rPr>
                <w:sz w:val="22"/>
                <w:szCs w:val="22"/>
              </w:rPr>
            </w:pPr>
            <w:r>
              <w:rPr>
                <w:sz w:val="22"/>
                <w:szCs w:val="22"/>
              </w:rPr>
              <w:t>262 072 271</w:t>
            </w:r>
          </w:p>
        </w:tc>
      </w:tr>
      <w:tr w:rsidR="008678CF" w14:paraId="5371A139"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E5F047A" w14:textId="77777777" w:rsidR="008678CF" w:rsidRDefault="008678CF">
            <w:pPr>
              <w:rPr>
                <w:snapToGrid w:val="0"/>
                <w:sz w:val="23"/>
                <w:szCs w:val="23"/>
              </w:rPr>
            </w:pPr>
            <w:r>
              <w:rPr>
                <w:snapToGrid w:val="0"/>
                <w:sz w:val="23"/>
                <w:szCs w:val="23"/>
              </w:rPr>
              <w:t>České vysoké učení technické v Praze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E3BB3E7" w14:textId="77777777" w:rsidR="008678CF" w:rsidRDefault="008678CF">
            <w:pPr>
              <w:jc w:val="right"/>
              <w:rPr>
                <w:sz w:val="22"/>
                <w:szCs w:val="22"/>
              </w:rPr>
            </w:pPr>
            <w:r>
              <w:rPr>
                <w:sz w:val="22"/>
                <w:szCs w:val="22"/>
              </w:rPr>
              <w:t>751 204 904</w:t>
            </w:r>
          </w:p>
        </w:tc>
      </w:tr>
      <w:tr w:rsidR="008678CF" w14:paraId="0FB8CC8E"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4942EEBC" w14:textId="77777777" w:rsidR="008678CF" w:rsidRDefault="008678CF">
            <w:pPr>
              <w:rPr>
                <w:snapToGrid w:val="0"/>
                <w:sz w:val="23"/>
                <w:szCs w:val="23"/>
              </w:rPr>
            </w:pPr>
            <w:r>
              <w:rPr>
                <w:snapToGrid w:val="0"/>
                <w:sz w:val="23"/>
                <w:szCs w:val="23"/>
              </w:rPr>
              <w:t>Janáčkova akademie múzických umění v Brně</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27CD72C6" w14:textId="77777777" w:rsidR="008678CF" w:rsidRDefault="008678CF">
            <w:pPr>
              <w:jc w:val="right"/>
              <w:rPr>
                <w:sz w:val="22"/>
                <w:szCs w:val="22"/>
              </w:rPr>
            </w:pPr>
            <w:r>
              <w:rPr>
                <w:sz w:val="22"/>
                <w:szCs w:val="22"/>
              </w:rPr>
              <w:t>4 380 410</w:t>
            </w:r>
          </w:p>
        </w:tc>
      </w:tr>
      <w:tr w:rsidR="008678CF" w14:paraId="6D5F9325"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F8C2706" w14:textId="77777777" w:rsidR="008678CF" w:rsidRDefault="008678CF">
            <w:pPr>
              <w:rPr>
                <w:snapToGrid w:val="0"/>
                <w:sz w:val="23"/>
                <w:szCs w:val="23"/>
              </w:rPr>
            </w:pPr>
            <w:r>
              <w:rPr>
                <w:snapToGrid w:val="0"/>
                <w:sz w:val="23"/>
                <w:szCs w:val="23"/>
              </w:rPr>
              <w:t>Jihočeská univerzita v Českých Budějovicích</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EC1D6EF" w14:textId="77777777" w:rsidR="008678CF" w:rsidRDefault="008678CF">
            <w:pPr>
              <w:jc w:val="right"/>
              <w:rPr>
                <w:sz w:val="22"/>
                <w:szCs w:val="22"/>
              </w:rPr>
            </w:pPr>
            <w:r>
              <w:rPr>
                <w:sz w:val="22"/>
                <w:szCs w:val="22"/>
              </w:rPr>
              <w:t>235 892 194</w:t>
            </w:r>
          </w:p>
        </w:tc>
      </w:tr>
      <w:tr w:rsidR="008678CF" w14:paraId="69826D8A"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069CEA41" w14:textId="77777777" w:rsidR="008678CF" w:rsidRDefault="008678CF">
            <w:pPr>
              <w:rPr>
                <w:snapToGrid w:val="0"/>
                <w:sz w:val="23"/>
                <w:szCs w:val="23"/>
              </w:rPr>
            </w:pPr>
            <w:r>
              <w:rPr>
                <w:snapToGrid w:val="0"/>
                <w:sz w:val="23"/>
                <w:szCs w:val="23"/>
              </w:rPr>
              <w:t>Masarykova univerzita</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CD3842C" w14:textId="77777777" w:rsidR="008678CF" w:rsidRDefault="008678CF">
            <w:pPr>
              <w:jc w:val="right"/>
              <w:rPr>
                <w:sz w:val="22"/>
                <w:szCs w:val="22"/>
              </w:rPr>
            </w:pPr>
            <w:r>
              <w:rPr>
                <w:sz w:val="22"/>
                <w:szCs w:val="22"/>
              </w:rPr>
              <w:t>755 071 544</w:t>
            </w:r>
          </w:p>
        </w:tc>
      </w:tr>
      <w:tr w:rsidR="008678CF" w14:paraId="69E3559B" w14:textId="77777777" w:rsidTr="00A176BD">
        <w:trPr>
          <w:trHeight w:val="276"/>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4BB13401" w14:textId="77777777" w:rsidR="008678CF" w:rsidRDefault="008678CF">
            <w:pPr>
              <w:rPr>
                <w:snapToGrid w:val="0"/>
                <w:sz w:val="23"/>
                <w:szCs w:val="23"/>
              </w:rPr>
            </w:pPr>
            <w:r>
              <w:rPr>
                <w:snapToGrid w:val="0"/>
                <w:sz w:val="23"/>
                <w:szCs w:val="23"/>
              </w:rPr>
              <w:t>Mendelova univerzita v Brně</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824E147" w14:textId="77777777" w:rsidR="008678CF" w:rsidRDefault="008678CF">
            <w:pPr>
              <w:jc w:val="right"/>
              <w:rPr>
                <w:sz w:val="22"/>
                <w:szCs w:val="22"/>
              </w:rPr>
            </w:pPr>
            <w:r>
              <w:rPr>
                <w:sz w:val="22"/>
                <w:szCs w:val="22"/>
              </w:rPr>
              <w:t>191 399 127</w:t>
            </w:r>
          </w:p>
        </w:tc>
      </w:tr>
      <w:tr w:rsidR="008678CF" w14:paraId="7C42B9C2"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157FBF7" w14:textId="77777777" w:rsidR="008678CF" w:rsidRDefault="008678CF">
            <w:pPr>
              <w:rPr>
                <w:snapToGrid w:val="0"/>
                <w:sz w:val="23"/>
                <w:szCs w:val="23"/>
              </w:rPr>
            </w:pPr>
            <w:r>
              <w:rPr>
                <w:snapToGrid w:val="0"/>
                <w:sz w:val="23"/>
                <w:szCs w:val="23"/>
              </w:rPr>
              <w:t>Ostravská univerzita</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376A18B5" w14:textId="77777777" w:rsidR="008678CF" w:rsidRDefault="008678CF">
            <w:pPr>
              <w:jc w:val="right"/>
              <w:rPr>
                <w:sz w:val="22"/>
                <w:szCs w:val="22"/>
              </w:rPr>
            </w:pPr>
            <w:r>
              <w:rPr>
                <w:sz w:val="22"/>
                <w:szCs w:val="22"/>
              </w:rPr>
              <w:t>109 987 249</w:t>
            </w:r>
          </w:p>
        </w:tc>
      </w:tr>
      <w:tr w:rsidR="008678CF" w14:paraId="4602798B"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6DD37CC" w14:textId="77777777" w:rsidR="008678CF" w:rsidRDefault="008678CF">
            <w:pPr>
              <w:rPr>
                <w:snapToGrid w:val="0"/>
                <w:sz w:val="23"/>
                <w:szCs w:val="23"/>
              </w:rPr>
            </w:pPr>
            <w:r>
              <w:rPr>
                <w:snapToGrid w:val="0"/>
                <w:sz w:val="23"/>
                <w:szCs w:val="23"/>
              </w:rPr>
              <w:t>Slezská univerzita v Opavě</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FB24B61" w14:textId="77777777" w:rsidR="008678CF" w:rsidRDefault="008678CF">
            <w:pPr>
              <w:jc w:val="right"/>
              <w:rPr>
                <w:sz w:val="22"/>
                <w:szCs w:val="22"/>
              </w:rPr>
            </w:pPr>
            <w:r>
              <w:rPr>
                <w:sz w:val="22"/>
                <w:szCs w:val="22"/>
              </w:rPr>
              <w:t>67 017 996</w:t>
            </w:r>
          </w:p>
        </w:tc>
      </w:tr>
      <w:tr w:rsidR="008678CF" w14:paraId="5110884B"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7FD90E7" w14:textId="77777777" w:rsidR="008678CF" w:rsidRDefault="008678CF">
            <w:pPr>
              <w:rPr>
                <w:snapToGrid w:val="0"/>
                <w:sz w:val="23"/>
                <w:szCs w:val="23"/>
              </w:rPr>
            </w:pPr>
            <w:r>
              <w:rPr>
                <w:snapToGrid w:val="0"/>
                <w:sz w:val="23"/>
                <w:szCs w:val="23"/>
              </w:rPr>
              <w:t>Technická univerzita v Liberci</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5ACCBBB" w14:textId="77777777" w:rsidR="008678CF" w:rsidRDefault="008678CF">
            <w:pPr>
              <w:jc w:val="right"/>
              <w:rPr>
                <w:sz w:val="22"/>
                <w:szCs w:val="22"/>
              </w:rPr>
            </w:pPr>
            <w:r>
              <w:rPr>
                <w:sz w:val="22"/>
                <w:szCs w:val="22"/>
              </w:rPr>
              <w:t>136 676 345</w:t>
            </w:r>
          </w:p>
        </w:tc>
      </w:tr>
      <w:tr w:rsidR="008678CF" w14:paraId="2F4F08A4"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02498A67" w14:textId="77777777" w:rsidR="008678CF" w:rsidRDefault="008678CF">
            <w:pPr>
              <w:rPr>
                <w:snapToGrid w:val="0"/>
                <w:sz w:val="23"/>
                <w:szCs w:val="23"/>
              </w:rPr>
            </w:pPr>
            <w:r>
              <w:rPr>
                <w:snapToGrid w:val="0"/>
                <w:sz w:val="23"/>
                <w:szCs w:val="23"/>
              </w:rPr>
              <w:t>Univerzita Hradec Králové</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5A4F4D22" w14:textId="77777777" w:rsidR="008678CF" w:rsidRDefault="008678CF">
            <w:pPr>
              <w:jc w:val="right"/>
              <w:rPr>
                <w:sz w:val="22"/>
                <w:szCs w:val="22"/>
              </w:rPr>
            </w:pPr>
            <w:r>
              <w:rPr>
                <w:sz w:val="22"/>
                <w:szCs w:val="22"/>
              </w:rPr>
              <w:t>65 465 221</w:t>
            </w:r>
          </w:p>
        </w:tc>
      </w:tr>
      <w:tr w:rsidR="008678CF" w14:paraId="5E7137AD"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060B4CA8" w14:textId="77777777" w:rsidR="008678CF" w:rsidRDefault="008678CF">
            <w:pPr>
              <w:rPr>
                <w:snapToGrid w:val="0"/>
                <w:sz w:val="23"/>
                <w:szCs w:val="23"/>
              </w:rPr>
            </w:pPr>
            <w:r>
              <w:rPr>
                <w:snapToGrid w:val="0"/>
                <w:sz w:val="23"/>
                <w:szCs w:val="23"/>
              </w:rPr>
              <w:t>Univerzita Jana Evangelisty Purkyně v Ústí nad Labem</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A886AAC" w14:textId="77777777" w:rsidR="008678CF" w:rsidRDefault="008678CF">
            <w:pPr>
              <w:jc w:val="right"/>
              <w:rPr>
                <w:sz w:val="22"/>
                <w:szCs w:val="22"/>
              </w:rPr>
            </w:pPr>
            <w:r>
              <w:rPr>
                <w:sz w:val="22"/>
                <w:szCs w:val="22"/>
              </w:rPr>
              <w:t>64 367 895</w:t>
            </w:r>
          </w:p>
        </w:tc>
      </w:tr>
      <w:tr w:rsidR="008678CF" w14:paraId="6B920902"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871D6F8" w14:textId="77777777" w:rsidR="008678CF" w:rsidRDefault="008678CF">
            <w:pPr>
              <w:rPr>
                <w:snapToGrid w:val="0"/>
                <w:sz w:val="23"/>
                <w:szCs w:val="23"/>
              </w:rPr>
            </w:pPr>
            <w:r>
              <w:rPr>
                <w:snapToGrid w:val="0"/>
                <w:sz w:val="23"/>
                <w:szCs w:val="23"/>
              </w:rPr>
              <w:t>Univerzita Karlova</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250A9E3" w14:textId="77777777" w:rsidR="008678CF" w:rsidRDefault="008678CF">
            <w:pPr>
              <w:jc w:val="right"/>
              <w:rPr>
                <w:sz w:val="22"/>
                <w:szCs w:val="22"/>
              </w:rPr>
            </w:pPr>
            <w:r>
              <w:rPr>
                <w:sz w:val="22"/>
                <w:szCs w:val="22"/>
              </w:rPr>
              <w:t>1 679 524 440</w:t>
            </w:r>
          </w:p>
        </w:tc>
      </w:tr>
      <w:tr w:rsidR="008678CF" w14:paraId="5371168A"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C707DA0" w14:textId="77777777" w:rsidR="008678CF" w:rsidRDefault="008678CF">
            <w:pPr>
              <w:rPr>
                <w:snapToGrid w:val="0"/>
                <w:sz w:val="23"/>
                <w:szCs w:val="23"/>
              </w:rPr>
            </w:pPr>
            <w:r>
              <w:rPr>
                <w:snapToGrid w:val="0"/>
                <w:sz w:val="23"/>
                <w:szCs w:val="23"/>
              </w:rPr>
              <w:t>Univerzita Palackého v Olomouci</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2904342" w14:textId="77777777" w:rsidR="008678CF" w:rsidRDefault="008678CF">
            <w:pPr>
              <w:jc w:val="right"/>
              <w:rPr>
                <w:sz w:val="22"/>
                <w:szCs w:val="22"/>
              </w:rPr>
            </w:pPr>
            <w:r>
              <w:rPr>
                <w:sz w:val="22"/>
                <w:szCs w:val="22"/>
              </w:rPr>
              <w:t>607 321 951</w:t>
            </w:r>
          </w:p>
        </w:tc>
      </w:tr>
      <w:tr w:rsidR="008678CF" w14:paraId="0FC42059"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47A84A0" w14:textId="77777777" w:rsidR="008678CF" w:rsidRDefault="008678CF">
            <w:pPr>
              <w:rPr>
                <w:snapToGrid w:val="0"/>
                <w:sz w:val="23"/>
                <w:szCs w:val="23"/>
              </w:rPr>
            </w:pPr>
            <w:r>
              <w:rPr>
                <w:snapToGrid w:val="0"/>
                <w:sz w:val="23"/>
                <w:szCs w:val="23"/>
              </w:rPr>
              <w:t>Univerzita Pardubice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5B3EB575" w14:textId="77777777" w:rsidR="008678CF" w:rsidRDefault="008678CF">
            <w:pPr>
              <w:jc w:val="right"/>
              <w:rPr>
                <w:sz w:val="22"/>
                <w:szCs w:val="22"/>
              </w:rPr>
            </w:pPr>
            <w:r>
              <w:rPr>
                <w:sz w:val="22"/>
                <w:szCs w:val="22"/>
              </w:rPr>
              <w:t>199 710 420</w:t>
            </w:r>
          </w:p>
        </w:tc>
      </w:tr>
      <w:tr w:rsidR="008678CF" w14:paraId="1E3A2449"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219BDD0" w14:textId="77777777" w:rsidR="008678CF" w:rsidRDefault="008678CF">
            <w:pPr>
              <w:rPr>
                <w:snapToGrid w:val="0"/>
                <w:sz w:val="23"/>
                <w:szCs w:val="23"/>
              </w:rPr>
            </w:pPr>
            <w:r>
              <w:rPr>
                <w:snapToGrid w:val="0"/>
                <w:sz w:val="23"/>
                <w:szCs w:val="23"/>
              </w:rPr>
              <w:t>Univerzita Tomáše Bati ve Zlíně</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093B957" w14:textId="77777777" w:rsidR="008678CF" w:rsidRDefault="008678CF">
            <w:pPr>
              <w:jc w:val="right"/>
              <w:rPr>
                <w:sz w:val="22"/>
                <w:szCs w:val="22"/>
              </w:rPr>
            </w:pPr>
            <w:r>
              <w:rPr>
                <w:sz w:val="22"/>
                <w:szCs w:val="22"/>
              </w:rPr>
              <w:t>129 679 018</w:t>
            </w:r>
          </w:p>
        </w:tc>
      </w:tr>
      <w:tr w:rsidR="008678CF" w14:paraId="577845DD"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78ECAA7" w14:textId="77777777" w:rsidR="008678CF" w:rsidRDefault="008678CF">
            <w:pPr>
              <w:rPr>
                <w:snapToGrid w:val="0"/>
                <w:sz w:val="23"/>
                <w:szCs w:val="23"/>
              </w:rPr>
            </w:pPr>
            <w:r>
              <w:rPr>
                <w:snapToGrid w:val="0"/>
                <w:sz w:val="23"/>
                <w:szCs w:val="23"/>
              </w:rPr>
              <w:t>Veterinární a farmaceutická univerzita Brno</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C01431A" w14:textId="77777777" w:rsidR="008678CF" w:rsidRDefault="008678CF">
            <w:pPr>
              <w:jc w:val="right"/>
              <w:rPr>
                <w:sz w:val="22"/>
                <w:szCs w:val="22"/>
              </w:rPr>
            </w:pPr>
            <w:r>
              <w:rPr>
                <w:sz w:val="22"/>
                <w:szCs w:val="22"/>
              </w:rPr>
              <w:t>66 353 391</w:t>
            </w:r>
          </w:p>
        </w:tc>
      </w:tr>
      <w:tr w:rsidR="008678CF" w14:paraId="31F17791"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C1D0E38" w14:textId="77777777" w:rsidR="008678CF" w:rsidRDefault="008678CF">
            <w:pPr>
              <w:rPr>
                <w:snapToGrid w:val="0"/>
                <w:sz w:val="23"/>
                <w:szCs w:val="23"/>
              </w:rPr>
            </w:pPr>
            <w:r>
              <w:rPr>
                <w:snapToGrid w:val="0"/>
                <w:sz w:val="23"/>
                <w:szCs w:val="23"/>
              </w:rPr>
              <w:t>Vysoká škola báňská - Technická univerzita Ostrava</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1B75981" w14:textId="77777777" w:rsidR="008678CF" w:rsidRDefault="008678CF">
            <w:pPr>
              <w:jc w:val="right"/>
              <w:rPr>
                <w:sz w:val="22"/>
                <w:szCs w:val="22"/>
              </w:rPr>
            </w:pPr>
            <w:r>
              <w:rPr>
                <w:sz w:val="22"/>
                <w:szCs w:val="22"/>
              </w:rPr>
              <w:t>290 673 896</w:t>
            </w:r>
          </w:p>
        </w:tc>
      </w:tr>
      <w:tr w:rsidR="008678CF" w14:paraId="65DAAD44"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784B704" w14:textId="77777777" w:rsidR="008678CF" w:rsidRDefault="008678CF">
            <w:pPr>
              <w:rPr>
                <w:snapToGrid w:val="0"/>
                <w:sz w:val="23"/>
                <w:szCs w:val="23"/>
              </w:rPr>
            </w:pPr>
            <w:r>
              <w:rPr>
                <w:snapToGrid w:val="0"/>
                <w:sz w:val="23"/>
                <w:szCs w:val="23"/>
              </w:rPr>
              <w:t>Vysoká škola ekonomická v Praze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596DD6EA" w14:textId="77777777" w:rsidR="008678CF" w:rsidRDefault="008678CF">
            <w:pPr>
              <w:jc w:val="right"/>
              <w:rPr>
                <w:sz w:val="22"/>
                <w:szCs w:val="22"/>
              </w:rPr>
            </w:pPr>
            <w:r>
              <w:rPr>
                <w:sz w:val="22"/>
                <w:szCs w:val="22"/>
              </w:rPr>
              <w:t>74 586 313</w:t>
            </w:r>
          </w:p>
        </w:tc>
      </w:tr>
      <w:tr w:rsidR="008678CF" w14:paraId="40CD8BCD"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135F6E0" w14:textId="77777777" w:rsidR="008678CF" w:rsidRDefault="008678CF">
            <w:pPr>
              <w:rPr>
                <w:snapToGrid w:val="0"/>
                <w:sz w:val="23"/>
                <w:szCs w:val="23"/>
              </w:rPr>
            </w:pPr>
            <w:r>
              <w:rPr>
                <w:snapToGrid w:val="0"/>
                <w:sz w:val="23"/>
                <w:szCs w:val="23"/>
              </w:rPr>
              <w:t>Vysoká škola chemicko-technologická v Praze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5E4CBBCD" w14:textId="77777777" w:rsidR="008678CF" w:rsidRDefault="008678CF">
            <w:pPr>
              <w:jc w:val="right"/>
              <w:rPr>
                <w:sz w:val="22"/>
                <w:szCs w:val="22"/>
              </w:rPr>
            </w:pPr>
            <w:r>
              <w:rPr>
                <w:sz w:val="22"/>
                <w:szCs w:val="22"/>
              </w:rPr>
              <w:t>319 462 772</w:t>
            </w:r>
          </w:p>
        </w:tc>
      </w:tr>
      <w:tr w:rsidR="008678CF" w14:paraId="49E31E8D"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87919A1" w14:textId="77777777" w:rsidR="008678CF" w:rsidRDefault="008678CF">
            <w:pPr>
              <w:rPr>
                <w:snapToGrid w:val="0"/>
                <w:sz w:val="23"/>
                <w:szCs w:val="23"/>
              </w:rPr>
            </w:pPr>
            <w:r>
              <w:rPr>
                <w:snapToGrid w:val="0"/>
                <w:sz w:val="23"/>
                <w:szCs w:val="23"/>
              </w:rPr>
              <w:lastRenderedPageBreak/>
              <w:t>Vysoká škola polytechnická Jihlava</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hideMark/>
          </w:tcPr>
          <w:p w14:paraId="48D90D61" w14:textId="77777777" w:rsidR="008678CF" w:rsidRDefault="008678CF">
            <w:pPr>
              <w:jc w:val="right"/>
              <w:rPr>
                <w:sz w:val="22"/>
                <w:szCs w:val="22"/>
              </w:rPr>
            </w:pPr>
            <w:r>
              <w:rPr>
                <w:sz w:val="22"/>
                <w:szCs w:val="22"/>
              </w:rPr>
              <w:t>2 316 962</w:t>
            </w:r>
          </w:p>
        </w:tc>
      </w:tr>
      <w:tr w:rsidR="008678CF" w14:paraId="36DEBEAF"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917D8AC" w14:textId="77777777" w:rsidR="008678CF" w:rsidRDefault="008678CF">
            <w:pPr>
              <w:rPr>
                <w:snapToGrid w:val="0"/>
                <w:sz w:val="23"/>
                <w:szCs w:val="23"/>
              </w:rPr>
            </w:pPr>
            <w:r>
              <w:rPr>
                <w:snapToGrid w:val="0"/>
                <w:sz w:val="23"/>
                <w:szCs w:val="23"/>
              </w:rPr>
              <w:t>Vysoká škola technická a ekonomická v Českých Budějovicích</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12E002F9" w14:textId="77777777" w:rsidR="008678CF" w:rsidRDefault="008678CF">
            <w:pPr>
              <w:jc w:val="right"/>
              <w:rPr>
                <w:sz w:val="22"/>
                <w:szCs w:val="22"/>
              </w:rPr>
            </w:pPr>
            <w:r>
              <w:rPr>
                <w:sz w:val="22"/>
                <w:szCs w:val="22"/>
              </w:rPr>
              <w:t>4 796 553</w:t>
            </w:r>
          </w:p>
        </w:tc>
      </w:tr>
      <w:tr w:rsidR="008678CF" w14:paraId="4DE1CB4C"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A460A35" w14:textId="77777777" w:rsidR="008678CF" w:rsidRDefault="008678CF">
            <w:pPr>
              <w:rPr>
                <w:snapToGrid w:val="0"/>
                <w:sz w:val="23"/>
                <w:szCs w:val="23"/>
              </w:rPr>
            </w:pPr>
            <w:r>
              <w:rPr>
                <w:snapToGrid w:val="0"/>
                <w:sz w:val="23"/>
                <w:szCs w:val="23"/>
              </w:rPr>
              <w:t>Vysoká škola uměleckoprůmyslová v Praze</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C024370" w14:textId="77777777" w:rsidR="008678CF" w:rsidRDefault="008678CF">
            <w:pPr>
              <w:jc w:val="right"/>
              <w:rPr>
                <w:sz w:val="22"/>
                <w:szCs w:val="22"/>
              </w:rPr>
            </w:pPr>
            <w:r>
              <w:rPr>
                <w:sz w:val="22"/>
                <w:szCs w:val="22"/>
              </w:rPr>
              <w:t>7 093 589</w:t>
            </w:r>
          </w:p>
        </w:tc>
      </w:tr>
      <w:tr w:rsidR="008678CF" w14:paraId="71E04621" w14:textId="77777777" w:rsidTr="00A176BD">
        <w:trPr>
          <w:trHeight w:val="255"/>
        </w:trPr>
        <w:tc>
          <w:tcPr>
            <w:tcW w:w="7371"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A40F182" w14:textId="77777777" w:rsidR="008678CF" w:rsidRDefault="008678CF">
            <w:pPr>
              <w:rPr>
                <w:snapToGrid w:val="0"/>
                <w:sz w:val="23"/>
                <w:szCs w:val="23"/>
              </w:rPr>
            </w:pPr>
            <w:r>
              <w:rPr>
                <w:snapToGrid w:val="0"/>
                <w:sz w:val="23"/>
                <w:szCs w:val="23"/>
              </w:rPr>
              <w:t>Vysoké učení technické v Brně</w:t>
            </w:r>
          </w:p>
        </w:tc>
        <w:tc>
          <w:tcPr>
            <w:tcW w:w="1560"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587DEC54" w14:textId="77777777" w:rsidR="008678CF" w:rsidRDefault="008678CF">
            <w:pPr>
              <w:jc w:val="right"/>
              <w:rPr>
                <w:sz w:val="22"/>
                <w:szCs w:val="22"/>
              </w:rPr>
            </w:pPr>
            <w:r>
              <w:rPr>
                <w:sz w:val="22"/>
                <w:szCs w:val="22"/>
              </w:rPr>
              <w:t>468 075 413</w:t>
            </w:r>
          </w:p>
        </w:tc>
      </w:tr>
      <w:tr w:rsidR="008678CF" w14:paraId="73C7B6DE" w14:textId="77777777" w:rsidTr="00A176BD">
        <w:trPr>
          <w:trHeight w:val="255"/>
        </w:trPr>
        <w:tc>
          <w:tcPr>
            <w:tcW w:w="7371" w:type="dxa"/>
            <w:tcBorders>
              <w:top w:val="single" w:sz="6" w:space="0" w:color="auto"/>
              <w:left w:val="single" w:sz="12" w:space="0" w:color="auto"/>
              <w:bottom w:val="single" w:sz="12" w:space="0" w:color="auto"/>
              <w:right w:val="single" w:sz="6" w:space="0" w:color="auto"/>
            </w:tcBorders>
            <w:noWrap/>
            <w:tcMar>
              <w:top w:w="0" w:type="dxa"/>
              <w:left w:w="70" w:type="dxa"/>
              <w:bottom w:w="0" w:type="dxa"/>
              <w:right w:w="70" w:type="dxa"/>
            </w:tcMar>
            <w:hideMark/>
          </w:tcPr>
          <w:p w14:paraId="43EF443E" w14:textId="77777777" w:rsidR="008678CF" w:rsidRDefault="008678CF">
            <w:pPr>
              <w:rPr>
                <w:snapToGrid w:val="0"/>
                <w:sz w:val="23"/>
                <w:szCs w:val="23"/>
              </w:rPr>
            </w:pPr>
            <w:r>
              <w:rPr>
                <w:snapToGrid w:val="0"/>
                <w:sz w:val="23"/>
                <w:szCs w:val="23"/>
              </w:rPr>
              <w:t>Západočeská univerzita v Plzni</w:t>
            </w:r>
          </w:p>
        </w:tc>
        <w:tc>
          <w:tcPr>
            <w:tcW w:w="1560" w:type="dxa"/>
            <w:tcBorders>
              <w:top w:val="single" w:sz="6" w:space="0" w:color="auto"/>
              <w:left w:val="single" w:sz="6" w:space="0" w:color="auto"/>
              <w:bottom w:val="single" w:sz="12" w:space="0" w:color="auto"/>
              <w:right w:val="single" w:sz="12" w:space="0" w:color="auto"/>
            </w:tcBorders>
            <w:noWrap/>
            <w:tcMar>
              <w:top w:w="0" w:type="dxa"/>
              <w:left w:w="70" w:type="dxa"/>
              <w:bottom w:w="0" w:type="dxa"/>
              <w:right w:w="70" w:type="dxa"/>
            </w:tcMar>
            <w:vAlign w:val="center"/>
            <w:hideMark/>
          </w:tcPr>
          <w:p w14:paraId="4D19D9DC" w14:textId="77777777" w:rsidR="008678CF" w:rsidRDefault="008678CF">
            <w:pPr>
              <w:jc w:val="right"/>
              <w:rPr>
                <w:sz w:val="22"/>
                <w:szCs w:val="22"/>
              </w:rPr>
            </w:pPr>
            <w:r>
              <w:rPr>
                <w:sz w:val="22"/>
                <w:szCs w:val="22"/>
              </w:rPr>
              <w:t>277 155 618</w:t>
            </w:r>
          </w:p>
        </w:tc>
      </w:tr>
      <w:tr w:rsidR="008678CF" w14:paraId="6F2F10DF" w14:textId="77777777" w:rsidTr="00A176BD">
        <w:trPr>
          <w:trHeight w:val="255"/>
        </w:trPr>
        <w:tc>
          <w:tcPr>
            <w:tcW w:w="7371" w:type="dxa"/>
            <w:tcBorders>
              <w:top w:val="single" w:sz="12" w:space="0" w:color="auto"/>
              <w:left w:val="single" w:sz="12" w:space="0" w:color="auto"/>
              <w:bottom w:val="single" w:sz="12" w:space="0" w:color="auto"/>
              <w:right w:val="single" w:sz="4" w:space="0" w:color="auto"/>
            </w:tcBorders>
            <w:noWrap/>
            <w:tcMar>
              <w:top w:w="0" w:type="dxa"/>
              <w:left w:w="70" w:type="dxa"/>
              <w:bottom w:w="0" w:type="dxa"/>
              <w:right w:w="70" w:type="dxa"/>
            </w:tcMar>
            <w:vAlign w:val="bottom"/>
            <w:hideMark/>
          </w:tcPr>
          <w:p w14:paraId="4FBF5CB5" w14:textId="77777777" w:rsidR="008678CF" w:rsidRDefault="008678CF">
            <w:pPr>
              <w:rPr>
                <w:sz w:val="23"/>
                <w:szCs w:val="23"/>
              </w:rPr>
            </w:pPr>
            <w:r>
              <w:rPr>
                <w:b/>
                <w:snapToGrid w:val="0"/>
                <w:sz w:val="23"/>
                <w:szCs w:val="23"/>
              </w:rPr>
              <w:t>Celkem veřejné vysoké školy</w:t>
            </w:r>
          </w:p>
        </w:tc>
        <w:tc>
          <w:tcPr>
            <w:tcW w:w="1560" w:type="dxa"/>
            <w:tcBorders>
              <w:top w:val="single" w:sz="12" w:space="0" w:color="auto"/>
              <w:left w:val="single" w:sz="4" w:space="0" w:color="auto"/>
              <w:bottom w:val="single" w:sz="12" w:space="0" w:color="auto"/>
              <w:right w:val="single" w:sz="12" w:space="0" w:color="auto"/>
            </w:tcBorders>
            <w:noWrap/>
            <w:tcMar>
              <w:top w:w="0" w:type="dxa"/>
              <w:left w:w="70" w:type="dxa"/>
              <w:bottom w:w="0" w:type="dxa"/>
              <w:right w:w="70" w:type="dxa"/>
            </w:tcMar>
            <w:vAlign w:val="bottom"/>
            <w:hideMark/>
          </w:tcPr>
          <w:p w14:paraId="7B54618B" w14:textId="77777777" w:rsidR="008678CF" w:rsidRDefault="008678CF">
            <w:pPr>
              <w:jc w:val="right"/>
              <w:rPr>
                <w:b/>
                <w:sz w:val="22"/>
                <w:szCs w:val="22"/>
              </w:rPr>
            </w:pPr>
            <w:r>
              <w:rPr>
                <w:b/>
                <w:sz w:val="22"/>
                <w:szCs w:val="22"/>
              </w:rPr>
              <w:t>6 790 520 625</w:t>
            </w:r>
          </w:p>
        </w:tc>
      </w:tr>
      <w:tr w:rsidR="008678CF" w14:paraId="1E30D9D0"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7BA7331E" w14:textId="77777777" w:rsidR="008678CF" w:rsidRDefault="008678CF">
            <w:pPr>
              <w:rPr>
                <w:sz w:val="23"/>
                <w:szCs w:val="23"/>
              </w:rPr>
            </w:pPr>
            <w:r>
              <w:rPr>
                <w:sz w:val="23"/>
                <w:szCs w:val="23"/>
              </w:rPr>
              <w:t>Centrum pro studium vysokého školství, v.v.i.</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58610CB1" w14:textId="77777777" w:rsidR="008678CF" w:rsidRDefault="008678CF">
            <w:pPr>
              <w:jc w:val="right"/>
              <w:rPr>
                <w:sz w:val="22"/>
                <w:szCs w:val="22"/>
              </w:rPr>
            </w:pPr>
            <w:r>
              <w:rPr>
                <w:sz w:val="22"/>
                <w:szCs w:val="22"/>
              </w:rPr>
              <w:t>1 732 000</w:t>
            </w:r>
          </w:p>
        </w:tc>
      </w:tr>
      <w:tr w:rsidR="008678CF" w14:paraId="5BD51899"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5320CF89" w14:textId="77777777" w:rsidR="008678CF" w:rsidRDefault="008678CF">
            <w:pPr>
              <w:rPr>
                <w:sz w:val="23"/>
                <w:szCs w:val="23"/>
              </w:rPr>
            </w:pPr>
            <w:r>
              <w:rPr>
                <w:sz w:val="23"/>
                <w:szCs w:val="23"/>
              </w:rPr>
              <w:t>CESNET z.s.p.o.</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2CC6A5D8" w14:textId="77777777" w:rsidR="008678CF" w:rsidRDefault="008678CF">
            <w:pPr>
              <w:jc w:val="right"/>
              <w:rPr>
                <w:sz w:val="22"/>
                <w:szCs w:val="22"/>
              </w:rPr>
            </w:pPr>
            <w:r>
              <w:rPr>
                <w:sz w:val="22"/>
                <w:szCs w:val="22"/>
              </w:rPr>
              <w:t>9 000 000</w:t>
            </w:r>
          </w:p>
        </w:tc>
      </w:tr>
      <w:tr w:rsidR="008678CF" w14:paraId="0A3FE4EE" w14:textId="77777777" w:rsidTr="00A176BD">
        <w:trPr>
          <w:trHeight w:val="267"/>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191D8A37" w14:textId="77777777" w:rsidR="008678CF" w:rsidRDefault="008678CF">
            <w:pPr>
              <w:rPr>
                <w:sz w:val="23"/>
                <w:szCs w:val="23"/>
              </w:rPr>
            </w:pPr>
            <w:r>
              <w:rPr>
                <w:sz w:val="23"/>
                <w:szCs w:val="23"/>
              </w:rPr>
              <w:t>ENKI, o.p.s.</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1D4C1149" w14:textId="77777777" w:rsidR="008678CF" w:rsidRDefault="008678CF">
            <w:pPr>
              <w:jc w:val="right"/>
              <w:rPr>
                <w:sz w:val="22"/>
                <w:szCs w:val="22"/>
              </w:rPr>
            </w:pPr>
            <w:r>
              <w:rPr>
                <w:sz w:val="22"/>
                <w:szCs w:val="22"/>
              </w:rPr>
              <w:t>3 528 000</w:t>
            </w:r>
          </w:p>
        </w:tc>
      </w:tr>
      <w:tr w:rsidR="008678CF" w14:paraId="082BDE85"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503E35E8" w14:textId="77777777" w:rsidR="008678CF" w:rsidRDefault="008678CF">
            <w:pPr>
              <w:rPr>
                <w:sz w:val="23"/>
                <w:szCs w:val="23"/>
              </w:rPr>
            </w:pPr>
            <w:r>
              <w:rPr>
                <w:sz w:val="23"/>
                <w:szCs w:val="23"/>
              </w:rPr>
              <w:t>Metropolitní univerzita Praha, o.p.s.</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7DA6EF00" w14:textId="77777777" w:rsidR="008678CF" w:rsidRDefault="008678CF">
            <w:pPr>
              <w:jc w:val="right"/>
              <w:rPr>
                <w:sz w:val="22"/>
                <w:szCs w:val="22"/>
              </w:rPr>
            </w:pPr>
            <w:r>
              <w:rPr>
                <w:sz w:val="22"/>
                <w:szCs w:val="22"/>
              </w:rPr>
              <w:t>13 767 769</w:t>
            </w:r>
          </w:p>
        </w:tc>
      </w:tr>
      <w:tr w:rsidR="008678CF" w14:paraId="0E751E05"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16045030" w14:textId="77777777" w:rsidR="008678CF" w:rsidRDefault="008678CF">
            <w:pPr>
              <w:rPr>
                <w:sz w:val="23"/>
                <w:szCs w:val="23"/>
              </w:rPr>
            </w:pPr>
            <w:r>
              <w:rPr>
                <w:sz w:val="23"/>
                <w:szCs w:val="23"/>
              </w:rPr>
              <w:t>Technologické centrum AV ČR, z.s.p.o.</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3E84F9EF" w14:textId="77777777" w:rsidR="008678CF" w:rsidRDefault="008678CF">
            <w:pPr>
              <w:jc w:val="right"/>
              <w:rPr>
                <w:sz w:val="22"/>
                <w:szCs w:val="22"/>
              </w:rPr>
            </w:pPr>
            <w:r>
              <w:rPr>
                <w:sz w:val="22"/>
                <w:szCs w:val="22"/>
              </w:rPr>
              <w:t>2 713 000</w:t>
            </w:r>
          </w:p>
        </w:tc>
      </w:tr>
      <w:tr w:rsidR="008678CF" w14:paraId="67C2C575"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3E0D5146" w14:textId="77777777" w:rsidR="008678CF" w:rsidRDefault="008678CF">
            <w:pPr>
              <w:rPr>
                <w:sz w:val="23"/>
                <w:szCs w:val="23"/>
              </w:rPr>
            </w:pPr>
            <w:r>
              <w:rPr>
                <w:sz w:val="23"/>
                <w:szCs w:val="23"/>
              </w:rPr>
              <w:t>Univerzita Jana Amose Komenského Praha, s.r.o.</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1FF3D1C2" w14:textId="77777777" w:rsidR="008678CF" w:rsidRDefault="008678CF">
            <w:pPr>
              <w:jc w:val="right"/>
              <w:rPr>
                <w:sz w:val="22"/>
                <w:szCs w:val="22"/>
              </w:rPr>
            </w:pPr>
            <w:r>
              <w:rPr>
                <w:sz w:val="22"/>
                <w:szCs w:val="22"/>
              </w:rPr>
              <w:t>1 162 785</w:t>
            </w:r>
          </w:p>
        </w:tc>
      </w:tr>
      <w:tr w:rsidR="008678CF" w14:paraId="1686BC74"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361E0C5F" w14:textId="77777777" w:rsidR="008678CF" w:rsidRDefault="008678CF">
            <w:pPr>
              <w:rPr>
                <w:sz w:val="23"/>
                <w:szCs w:val="23"/>
              </w:rPr>
            </w:pPr>
            <w:r>
              <w:rPr>
                <w:sz w:val="23"/>
                <w:szCs w:val="23"/>
              </w:rPr>
              <w:t>Vysoká škola finanční a správní, o.p.s.</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39CD5D72" w14:textId="77777777" w:rsidR="008678CF" w:rsidRDefault="008678CF">
            <w:pPr>
              <w:jc w:val="right"/>
              <w:rPr>
                <w:sz w:val="22"/>
                <w:szCs w:val="22"/>
              </w:rPr>
            </w:pPr>
            <w:r>
              <w:rPr>
                <w:sz w:val="22"/>
                <w:szCs w:val="22"/>
              </w:rPr>
              <w:t>4 256 242</w:t>
            </w:r>
          </w:p>
        </w:tc>
      </w:tr>
      <w:tr w:rsidR="008678CF" w14:paraId="2906283A" w14:textId="77777777" w:rsidTr="00A176BD">
        <w:trPr>
          <w:trHeight w:val="255"/>
        </w:trPr>
        <w:tc>
          <w:tcPr>
            <w:tcW w:w="7371" w:type="dxa"/>
            <w:tcBorders>
              <w:top w:val="single" w:sz="4" w:space="0" w:color="auto"/>
              <w:left w:val="single" w:sz="12" w:space="0" w:color="auto"/>
              <w:bottom w:val="single" w:sz="4" w:space="0" w:color="auto"/>
              <w:right w:val="single" w:sz="4" w:space="0" w:color="auto"/>
            </w:tcBorders>
            <w:noWrap/>
            <w:tcMar>
              <w:top w:w="0" w:type="dxa"/>
              <w:left w:w="70" w:type="dxa"/>
              <w:bottom w:w="0" w:type="dxa"/>
              <w:right w:w="70" w:type="dxa"/>
            </w:tcMar>
            <w:hideMark/>
          </w:tcPr>
          <w:p w14:paraId="49F8600B" w14:textId="77777777" w:rsidR="008678CF" w:rsidRDefault="008678CF">
            <w:pPr>
              <w:rPr>
                <w:sz w:val="23"/>
                <w:szCs w:val="23"/>
              </w:rPr>
            </w:pPr>
            <w:r>
              <w:rPr>
                <w:sz w:val="23"/>
                <w:szCs w:val="23"/>
              </w:rPr>
              <w:t>Výzkumný ústav geodetický, topograf. a kartografický, v.v.i.</w:t>
            </w:r>
          </w:p>
        </w:tc>
        <w:tc>
          <w:tcPr>
            <w:tcW w:w="1560" w:type="dxa"/>
            <w:tcBorders>
              <w:top w:val="single" w:sz="4" w:space="0" w:color="auto"/>
              <w:left w:val="single" w:sz="4" w:space="0" w:color="auto"/>
              <w:bottom w:val="single" w:sz="4" w:space="0" w:color="auto"/>
              <w:right w:val="single" w:sz="12" w:space="0" w:color="auto"/>
            </w:tcBorders>
            <w:noWrap/>
            <w:tcMar>
              <w:top w:w="0" w:type="dxa"/>
              <w:left w:w="70" w:type="dxa"/>
              <w:bottom w:w="0" w:type="dxa"/>
              <w:right w:w="70" w:type="dxa"/>
            </w:tcMar>
            <w:vAlign w:val="center"/>
            <w:hideMark/>
          </w:tcPr>
          <w:p w14:paraId="58895EC9" w14:textId="77777777" w:rsidR="008678CF" w:rsidRDefault="008678CF">
            <w:pPr>
              <w:jc w:val="right"/>
              <w:rPr>
                <w:sz w:val="22"/>
                <w:szCs w:val="22"/>
              </w:rPr>
            </w:pPr>
            <w:r>
              <w:rPr>
                <w:sz w:val="22"/>
                <w:szCs w:val="22"/>
              </w:rPr>
              <w:t>10 600 000</w:t>
            </w:r>
          </w:p>
        </w:tc>
      </w:tr>
      <w:tr w:rsidR="008678CF" w14:paraId="46FEDF64" w14:textId="77777777" w:rsidTr="00A176BD">
        <w:trPr>
          <w:trHeight w:val="255"/>
        </w:trPr>
        <w:tc>
          <w:tcPr>
            <w:tcW w:w="7371" w:type="dxa"/>
            <w:tcBorders>
              <w:top w:val="single" w:sz="12" w:space="0" w:color="auto"/>
              <w:left w:val="single" w:sz="12" w:space="0" w:color="auto"/>
              <w:bottom w:val="single" w:sz="12" w:space="0" w:color="auto"/>
              <w:right w:val="single" w:sz="4" w:space="0" w:color="auto"/>
            </w:tcBorders>
            <w:noWrap/>
            <w:tcMar>
              <w:top w:w="0" w:type="dxa"/>
              <w:left w:w="70" w:type="dxa"/>
              <w:bottom w:w="0" w:type="dxa"/>
              <w:right w:w="70" w:type="dxa"/>
            </w:tcMar>
            <w:vAlign w:val="bottom"/>
            <w:hideMark/>
          </w:tcPr>
          <w:p w14:paraId="6C41FF6D" w14:textId="77777777" w:rsidR="008678CF" w:rsidRDefault="008678CF">
            <w:pPr>
              <w:rPr>
                <w:b/>
                <w:snapToGrid w:val="0"/>
                <w:sz w:val="23"/>
                <w:szCs w:val="23"/>
              </w:rPr>
            </w:pPr>
            <w:r>
              <w:rPr>
                <w:b/>
                <w:snapToGrid w:val="0"/>
                <w:sz w:val="23"/>
                <w:szCs w:val="23"/>
              </w:rPr>
              <w:t>Celkem ostatní</w:t>
            </w:r>
          </w:p>
        </w:tc>
        <w:tc>
          <w:tcPr>
            <w:tcW w:w="1560" w:type="dxa"/>
            <w:tcBorders>
              <w:top w:val="single" w:sz="12" w:space="0" w:color="auto"/>
              <w:left w:val="single" w:sz="4" w:space="0" w:color="auto"/>
              <w:bottom w:val="single" w:sz="12" w:space="0" w:color="auto"/>
              <w:right w:val="single" w:sz="12" w:space="0" w:color="auto"/>
            </w:tcBorders>
            <w:noWrap/>
            <w:tcMar>
              <w:top w:w="0" w:type="dxa"/>
              <w:left w:w="70" w:type="dxa"/>
              <w:bottom w:w="0" w:type="dxa"/>
              <w:right w:w="70" w:type="dxa"/>
            </w:tcMar>
            <w:vAlign w:val="bottom"/>
            <w:hideMark/>
          </w:tcPr>
          <w:p w14:paraId="3AF0E7F1" w14:textId="77777777" w:rsidR="008678CF" w:rsidRDefault="008678CF">
            <w:pPr>
              <w:jc w:val="right"/>
              <w:rPr>
                <w:b/>
                <w:sz w:val="22"/>
                <w:szCs w:val="22"/>
              </w:rPr>
            </w:pPr>
            <w:r>
              <w:rPr>
                <w:b/>
                <w:sz w:val="22"/>
                <w:szCs w:val="22"/>
              </w:rPr>
              <w:t>46 759 796</w:t>
            </w:r>
          </w:p>
        </w:tc>
      </w:tr>
      <w:tr w:rsidR="008678CF" w14:paraId="1E853F72" w14:textId="77777777" w:rsidTr="00A176BD">
        <w:trPr>
          <w:trHeight w:val="255"/>
        </w:trPr>
        <w:tc>
          <w:tcPr>
            <w:tcW w:w="7371" w:type="dxa"/>
            <w:tcBorders>
              <w:top w:val="single" w:sz="12" w:space="0" w:color="auto"/>
              <w:left w:val="single" w:sz="12" w:space="0" w:color="auto"/>
              <w:bottom w:val="single" w:sz="12" w:space="0" w:color="auto"/>
              <w:right w:val="single" w:sz="4" w:space="0" w:color="auto"/>
            </w:tcBorders>
            <w:noWrap/>
            <w:tcMar>
              <w:top w:w="0" w:type="dxa"/>
              <w:left w:w="70" w:type="dxa"/>
              <w:bottom w:w="0" w:type="dxa"/>
              <w:right w:w="70" w:type="dxa"/>
            </w:tcMar>
            <w:vAlign w:val="bottom"/>
            <w:hideMark/>
          </w:tcPr>
          <w:p w14:paraId="3ACCED2C" w14:textId="77777777" w:rsidR="008678CF" w:rsidRDefault="008678CF">
            <w:pPr>
              <w:rPr>
                <w:b/>
                <w:snapToGrid w:val="0"/>
                <w:sz w:val="23"/>
                <w:szCs w:val="23"/>
              </w:rPr>
            </w:pPr>
            <w:r>
              <w:rPr>
                <w:b/>
                <w:snapToGrid w:val="0"/>
                <w:sz w:val="23"/>
                <w:szCs w:val="23"/>
              </w:rPr>
              <w:t>C e l k e m</w:t>
            </w:r>
          </w:p>
        </w:tc>
        <w:tc>
          <w:tcPr>
            <w:tcW w:w="1560" w:type="dxa"/>
            <w:tcBorders>
              <w:top w:val="single" w:sz="12" w:space="0" w:color="auto"/>
              <w:left w:val="single" w:sz="4" w:space="0" w:color="auto"/>
              <w:bottom w:val="single" w:sz="12" w:space="0" w:color="auto"/>
              <w:right w:val="single" w:sz="12" w:space="0" w:color="auto"/>
            </w:tcBorders>
            <w:noWrap/>
            <w:tcMar>
              <w:top w:w="0" w:type="dxa"/>
              <w:left w:w="70" w:type="dxa"/>
              <w:bottom w:w="0" w:type="dxa"/>
              <w:right w:w="70" w:type="dxa"/>
            </w:tcMar>
            <w:vAlign w:val="bottom"/>
            <w:hideMark/>
          </w:tcPr>
          <w:p w14:paraId="62B395C3" w14:textId="77777777" w:rsidR="008678CF" w:rsidRDefault="008678CF">
            <w:pPr>
              <w:jc w:val="right"/>
              <w:rPr>
                <w:b/>
                <w:sz w:val="23"/>
                <w:szCs w:val="23"/>
              </w:rPr>
            </w:pPr>
            <w:r>
              <w:rPr>
                <w:b/>
                <w:sz w:val="23"/>
                <w:szCs w:val="23"/>
              </w:rPr>
              <w:t>6 837 280 421</w:t>
            </w:r>
          </w:p>
        </w:tc>
      </w:tr>
    </w:tbl>
    <w:p w14:paraId="78DFB793" w14:textId="39B417B3" w:rsidR="008678CF" w:rsidRDefault="008678CF" w:rsidP="008678CF">
      <w:pPr>
        <w:pStyle w:val="Nadpis5"/>
        <w:numPr>
          <w:ilvl w:val="0"/>
          <w:numId w:val="0"/>
        </w:numPr>
        <w:rPr>
          <w:rStyle w:val="Zvraznn"/>
          <w:sz w:val="20"/>
        </w:rPr>
      </w:pPr>
      <w:r>
        <w:rPr>
          <w:rStyle w:val="Zvraznn"/>
          <w:sz w:val="20"/>
        </w:rPr>
        <w:t>Pozn. Závazky na institucionální podporu na dlouhodobý koncepční rozvo</w:t>
      </w:r>
      <w:r w:rsidR="002B1F8C">
        <w:rPr>
          <w:rStyle w:val="Zvraznn"/>
          <w:sz w:val="20"/>
        </w:rPr>
        <w:t>j výzkumné organizace uvedené v </w:t>
      </w:r>
      <w:r>
        <w:rPr>
          <w:rStyle w:val="Zvraznn"/>
          <w:sz w:val="20"/>
        </w:rPr>
        <w:t>tabulce budou ve výši 183 840 Kč hrazeny z nároků z nespotřebovaných profilujících výdajů.</w:t>
      </w:r>
    </w:p>
    <w:p w14:paraId="39928753" w14:textId="77777777" w:rsidR="008678CF" w:rsidRDefault="008678CF" w:rsidP="008678CF"/>
    <w:p w14:paraId="455E5DFC" w14:textId="77777777" w:rsidR="008678CF" w:rsidRDefault="008678CF" w:rsidP="008678CF">
      <w:pPr>
        <w:pStyle w:val="Nadpis5"/>
        <w:numPr>
          <w:ilvl w:val="0"/>
          <w:numId w:val="0"/>
        </w:numPr>
        <w:rPr>
          <w:rStyle w:val="Zvraznn"/>
          <w:u w:val="single"/>
        </w:rPr>
      </w:pPr>
      <w:r>
        <w:rPr>
          <w:rStyle w:val="Zvraznn"/>
          <w:u w:val="single"/>
        </w:rPr>
        <w:t>Institucionální prostředky na mezinárodní spolupráci České republiky ve výzkumu, experimentálním vývoji a inovacích</w:t>
      </w:r>
    </w:p>
    <w:p w14:paraId="5048566D" w14:textId="77777777" w:rsidR="008678CF" w:rsidRDefault="008678CF" w:rsidP="008678CF"/>
    <w:p w14:paraId="02287130" w14:textId="1ADB6063" w:rsidR="008678CF" w:rsidRDefault="008678CF" w:rsidP="008678CF">
      <w:pPr>
        <w:pStyle w:val="Text"/>
      </w:pPr>
      <w:r>
        <w:t>Institucionální podpora je poskytována na část mezinárodní spolupráce České republiky ve VVI, v jejímž rámci jsou na základě mezinárodních smluv hrazeny poplatky za účast České republiky v mezinárodních programech výzkumu a vývoje, poplatky za členství v mezinárodních organizacích výzkumu a vývoje nebo finanční podíly z prostředků České republiky na podporu projektů mezinárodní spolupráce ve vý</w:t>
      </w:r>
      <w:r w:rsidR="00A176BD">
        <w:t>zkumu a vývoji. Výdaje na </w:t>
      </w:r>
      <w:r>
        <w:t xml:space="preserve">mezinárodní spolupráci České republiky ve výzkumu a vývoji jsou schváleny ve výši </w:t>
      </w:r>
      <w:r w:rsidR="00040D36">
        <w:br/>
      </w:r>
      <w:r>
        <w:rPr>
          <w:b/>
        </w:rPr>
        <w:t>1 261 482 211 Kč</w:t>
      </w:r>
      <w:r>
        <w:t xml:space="preserve">. </w:t>
      </w:r>
    </w:p>
    <w:p w14:paraId="648AECE4" w14:textId="77777777" w:rsidR="008678CF" w:rsidRDefault="008678CF" w:rsidP="008678CF">
      <w:pPr>
        <w:rPr>
          <w:rStyle w:val="Zvraznn"/>
          <w:u w:val="single"/>
        </w:rPr>
      </w:pPr>
    </w:p>
    <w:p w14:paraId="40AED859" w14:textId="77777777" w:rsidR="008678CF" w:rsidRDefault="008678CF" w:rsidP="008678CF">
      <w:pPr>
        <w:rPr>
          <w:rStyle w:val="Zvraznn"/>
          <w:u w:val="single"/>
        </w:rPr>
      </w:pPr>
      <w:r>
        <w:rPr>
          <w:rStyle w:val="Zvraznn"/>
          <w:u w:val="single"/>
        </w:rPr>
        <w:t>Ostatní institucionální prostředky</w:t>
      </w:r>
    </w:p>
    <w:p w14:paraId="0EAE9FEF" w14:textId="77777777" w:rsidR="008678CF" w:rsidRDefault="008678CF" w:rsidP="008678CF">
      <w:pPr>
        <w:rPr>
          <w:rStyle w:val="Zvraznn"/>
          <w:highlight w:val="yellow"/>
          <w:u w:val="single"/>
        </w:rPr>
      </w:pPr>
    </w:p>
    <w:p w14:paraId="5C3A3FE1" w14:textId="77777777" w:rsidR="008678CF" w:rsidRDefault="008678CF" w:rsidP="008678CF">
      <w:pPr>
        <w:pStyle w:val="Text"/>
      </w:pPr>
      <w:r>
        <w:t xml:space="preserve">Část institucionálních prostředků ve výši </w:t>
      </w:r>
      <w:r>
        <w:rPr>
          <w:b/>
        </w:rPr>
        <w:t>20 000 000 Kč</w:t>
      </w:r>
      <w:r>
        <w:t xml:space="preserve"> bude využita v souladu s § 3 odst. 3 písm. d) zákona o podpoře VVI na zabezpečení veřejné soutěže ve výzkumu, vývoji a inovacích, dále na zadání veřejné zakázky, včetně nákladů na hodnocení a kontrolu poskytnuté podpory, zhodnocení dosažených výsledků a na zveřejnění informací o poskytnuté podpoře, a dále na vyhodnocení podmínek pro poskytnutí podpory na specifický vysokoškolský výzkum, velkou výzkumnou infrastrukturu nebo mezinárodní spolupráci České republiky ve výzkumu a vývoji.</w:t>
      </w:r>
    </w:p>
    <w:p w14:paraId="41B19373" w14:textId="07953729" w:rsidR="008678CF" w:rsidRDefault="008678CF" w:rsidP="008678CF">
      <w:pPr>
        <w:pStyle w:val="Text"/>
      </w:pPr>
      <w:r>
        <w:t xml:space="preserve">Další část prostředků ve výši </w:t>
      </w:r>
      <w:r>
        <w:rPr>
          <w:b/>
        </w:rPr>
        <w:t>5 000 000 Kč</w:t>
      </w:r>
      <w:r>
        <w:t xml:space="preserve"> bude použita v souladu s § 3 odst. 3 písm. f) zákona o podpoře VVI na věcné náklady bezprostředně spojené s činností Ministerstva školství, mládeže a tělovýchovy jako ústředního orgán</w:t>
      </w:r>
      <w:r w:rsidR="007641CD">
        <w:t>u státní správy zodpovědného za </w:t>
      </w:r>
      <w:r>
        <w:t>výzkum a vývoj</w:t>
      </w:r>
      <w:r w:rsidR="007641CD">
        <w:t>.</w:t>
      </w:r>
    </w:p>
    <w:p w14:paraId="54726E27" w14:textId="30218282" w:rsidR="008678CF" w:rsidRDefault="008678CF" w:rsidP="008678CF">
      <w:pPr>
        <w:pStyle w:val="Text"/>
      </w:pPr>
      <w:r>
        <w:t xml:space="preserve">Prostředky ve výši </w:t>
      </w:r>
      <w:r>
        <w:rPr>
          <w:b/>
        </w:rPr>
        <w:t>900 000 Kč</w:t>
      </w:r>
      <w:r>
        <w:t xml:space="preserve"> budou použity v souladu s § 3 odst. 3 písm. e) zákona o podpoře VVI na ocenění mimořádných výsledků v</w:t>
      </w:r>
      <w:r w:rsidR="00A176BD">
        <w:t>e VVI nebo ocenění propagace či </w:t>
      </w:r>
      <w:r>
        <w:t>popularizace VVI.</w:t>
      </w:r>
    </w:p>
    <w:p w14:paraId="1E51C620" w14:textId="77777777" w:rsidR="003D012B" w:rsidRDefault="003D012B" w:rsidP="008678CF">
      <w:pPr>
        <w:pStyle w:val="Text"/>
      </w:pPr>
    </w:p>
    <w:p w14:paraId="0F76A38E" w14:textId="77777777" w:rsidR="00526028" w:rsidRDefault="00526028" w:rsidP="008678CF"/>
    <w:p w14:paraId="5B28EA55" w14:textId="77777777" w:rsidR="008678CF" w:rsidRDefault="008678CF" w:rsidP="0031482F">
      <w:pPr>
        <w:pStyle w:val="Nadpis4"/>
      </w:pPr>
      <w:bookmarkStart w:id="85" w:name="_Toc447780936"/>
      <w:bookmarkStart w:id="86" w:name="_Toc5968838"/>
      <w:r>
        <w:lastRenderedPageBreak/>
        <w:t>Účelová podpora</w:t>
      </w:r>
      <w:bookmarkEnd w:id="85"/>
      <w:bookmarkEnd w:id="86"/>
    </w:p>
    <w:p w14:paraId="4BB2B5DD" w14:textId="77777777" w:rsidR="008678CF" w:rsidRDefault="008678CF" w:rsidP="008678CF"/>
    <w:p w14:paraId="21F7CA36" w14:textId="77777777" w:rsidR="008678CF" w:rsidRDefault="008678CF" w:rsidP="008678CF">
      <w:pPr>
        <w:ind w:firstLine="709"/>
        <w:rPr>
          <w:szCs w:val="24"/>
        </w:rPr>
      </w:pPr>
      <w:r>
        <w:rPr>
          <w:szCs w:val="24"/>
          <w:u w:val="single"/>
        </w:rPr>
        <w:t>Účelovou podporou VVI</w:t>
      </w:r>
      <w:r>
        <w:rPr>
          <w:szCs w:val="24"/>
        </w:rPr>
        <w:t xml:space="preserve"> je poskytnutí účelových prostředků na:</w:t>
      </w:r>
    </w:p>
    <w:p w14:paraId="3A1534D0" w14:textId="77777777" w:rsidR="008678CF" w:rsidRDefault="008678CF" w:rsidP="005B6E93">
      <w:pPr>
        <w:numPr>
          <w:ilvl w:val="0"/>
          <w:numId w:val="57"/>
        </w:numPr>
        <w:tabs>
          <w:tab w:val="clear" w:pos="720"/>
          <w:tab w:val="num" w:pos="1134"/>
        </w:tabs>
        <w:ind w:left="1134" w:hanging="567"/>
        <w:rPr>
          <w:szCs w:val="24"/>
        </w:rPr>
      </w:pPr>
      <w:r>
        <w:rPr>
          <w:szCs w:val="24"/>
        </w:rPr>
        <w:t>programový projekt, ve kterém příjemce vyjadřuje, jakým způsobem a za jakých podmínek přispěje k naplnění cílů programu; řešení programového projektu může obsahovat i nezbytné činnosti základního výzkumu, pokud na ně navazují činnosti aplikovaného VVI,</w:t>
      </w:r>
    </w:p>
    <w:p w14:paraId="5A97D612" w14:textId="77777777" w:rsidR="008678CF" w:rsidRDefault="008678CF" w:rsidP="005B6E93">
      <w:pPr>
        <w:numPr>
          <w:ilvl w:val="0"/>
          <w:numId w:val="57"/>
        </w:numPr>
        <w:tabs>
          <w:tab w:val="clear" w:pos="720"/>
          <w:tab w:val="left" w:pos="1134"/>
        </w:tabs>
        <w:ind w:left="1134" w:hanging="567"/>
        <w:rPr>
          <w:szCs w:val="24"/>
        </w:rPr>
      </w:pPr>
      <w:r>
        <w:rPr>
          <w:szCs w:val="24"/>
        </w:rPr>
        <w:t>specifický vysokoškolský výzkum, kterým je výzkum prováděný studenty při uskutečňování akreditovaných doktorských nebo magisterských studijních programů a který je bezprostředně spojen s jejich vzděláváním,</w:t>
      </w:r>
    </w:p>
    <w:p w14:paraId="0DFC4776" w14:textId="77777777" w:rsidR="008678CF" w:rsidRDefault="008678CF" w:rsidP="005B6E93">
      <w:pPr>
        <w:numPr>
          <w:ilvl w:val="0"/>
          <w:numId w:val="57"/>
        </w:numPr>
        <w:tabs>
          <w:tab w:val="clear" w:pos="720"/>
          <w:tab w:val="left" w:pos="1134"/>
        </w:tabs>
        <w:ind w:left="1134" w:hanging="567"/>
        <w:rPr>
          <w:szCs w:val="24"/>
        </w:rPr>
      </w:pPr>
      <w:r>
        <w:rPr>
          <w:szCs w:val="24"/>
        </w:rPr>
        <w:t>velkou výzkumnou infrastrukturu.</w:t>
      </w:r>
    </w:p>
    <w:p w14:paraId="224E21F5" w14:textId="77777777" w:rsidR="008678CF" w:rsidRDefault="008678CF" w:rsidP="008678CF"/>
    <w:p w14:paraId="2A796E4D" w14:textId="77777777" w:rsidR="008678CF" w:rsidRDefault="008678CF" w:rsidP="008678CF">
      <w:pPr>
        <w:rPr>
          <w:rStyle w:val="Zvraznn"/>
          <w:u w:val="single"/>
        </w:rPr>
      </w:pPr>
      <w:r>
        <w:rPr>
          <w:rStyle w:val="Zvraznn"/>
          <w:u w:val="single"/>
        </w:rPr>
        <w:t>Účelové prostředky na programy aplikovaného VVI</w:t>
      </w:r>
    </w:p>
    <w:p w14:paraId="0F893F97" w14:textId="77777777" w:rsidR="008678CF" w:rsidRDefault="008678CF" w:rsidP="008678CF">
      <w:pPr>
        <w:rPr>
          <w:b/>
          <w:szCs w:val="24"/>
        </w:rPr>
      </w:pPr>
    </w:p>
    <w:p w14:paraId="1F593F80" w14:textId="651A35B1" w:rsidR="008678CF" w:rsidRDefault="008678CF" w:rsidP="008678CF">
      <w:pPr>
        <w:pStyle w:val="Text"/>
      </w:pPr>
      <w:r>
        <w:t xml:space="preserve">Programy podpory VVI jsou přístupny právnickým </w:t>
      </w:r>
      <w:r w:rsidR="00B8183F">
        <w:t>osobám, v některých případech i </w:t>
      </w:r>
      <w:r>
        <w:t xml:space="preserve">fyzickým osobám, a organizačním složkám </w:t>
      </w:r>
      <w:r w:rsidR="00040D36">
        <w:t>státu</w:t>
      </w:r>
      <w:r>
        <w:t xml:space="preserve"> a vyšším územně samosprávn</w:t>
      </w:r>
      <w:r w:rsidR="00040D36">
        <w:t>ý</w:t>
      </w:r>
      <w:r>
        <w:t xml:space="preserve">m celkům. Příjemci podpory na řešení projektů jsou např. veřejné vysoké školy, společnosti s ručením omezeným nebo akciové společnosti, spolky, obecně prospěšné společnosti, státní příspěvkové organizace, veřejné výzkumné instituce. Rozhodující pro poskytnutí podpory jsou výsledky veřejných soutěží provedených podle zákona o podpoře VVI. </w:t>
      </w:r>
    </w:p>
    <w:p w14:paraId="3DE5DB74" w14:textId="77777777" w:rsidR="008678CF" w:rsidRDefault="008678CF" w:rsidP="008678CF">
      <w:pPr>
        <w:pStyle w:val="Text"/>
      </w:pPr>
      <w:r>
        <w:t>Jsou podporovány projekty v  programech, které byly zahájeny v minulých letech.</w:t>
      </w:r>
    </w:p>
    <w:p w14:paraId="3620D5B2" w14:textId="77777777" w:rsidR="00636DE9" w:rsidRPr="00636DE9" w:rsidRDefault="00636DE9" w:rsidP="00636DE9">
      <w:pPr>
        <w:rPr>
          <w:highlight w:val="yellow"/>
        </w:rPr>
      </w:pPr>
    </w:p>
    <w:p w14:paraId="24B2DE5D" w14:textId="77777777" w:rsidR="00636DE9" w:rsidRDefault="00636DE9" w:rsidP="00636DE9">
      <w:pPr>
        <w:pStyle w:val="Titulek"/>
        <w:keepNext/>
      </w:pPr>
      <w:bookmarkStart w:id="87" w:name="_Toc5965626"/>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5</w:t>
      </w:r>
      <w:r w:rsidR="005F53B0">
        <w:rPr>
          <w:noProof/>
        </w:rPr>
        <w:fldChar w:fldCharType="end"/>
      </w:r>
      <w:r>
        <w:t>: Účelová podpora VVI - Programy</w:t>
      </w:r>
      <w:bookmarkEnd w:id="87"/>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417"/>
        <w:gridCol w:w="5670"/>
        <w:gridCol w:w="1667"/>
      </w:tblGrid>
      <w:tr w:rsidR="008678CF" w14:paraId="6BE7177F" w14:textId="77777777" w:rsidTr="008678CF">
        <w:tc>
          <w:tcPr>
            <w:tcW w:w="8754" w:type="dxa"/>
            <w:gridSpan w:val="3"/>
            <w:tcBorders>
              <w:top w:val="single" w:sz="12" w:space="0" w:color="auto"/>
              <w:left w:val="single" w:sz="12" w:space="0" w:color="auto"/>
              <w:bottom w:val="nil"/>
              <w:right w:val="single" w:sz="12" w:space="0" w:color="auto"/>
            </w:tcBorders>
            <w:vAlign w:val="center"/>
            <w:hideMark/>
          </w:tcPr>
          <w:p w14:paraId="7D09614F" w14:textId="77777777" w:rsidR="008678CF" w:rsidRDefault="008678CF">
            <w:pPr>
              <w:rPr>
                <w:szCs w:val="24"/>
              </w:rPr>
            </w:pPr>
            <w:r>
              <w:rPr>
                <w:b/>
                <w:szCs w:val="24"/>
              </w:rPr>
              <w:t>Účelová podpora na výzkum, experimentální vývoj a inovace v roce 2019 v  Kč</w:t>
            </w:r>
          </w:p>
        </w:tc>
      </w:tr>
      <w:tr w:rsidR="008678CF" w14:paraId="413A6A9B" w14:textId="77777777" w:rsidTr="008678CF">
        <w:tc>
          <w:tcPr>
            <w:tcW w:w="7087" w:type="dxa"/>
            <w:gridSpan w:val="2"/>
            <w:tcBorders>
              <w:top w:val="single" w:sz="12" w:space="0" w:color="auto"/>
              <w:left w:val="single" w:sz="12" w:space="0" w:color="auto"/>
              <w:bottom w:val="nil"/>
              <w:right w:val="single" w:sz="4" w:space="0" w:color="auto"/>
            </w:tcBorders>
            <w:vAlign w:val="center"/>
            <w:hideMark/>
          </w:tcPr>
          <w:p w14:paraId="1B7D5076" w14:textId="77777777" w:rsidR="008678CF" w:rsidRDefault="008678CF">
            <w:pPr>
              <w:rPr>
                <w:szCs w:val="24"/>
              </w:rPr>
            </w:pPr>
            <w:r>
              <w:rPr>
                <w:szCs w:val="24"/>
              </w:rPr>
              <w:t>Programy aplikovaného výzkumu, experimentálního vývoje a inovací</w:t>
            </w:r>
          </w:p>
        </w:tc>
        <w:tc>
          <w:tcPr>
            <w:tcW w:w="1667" w:type="dxa"/>
            <w:tcBorders>
              <w:top w:val="single" w:sz="12" w:space="0" w:color="auto"/>
              <w:left w:val="single" w:sz="4" w:space="0" w:color="auto"/>
              <w:bottom w:val="single" w:sz="4" w:space="0" w:color="auto"/>
              <w:right w:val="single" w:sz="12" w:space="0" w:color="auto"/>
            </w:tcBorders>
            <w:hideMark/>
          </w:tcPr>
          <w:p w14:paraId="318472F2" w14:textId="77777777" w:rsidR="008678CF" w:rsidRDefault="008678CF">
            <w:pPr>
              <w:jc w:val="right"/>
              <w:rPr>
                <w:b/>
                <w:szCs w:val="24"/>
              </w:rPr>
            </w:pPr>
            <w:r>
              <w:rPr>
                <w:b/>
                <w:szCs w:val="24"/>
              </w:rPr>
              <w:t>2 356 122 230</w:t>
            </w:r>
          </w:p>
        </w:tc>
      </w:tr>
      <w:tr w:rsidR="008678CF" w14:paraId="4BF487B9" w14:textId="77777777" w:rsidTr="008678CF">
        <w:tc>
          <w:tcPr>
            <w:tcW w:w="1417" w:type="dxa"/>
            <w:vMerge w:val="restart"/>
            <w:tcBorders>
              <w:top w:val="nil"/>
              <w:left w:val="single" w:sz="12" w:space="0" w:color="auto"/>
              <w:bottom w:val="single" w:sz="12" w:space="0" w:color="auto"/>
              <w:right w:val="single" w:sz="4" w:space="0" w:color="auto"/>
            </w:tcBorders>
          </w:tcPr>
          <w:p w14:paraId="79189B17" w14:textId="77777777" w:rsidR="008678CF" w:rsidRDefault="008678CF">
            <w:pPr>
              <w:rPr>
                <w:szCs w:val="24"/>
              </w:rPr>
            </w:pPr>
          </w:p>
        </w:tc>
        <w:tc>
          <w:tcPr>
            <w:tcW w:w="5670" w:type="dxa"/>
            <w:tcBorders>
              <w:top w:val="single" w:sz="4" w:space="0" w:color="auto"/>
              <w:left w:val="single" w:sz="4" w:space="0" w:color="auto"/>
              <w:bottom w:val="single" w:sz="4" w:space="0" w:color="auto"/>
              <w:right w:val="single" w:sz="4" w:space="0" w:color="auto"/>
            </w:tcBorders>
            <w:hideMark/>
          </w:tcPr>
          <w:p w14:paraId="4002B8F1" w14:textId="77777777" w:rsidR="008678CF" w:rsidRDefault="008678CF">
            <w:pPr>
              <w:rPr>
                <w:szCs w:val="24"/>
              </w:rPr>
            </w:pPr>
            <w:r>
              <w:rPr>
                <w:szCs w:val="24"/>
              </w:rPr>
              <w:t>ERC CZ</w:t>
            </w:r>
            <w:r>
              <w:rPr>
                <w:rStyle w:val="Znakapoznpodarou"/>
                <w:szCs w:val="24"/>
              </w:rPr>
              <w:footnoteReference w:id="11"/>
            </w:r>
          </w:p>
        </w:tc>
        <w:tc>
          <w:tcPr>
            <w:tcW w:w="1667" w:type="dxa"/>
            <w:tcBorders>
              <w:top w:val="single" w:sz="4" w:space="0" w:color="auto"/>
              <w:left w:val="single" w:sz="4" w:space="0" w:color="auto"/>
              <w:bottom w:val="single" w:sz="4" w:space="0" w:color="auto"/>
              <w:right w:val="single" w:sz="12" w:space="0" w:color="auto"/>
            </w:tcBorders>
            <w:hideMark/>
          </w:tcPr>
          <w:p w14:paraId="437DCB7E" w14:textId="77777777" w:rsidR="008678CF" w:rsidRDefault="008678CF">
            <w:pPr>
              <w:jc w:val="right"/>
              <w:rPr>
                <w:szCs w:val="24"/>
              </w:rPr>
            </w:pPr>
            <w:r>
              <w:rPr>
                <w:szCs w:val="24"/>
              </w:rPr>
              <w:t>26 683 000</w:t>
            </w:r>
          </w:p>
        </w:tc>
      </w:tr>
      <w:tr w:rsidR="008678CF" w14:paraId="6254CD72" w14:textId="77777777" w:rsidTr="00636DE9">
        <w:tc>
          <w:tcPr>
            <w:tcW w:w="1417" w:type="dxa"/>
            <w:vMerge/>
            <w:tcBorders>
              <w:top w:val="nil"/>
              <w:left w:val="single" w:sz="12" w:space="0" w:color="auto"/>
              <w:bottom w:val="single" w:sz="12" w:space="0" w:color="auto"/>
              <w:right w:val="single" w:sz="4" w:space="0" w:color="auto"/>
            </w:tcBorders>
            <w:vAlign w:val="center"/>
            <w:hideMark/>
          </w:tcPr>
          <w:p w14:paraId="7F07B412" w14:textId="77777777" w:rsidR="008678CF" w:rsidRDefault="008678CF">
            <w:pPr>
              <w:jc w:val="left"/>
              <w:rPr>
                <w:szCs w:val="24"/>
              </w:rPr>
            </w:pPr>
          </w:p>
        </w:tc>
        <w:tc>
          <w:tcPr>
            <w:tcW w:w="5670" w:type="dxa"/>
            <w:tcBorders>
              <w:top w:val="single" w:sz="4" w:space="0" w:color="auto"/>
              <w:left w:val="single" w:sz="4" w:space="0" w:color="auto"/>
              <w:bottom w:val="single" w:sz="4" w:space="0" w:color="auto"/>
              <w:right w:val="single" w:sz="4" w:space="0" w:color="auto"/>
            </w:tcBorders>
            <w:hideMark/>
          </w:tcPr>
          <w:p w14:paraId="65941E02" w14:textId="77777777" w:rsidR="008678CF" w:rsidRDefault="008678CF">
            <w:pPr>
              <w:rPr>
                <w:szCs w:val="24"/>
              </w:rPr>
            </w:pPr>
            <w:r>
              <w:rPr>
                <w:szCs w:val="24"/>
              </w:rPr>
              <w:t>Národní program udržitelnosti I</w:t>
            </w:r>
            <w:r>
              <w:rPr>
                <w:rStyle w:val="Znakapoznpodarou"/>
                <w:szCs w:val="24"/>
              </w:rPr>
              <w:footnoteReference w:id="12"/>
            </w:r>
          </w:p>
        </w:tc>
        <w:tc>
          <w:tcPr>
            <w:tcW w:w="1667" w:type="dxa"/>
            <w:tcBorders>
              <w:top w:val="single" w:sz="4" w:space="0" w:color="auto"/>
              <w:left w:val="single" w:sz="4" w:space="0" w:color="auto"/>
              <w:bottom w:val="single" w:sz="4" w:space="0" w:color="auto"/>
              <w:right w:val="single" w:sz="12" w:space="0" w:color="auto"/>
            </w:tcBorders>
            <w:hideMark/>
          </w:tcPr>
          <w:p w14:paraId="7E501C26" w14:textId="77777777" w:rsidR="008678CF" w:rsidRDefault="008678CF">
            <w:pPr>
              <w:jc w:val="right"/>
              <w:rPr>
                <w:szCs w:val="24"/>
                <w:highlight w:val="yellow"/>
              </w:rPr>
            </w:pPr>
            <w:r>
              <w:t>852 016 000</w:t>
            </w:r>
          </w:p>
        </w:tc>
      </w:tr>
      <w:tr w:rsidR="008678CF" w14:paraId="4BEF1030" w14:textId="77777777" w:rsidTr="00636DE9">
        <w:tc>
          <w:tcPr>
            <w:tcW w:w="1417" w:type="dxa"/>
            <w:vMerge/>
            <w:tcBorders>
              <w:top w:val="nil"/>
              <w:left w:val="single" w:sz="12" w:space="0" w:color="auto"/>
              <w:bottom w:val="single" w:sz="12" w:space="0" w:color="auto"/>
              <w:right w:val="single" w:sz="4" w:space="0" w:color="auto"/>
            </w:tcBorders>
            <w:vAlign w:val="center"/>
            <w:hideMark/>
          </w:tcPr>
          <w:p w14:paraId="6A5A8121" w14:textId="77777777" w:rsidR="008678CF" w:rsidRDefault="008678CF">
            <w:pPr>
              <w:jc w:val="left"/>
              <w:rPr>
                <w:szCs w:val="24"/>
              </w:rPr>
            </w:pPr>
          </w:p>
        </w:tc>
        <w:tc>
          <w:tcPr>
            <w:tcW w:w="5670" w:type="dxa"/>
            <w:tcBorders>
              <w:top w:val="single" w:sz="4" w:space="0" w:color="auto"/>
              <w:left w:val="single" w:sz="4" w:space="0" w:color="auto"/>
              <w:bottom w:val="single" w:sz="4" w:space="0" w:color="auto"/>
              <w:right w:val="single" w:sz="4" w:space="0" w:color="auto"/>
            </w:tcBorders>
            <w:hideMark/>
          </w:tcPr>
          <w:p w14:paraId="2D18AC5A" w14:textId="77777777" w:rsidR="008678CF" w:rsidRDefault="008678CF">
            <w:pPr>
              <w:rPr>
                <w:szCs w:val="24"/>
              </w:rPr>
            </w:pPr>
            <w:r>
              <w:rPr>
                <w:szCs w:val="24"/>
              </w:rPr>
              <w:t>Národní program udržitelnosti II</w:t>
            </w:r>
            <w:r>
              <w:rPr>
                <w:rStyle w:val="Znakapoznpodarou"/>
                <w:szCs w:val="24"/>
              </w:rPr>
              <w:footnoteReference w:id="13"/>
            </w:r>
          </w:p>
        </w:tc>
        <w:tc>
          <w:tcPr>
            <w:tcW w:w="1667" w:type="dxa"/>
            <w:tcBorders>
              <w:top w:val="single" w:sz="4" w:space="0" w:color="auto"/>
              <w:left w:val="single" w:sz="4" w:space="0" w:color="auto"/>
              <w:bottom w:val="single" w:sz="4" w:space="0" w:color="auto"/>
              <w:right w:val="single" w:sz="12" w:space="0" w:color="auto"/>
            </w:tcBorders>
            <w:hideMark/>
          </w:tcPr>
          <w:p w14:paraId="2698B89C" w14:textId="77777777" w:rsidR="008678CF" w:rsidRDefault="008678CF">
            <w:pPr>
              <w:jc w:val="right"/>
              <w:rPr>
                <w:szCs w:val="24"/>
              </w:rPr>
            </w:pPr>
            <w:r>
              <w:rPr>
                <w:szCs w:val="24"/>
              </w:rPr>
              <w:t>717 394 000</w:t>
            </w:r>
          </w:p>
        </w:tc>
      </w:tr>
      <w:tr w:rsidR="008678CF" w14:paraId="5B5B0C48" w14:textId="77777777" w:rsidTr="00636DE9">
        <w:tc>
          <w:tcPr>
            <w:tcW w:w="1417" w:type="dxa"/>
            <w:vMerge/>
            <w:tcBorders>
              <w:top w:val="nil"/>
              <w:left w:val="single" w:sz="12" w:space="0" w:color="auto"/>
              <w:bottom w:val="single" w:sz="12" w:space="0" w:color="auto"/>
              <w:right w:val="single" w:sz="4" w:space="0" w:color="auto"/>
            </w:tcBorders>
            <w:vAlign w:val="center"/>
            <w:hideMark/>
          </w:tcPr>
          <w:p w14:paraId="2D4CE146" w14:textId="77777777" w:rsidR="008678CF" w:rsidRDefault="008678CF">
            <w:pPr>
              <w:jc w:val="left"/>
              <w:rPr>
                <w:szCs w:val="24"/>
              </w:rPr>
            </w:pPr>
          </w:p>
        </w:tc>
        <w:tc>
          <w:tcPr>
            <w:tcW w:w="5670" w:type="dxa"/>
            <w:tcBorders>
              <w:top w:val="single" w:sz="4" w:space="0" w:color="auto"/>
              <w:left w:val="single" w:sz="4" w:space="0" w:color="auto"/>
              <w:bottom w:val="single" w:sz="12" w:space="0" w:color="auto"/>
              <w:right w:val="single" w:sz="4" w:space="0" w:color="auto"/>
            </w:tcBorders>
            <w:hideMark/>
          </w:tcPr>
          <w:p w14:paraId="796AFA1E" w14:textId="77777777" w:rsidR="008678CF" w:rsidRDefault="008678CF">
            <w:pPr>
              <w:rPr>
                <w:szCs w:val="24"/>
              </w:rPr>
            </w:pPr>
            <w:r>
              <w:rPr>
                <w:szCs w:val="24"/>
              </w:rPr>
              <w:t xml:space="preserve">INTER-EXCELLENCE </w:t>
            </w:r>
            <w:r>
              <w:rPr>
                <w:rStyle w:val="Znakapoznpodarou"/>
                <w:szCs w:val="24"/>
              </w:rPr>
              <w:footnoteReference w:id="14"/>
            </w:r>
          </w:p>
        </w:tc>
        <w:tc>
          <w:tcPr>
            <w:tcW w:w="1667" w:type="dxa"/>
            <w:tcBorders>
              <w:top w:val="single" w:sz="4" w:space="0" w:color="auto"/>
              <w:left w:val="single" w:sz="4" w:space="0" w:color="auto"/>
              <w:bottom w:val="single" w:sz="12" w:space="0" w:color="auto"/>
              <w:right w:val="single" w:sz="12" w:space="0" w:color="auto"/>
            </w:tcBorders>
            <w:hideMark/>
          </w:tcPr>
          <w:p w14:paraId="180A39E0" w14:textId="77777777" w:rsidR="008678CF" w:rsidRDefault="008678CF">
            <w:pPr>
              <w:jc w:val="right"/>
              <w:rPr>
                <w:szCs w:val="24"/>
              </w:rPr>
            </w:pPr>
            <w:r>
              <w:rPr>
                <w:szCs w:val="24"/>
              </w:rPr>
              <w:t>760 029 230</w:t>
            </w:r>
          </w:p>
        </w:tc>
      </w:tr>
    </w:tbl>
    <w:p w14:paraId="4EF3120D" w14:textId="77777777" w:rsidR="008678CF" w:rsidRDefault="008678CF" w:rsidP="008678CF">
      <w:pPr>
        <w:rPr>
          <w:rStyle w:val="Zvraznn"/>
          <w:u w:val="single"/>
        </w:rPr>
      </w:pPr>
    </w:p>
    <w:p w14:paraId="5E086C24" w14:textId="77777777" w:rsidR="008678CF" w:rsidRDefault="008678CF" w:rsidP="008678CF">
      <w:pPr>
        <w:rPr>
          <w:rStyle w:val="Zvraznn"/>
          <w:u w:val="single"/>
        </w:rPr>
      </w:pPr>
      <w:r>
        <w:rPr>
          <w:rStyle w:val="Zvraznn"/>
          <w:u w:val="single"/>
        </w:rPr>
        <w:t>Účelové prostředky na specifický vysokoškolský výzkum</w:t>
      </w:r>
    </w:p>
    <w:p w14:paraId="04297EBE" w14:textId="77777777" w:rsidR="008678CF" w:rsidRDefault="008678CF" w:rsidP="008678CF">
      <w:pPr>
        <w:rPr>
          <w:szCs w:val="24"/>
        </w:rPr>
      </w:pPr>
    </w:p>
    <w:p w14:paraId="46EFF472" w14:textId="77777777" w:rsidR="008678CF" w:rsidRDefault="008678CF" w:rsidP="00911311">
      <w:pPr>
        <w:pStyle w:val="Text"/>
      </w:pPr>
      <w:r>
        <w:t xml:space="preserve">Na specifický vysokoškolský výzkum MŠMT poskytne v roce 2019 prostředky ve výši </w:t>
      </w:r>
      <w:r>
        <w:rPr>
          <w:b/>
        </w:rPr>
        <w:t>1 165 308 000 Kč</w:t>
      </w:r>
      <w:r>
        <w:t>. Tyto prostředky jsou poskytovány podle Pravidel pro poskytování účelové podpory na specifický vysokoškolský výzkum podle zákona o podpoře výzkumu, experimentálního vývoje a inovací, schválených usnesením vlády České republiky ze dne 17. srpna 2009 č. 1021 s využitím vzorce pro rozdělení dotace zveřejněného na internetové adrese:</w:t>
      </w:r>
    </w:p>
    <w:p w14:paraId="7E81A6CE" w14:textId="77777777" w:rsidR="008678CF" w:rsidRDefault="003D012B" w:rsidP="008678CF">
      <w:pPr>
        <w:rPr>
          <w:rFonts w:cs="Calibri"/>
          <w:szCs w:val="24"/>
        </w:rPr>
      </w:pPr>
      <w:hyperlink r:id="rId10" w:history="1">
        <w:r w:rsidR="008678CF">
          <w:rPr>
            <w:rStyle w:val="Hypertextovodkaz"/>
            <w:rFonts w:cs="Calibri"/>
            <w:szCs w:val="24"/>
          </w:rPr>
          <w:t>http://www.msmt.cz/vyzkum-a-vyvoj/stanoveni-koeficientu-pro-vypocet-ucelove-podpory-na</w:t>
        </w:r>
      </w:hyperlink>
    </w:p>
    <w:p w14:paraId="4EE93488" w14:textId="77777777" w:rsidR="008678CF" w:rsidRDefault="008678CF" w:rsidP="008678CF">
      <w:pPr>
        <w:rPr>
          <w:rFonts w:cs="Calibri"/>
          <w:szCs w:val="24"/>
        </w:rPr>
      </w:pPr>
    </w:p>
    <w:p w14:paraId="63911D72" w14:textId="77777777" w:rsidR="00636DE9" w:rsidRDefault="00636DE9" w:rsidP="00636DE9">
      <w:pPr>
        <w:pStyle w:val="Titulek"/>
        <w:keepNext/>
      </w:pPr>
      <w:bookmarkStart w:id="88" w:name="_Toc5965627"/>
      <w:r>
        <w:lastRenderedPageBreak/>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6</w:t>
      </w:r>
      <w:r w:rsidR="005F53B0">
        <w:rPr>
          <w:noProof/>
        </w:rPr>
        <w:fldChar w:fldCharType="end"/>
      </w:r>
      <w:r>
        <w:t>: Příjemci – Specifický vysokoškolský výzkum</w:t>
      </w:r>
      <w:bookmarkEnd w:id="88"/>
    </w:p>
    <w:tbl>
      <w:tblPr>
        <w:tblW w:w="0" w:type="auto"/>
        <w:tblInd w:w="30" w:type="dxa"/>
        <w:tblBorders>
          <w:top w:val="single" w:sz="12" w:space="0" w:color="auto"/>
          <w:left w:val="single" w:sz="12" w:space="0" w:color="auto"/>
          <w:bottom w:val="single" w:sz="12" w:space="0" w:color="auto"/>
          <w:right w:val="single" w:sz="12" w:space="0" w:color="auto"/>
        </w:tblBorders>
        <w:tblLayout w:type="fixed"/>
        <w:tblCellMar>
          <w:left w:w="30" w:type="dxa"/>
          <w:right w:w="30" w:type="dxa"/>
        </w:tblCellMar>
        <w:tblLook w:val="04A0" w:firstRow="1" w:lastRow="0" w:firstColumn="1" w:lastColumn="0" w:noHBand="0" w:noVBand="1"/>
      </w:tblPr>
      <w:tblGrid>
        <w:gridCol w:w="6378"/>
        <w:gridCol w:w="2411"/>
      </w:tblGrid>
      <w:tr w:rsidR="008678CF" w14:paraId="0E318AF8" w14:textId="77777777" w:rsidTr="00A176BD">
        <w:trPr>
          <w:trHeight w:val="797"/>
        </w:trPr>
        <w:tc>
          <w:tcPr>
            <w:tcW w:w="6378" w:type="dxa"/>
            <w:tcBorders>
              <w:top w:val="single" w:sz="12" w:space="0" w:color="auto"/>
              <w:left w:val="single" w:sz="12" w:space="0" w:color="auto"/>
              <w:bottom w:val="single" w:sz="12" w:space="0" w:color="auto"/>
              <w:right w:val="single" w:sz="4" w:space="0" w:color="auto"/>
            </w:tcBorders>
            <w:vAlign w:val="center"/>
            <w:hideMark/>
          </w:tcPr>
          <w:p w14:paraId="512388A9" w14:textId="77777777" w:rsidR="008678CF" w:rsidRDefault="008678CF">
            <w:pPr>
              <w:jc w:val="center"/>
              <w:rPr>
                <w:snapToGrid w:val="0"/>
                <w:sz w:val="23"/>
                <w:szCs w:val="23"/>
              </w:rPr>
            </w:pPr>
            <w:r>
              <w:rPr>
                <w:snapToGrid w:val="0"/>
                <w:sz w:val="23"/>
                <w:szCs w:val="23"/>
              </w:rPr>
              <w:t>Příjemce</w:t>
            </w:r>
          </w:p>
        </w:tc>
        <w:tc>
          <w:tcPr>
            <w:tcW w:w="2411" w:type="dxa"/>
            <w:tcBorders>
              <w:top w:val="single" w:sz="12" w:space="0" w:color="auto"/>
              <w:left w:val="single" w:sz="4" w:space="0" w:color="auto"/>
              <w:bottom w:val="single" w:sz="12" w:space="0" w:color="auto"/>
              <w:right w:val="single" w:sz="12" w:space="0" w:color="auto"/>
            </w:tcBorders>
            <w:vAlign w:val="center"/>
            <w:hideMark/>
          </w:tcPr>
          <w:p w14:paraId="5B3EAAF6" w14:textId="77777777" w:rsidR="008678CF" w:rsidRDefault="008678CF">
            <w:pPr>
              <w:jc w:val="center"/>
              <w:rPr>
                <w:snapToGrid w:val="0"/>
                <w:sz w:val="23"/>
                <w:szCs w:val="23"/>
              </w:rPr>
            </w:pPr>
            <w:r>
              <w:rPr>
                <w:snapToGrid w:val="0"/>
                <w:sz w:val="23"/>
                <w:szCs w:val="23"/>
              </w:rPr>
              <w:t>Specifický vysokoškolský výzkum v roce 2019 v Kč</w:t>
            </w:r>
          </w:p>
        </w:tc>
      </w:tr>
      <w:tr w:rsidR="008678CF" w14:paraId="342B41B1" w14:textId="77777777" w:rsidTr="00A176BD">
        <w:trPr>
          <w:trHeight w:val="255"/>
        </w:trPr>
        <w:tc>
          <w:tcPr>
            <w:tcW w:w="6378" w:type="dxa"/>
            <w:tcBorders>
              <w:top w:val="single" w:sz="12"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DACF947" w14:textId="77777777" w:rsidR="008678CF" w:rsidRDefault="008678CF">
            <w:pPr>
              <w:rPr>
                <w:snapToGrid w:val="0"/>
                <w:sz w:val="23"/>
                <w:szCs w:val="23"/>
              </w:rPr>
            </w:pPr>
            <w:r>
              <w:rPr>
                <w:snapToGrid w:val="0"/>
                <w:sz w:val="23"/>
                <w:szCs w:val="23"/>
              </w:rPr>
              <w:t>Akademie múzických umění v Praze</w:t>
            </w:r>
          </w:p>
        </w:tc>
        <w:tc>
          <w:tcPr>
            <w:tcW w:w="2411" w:type="dxa"/>
            <w:tcBorders>
              <w:top w:val="single" w:sz="12"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FE3E094" w14:textId="77777777" w:rsidR="008678CF" w:rsidRDefault="008678CF">
            <w:pPr>
              <w:jc w:val="right"/>
              <w:rPr>
                <w:sz w:val="22"/>
                <w:szCs w:val="22"/>
              </w:rPr>
            </w:pPr>
            <w:r>
              <w:rPr>
                <w:sz w:val="22"/>
                <w:szCs w:val="22"/>
              </w:rPr>
              <w:t>3 863 376</w:t>
            </w:r>
          </w:p>
        </w:tc>
      </w:tr>
      <w:tr w:rsidR="008678CF" w14:paraId="67E1D31A"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A83F86B" w14:textId="77777777" w:rsidR="008678CF" w:rsidRDefault="008678CF">
            <w:pPr>
              <w:rPr>
                <w:snapToGrid w:val="0"/>
                <w:sz w:val="23"/>
                <w:szCs w:val="23"/>
              </w:rPr>
            </w:pPr>
            <w:r>
              <w:rPr>
                <w:snapToGrid w:val="0"/>
                <w:sz w:val="23"/>
                <w:szCs w:val="23"/>
              </w:rPr>
              <w:t>Akademie výtvarných umění v Praze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33DE07E6" w14:textId="77777777" w:rsidR="008678CF" w:rsidRDefault="008678CF">
            <w:pPr>
              <w:jc w:val="right"/>
              <w:rPr>
                <w:sz w:val="22"/>
                <w:szCs w:val="22"/>
              </w:rPr>
            </w:pPr>
            <w:r>
              <w:rPr>
                <w:sz w:val="22"/>
                <w:szCs w:val="22"/>
              </w:rPr>
              <w:t>986 787</w:t>
            </w:r>
          </w:p>
        </w:tc>
      </w:tr>
      <w:tr w:rsidR="008678CF" w14:paraId="1C0D986F"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D6C7066" w14:textId="77777777" w:rsidR="008678CF" w:rsidRDefault="008678CF">
            <w:pPr>
              <w:rPr>
                <w:snapToGrid w:val="0"/>
                <w:sz w:val="23"/>
                <w:szCs w:val="23"/>
              </w:rPr>
            </w:pPr>
            <w:r>
              <w:rPr>
                <w:snapToGrid w:val="0"/>
                <w:sz w:val="23"/>
                <w:szCs w:val="23"/>
              </w:rPr>
              <w:t>Česká zemědělská univerzita v Praze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2420DEBC" w14:textId="77777777" w:rsidR="008678CF" w:rsidRDefault="008678CF">
            <w:pPr>
              <w:jc w:val="right"/>
              <w:rPr>
                <w:sz w:val="22"/>
                <w:szCs w:val="22"/>
              </w:rPr>
            </w:pPr>
            <w:r>
              <w:rPr>
                <w:sz w:val="22"/>
                <w:szCs w:val="22"/>
              </w:rPr>
              <w:t>49 220 327</w:t>
            </w:r>
          </w:p>
        </w:tc>
      </w:tr>
      <w:tr w:rsidR="008678CF" w14:paraId="325F8AF5"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09D8E66" w14:textId="77777777" w:rsidR="008678CF" w:rsidRDefault="008678CF">
            <w:pPr>
              <w:rPr>
                <w:snapToGrid w:val="0"/>
                <w:sz w:val="23"/>
                <w:szCs w:val="23"/>
              </w:rPr>
            </w:pPr>
            <w:r>
              <w:rPr>
                <w:snapToGrid w:val="0"/>
                <w:sz w:val="23"/>
                <w:szCs w:val="23"/>
              </w:rPr>
              <w:t>České vysoké učení technické v Praze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76CC21C" w14:textId="77777777" w:rsidR="008678CF" w:rsidRDefault="008678CF">
            <w:pPr>
              <w:jc w:val="right"/>
              <w:rPr>
                <w:sz w:val="22"/>
                <w:szCs w:val="22"/>
              </w:rPr>
            </w:pPr>
            <w:r>
              <w:rPr>
                <w:sz w:val="22"/>
                <w:szCs w:val="22"/>
              </w:rPr>
              <w:t>114 772 045</w:t>
            </w:r>
          </w:p>
        </w:tc>
      </w:tr>
      <w:tr w:rsidR="008678CF" w14:paraId="64E2DF0A"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662AA3B" w14:textId="77777777" w:rsidR="008678CF" w:rsidRDefault="008678CF">
            <w:pPr>
              <w:rPr>
                <w:snapToGrid w:val="0"/>
                <w:sz w:val="23"/>
                <w:szCs w:val="23"/>
              </w:rPr>
            </w:pPr>
            <w:r>
              <w:rPr>
                <w:snapToGrid w:val="0"/>
                <w:sz w:val="23"/>
                <w:szCs w:val="23"/>
              </w:rPr>
              <w:t>Janáčkova akademie múzických umění v Brně</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2294903" w14:textId="77777777" w:rsidR="008678CF" w:rsidRDefault="008678CF">
            <w:pPr>
              <w:jc w:val="right"/>
              <w:rPr>
                <w:sz w:val="22"/>
                <w:szCs w:val="22"/>
              </w:rPr>
            </w:pPr>
            <w:r>
              <w:rPr>
                <w:sz w:val="22"/>
                <w:szCs w:val="22"/>
              </w:rPr>
              <w:t>1 382 950</w:t>
            </w:r>
          </w:p>
        </w:tc>
      </w:tr>
      <w:tr w:rsidR="008678CF" w14:paraId="72F218BB"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E937280" w14:textId="77777777" w:rsidR="008678CF" w:rsidRDefault="008678CF">
            <w:pPr>
              <w:rPr>
                <w:snapToGrid w:val="0"/>
                <w:sz w:val="23"/>
                <w:szCs w:val="23"/>
              </w:rPr>
            </w:pPr>
            <w:r>
              <w:rPr>
                <w:snapToGrid w:val="0"/>
                <w:sz w:val="23"/>
                <w:szCs w:val="23"/>
              </w:rPr>
              <w:t>Jihočeská univerzita v Českých Budějovicích</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299C799C" w14:textId="77777777" w:rsidR="008678CF" w:rsidRDefault="008678CF">
            <w:pPr>
              <w:jc w:val="right"/>
              <w:rPr>
                <w:sz w:val="22"/>
                <w:szCs w:val="22"/>
              </w:rPr>
            </w:pPr>
            <w:r>
              <w:rPr>
                <w:sz w:val="22"/>
                <w:szCs w:val="22"/>
              </w:rPr>
              <w:t>37 895 729</w:t>
            </w:r>
          </w:p>
        </w:tc>
      </w:tr>
      <w:tr w:rsidR="008678CF" w14:paraId="2C660343"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4CABAD94" w14:textId="77777777" w:rsidR="008678CF" w:rsidRDefault="008678CF">
            <w:pPr>
              <w:rPr>
                <w:snapToGrid w:val="0"/>
                <w:sz w:val="23"/>
                <w:szCs w:val="23"/>
              </w:rPr>
            </w:pPr>
            <w:r>
              <w:rPr>
                <w:snapToGrid w:val="0"/>
                <w:sz w:val="23"/>
                <w:szCs w:val="23"/>
              </w:rPr>
              <w:t>Masarykova univerzita</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12ED31D" w14:textId="77777777" w:rsidR="008678CF" w:rsidRDefault="008678CF">
            <w:pPr>
              <w:jc w:val="right"/>
              <w:rPr>
                <w:sz w:val="22"/>
                <w:szCs w:val="22"/>
              </w:rPr>
            </w:pPr>
            <w:r>
              <w:rPr>
                <w:sz w:val="22"/>
                <w:szCs w:val="22"/>
              </w:rPr>
              <w:t>136 285 195</w:t>
            </w:r>
          </w:p>
        </w:tc>
      </w:tr>
      <w:tr w:rsidR="008678CF" w14:paraId="004D6F9B"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097E167" w14:textId="77777777" w:rsidR="008678CF" w:rsidRDefault="008678CF">
            <w:pPr>
              <w:rPr>
                <w:snapToGrid w:val="0"/>
                <w:sz w:val="23"/>
                <w:szCs w:val="23"/>
              </w:rPr>
            </w:pPr>
            <w:r>
              <w:rPr>
                <w:snapToGrid w:val="0"/>
                <w:sz w:val="23"/>
                <w:szCs w:val="23"/>
              </w:rPr>
              <w:t>Mendelova univerzita v Brně</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3DAF11DF" w14:textId="77777777" w:rsidR="008678CF" w:rsidRDefault="008678CF">
            <w:pPr>
              <w:jc w:val="right"/>
              <w:rPr>
                <w:sz w:val="22"/>
                <w:szCs w:val="22"/>
              </w:rPr>
            </w:pPr>
            <w:r>
              <w:rPr>
                <w:sz w:val="22"/>
                <w:szCs w:val="22"/>
              </w:rPr>
              <w:t>33 837 672</w:t>
            </w:r>
          </w:p>
        </w:tc>
      </w:tr>
      <w:tr w:rsidR="008678CF" w14:paraId="045F6D2A"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5BF4DBF" w14:textId="77777777" w:rsidR="008678CF" w:rsidRDefault="008678CF">
            <w:pPr>
              <w:rPr>
                <w:snapToGrid w:val="0"/>
                <w:sz w:val="23"/>
                <w:szCs w:val="23"/>
              </w:rPr>
            </w:pPr>
            <w:r>
              <w:rPr>
                <w:snapToGrid w:val="0"/>
                <w:sz w:val="23"/>
                <w:szCs w:val="23"/>
              </w:rPr>
              <w:t>Ostravská univerzita</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7167A53" w14:textId="77777777" w:rsidR="008678CF" w:rsidRDefault="008678CF">
            <w:pPr>
              <w:jc w:val="right"/>
              <w:rPr>
                <w:sz w:val="22"/>
                <w:szCs w:val="22"/>
              </w:rPr>
            </w:pPr>
            <w:r>
              <w:rPr>
                <w:sz w:val="22"/>
                <w:szCs w:val="22"/>
              </w:rPr>
              <w:t>21 213 593</w:t>
            </w:r>
          </w:p>
        </w:tc>
      </w:tr>
      <w:tr w:rsidR="008678CF" w14:paraId="0AF3E8D6"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5BEBA1C6" w14:textId="77777777" w:rsidR="008678CF" w:rsidRDefault="008678CF">
            <w:pPr>
              <w:rPr>
                <w:snapToGrid w:val="0"/>
                <w:sz w:val="23"/>
                <w:szCs w:val="23"/>
              </w:rPr>
            </w:pPr>
            <w:r>
              <w:rPr>
                <w:snapToGrid w:val="0"/>
                <w:sz w:val="23"/>
                <w:szCs w:val="23"/>
              </w:rPr>
              <w:t>Slezská univerzita v Opavě</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9AA07A3" w14:textId="77777777" w:rsidR="008678CF" w:rsidRDefault="008678CF">
            <w:pPr>
              <w:jc w:val="right"/>
              <w:rPr>
                <w:sz w:val="22"/>
                <w:szCs w:val="22"/>
              </w:rPr>
            </w:pPr>
            <w:r>
              <w:rPr>
                <w:sz w:val="22"/>
                <w:szCs w:val="22"/>
              </w:rPr>
              <w:t>10 026 412</w:t>
            </w:r>
          </w:p>
        </w:tc>
      </w:tr>
      <w:tr w:rsidR="008678CF" w14:paraId="2B7AED68"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4A380D84" w14:textId="77777777" w:rsidR="008678CF" w:rsidRDefault="008678CF">
            <w:pPr>
              <w:rPr>
                <w:snapToGrid w:val="0"/>
                <w:sz w:val="23"/>
                <w:szCs w:val="23"/>
              </w:rPr>
            </w:pPr>
            <w:r>
              <w:rPr>
                <w:snapToGrid w:val="0"/>
                <w:sz w:val="23"/>
                <w:szCs w:val="23"/>
              </w:rPr>
              <w:t>Technická univerzita v Liberci</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36B6E7F" w14:textId="77777777" w:rsidR="008678CF" w:rsidRDefault="008678CF">
            <w:pPr>
              <w:jc w:val="right"/>
              <w:rPr>
                <w:sz w:val="22"/>
                <w:szCs w:val="22"/>
              </w:rPr>
            </w:pPr>
            <w:r>
              <w:rPr>
                <w:sz w:val="22"/>
                <w:szCs w:val="22"/>
              </w:rPr>
              <w:t>20 857 031</w:t>
            </w:r>
          </w:p>
        </w:tc>
      </w:tr>
      <w:tr w:rsidR="008678CF" w14:paraId="129E5D7A"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5F27E82" w14:textId="77777777" w:rsidR="008678CF" w:rsidRDefault="008678CF">
            <w:pPr>
              <w:rPr>
                <w:snapToGrid w:val="0"/>
                <w:sz w:val="23"/>
                <w:szCs w:val="23"/>
              </w:rPr>
            </w:pPr>
            <w:r>
              <w:rPr>
                <w:snapToGrid w:val="0"/>
                <w:sz w:val="23"/>
                <w:szCs w:val="23"/>
              </w:rPr>
              <w:t>Univerzita Hradec Králové</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2EBFEE4" w14:textId="77777777" w:rsidR="008678CF" w:rsidRDefault="008678CF">
            <w:pPr>
              <w:jc w:val="right"/>
              <w:rPr>
                <w:sz w:val="22"/>
                <w:szCs w:val="22"/>
              </w:rPr>
            </w:pPr>
            <w:r>
              <w:rPr>
                <w:sz w:val="22"/>
                <w:szCs w:val="22"/>
              </w:rPr>
              <w:t>11 968 488</w:t>
            </w:r>
          </w:p>
        </w:tc>
      </w:tr>
      <w:tr w:rsidR="008678CF" w14:paraId="285DEBD6"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074D355" w14:textId="77777777" w:rsidR="008678CF" w:rsidRDefault="008678CF">
            <w:pPr>
              <w:rPr>
                <w:snapToGrid w:val="0"/>
                <w:sz w:val="23"/>
                <w:szCs w:val="23"/>
              </w:rPr>
            </w:pPr>
            <w:r>
              <w:rPr>
                <w:snapToGrid w:val="0"/>
                <w:sz w:val="23"/>
                <w:szCs w:val="23"/>
              </w:rPr>
              <w:t>Univerzita Jana Evangelisty Purkyně v Ústí nad Labem</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CDC3EB0" w14:textId="77777777" w:rsidR="008678CF" w:rsidRDefault="008678CF">
            <w:pPr>
              <w:jc w:val="right"/>
              <w:rPr>
                <w:sz w:val="22"/>
                <w:szCs w:val="22"/>
              </w:rPr>
            </w:pPr>
            <w:r>
              <w:rPr>
                <w:sz w:val="22"/>
                <w:szCs w:val="22"/>
              </w:rPr>
              <w:t>12 282 038</w:t>
            </w:r>
          </w:p>
        </w:tc>
      </w:tr>
      <w:tr w:rsidR="008678CF" w14:paraId="4469139B"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62D3AFF" w14:textId="77777777" w:rsidR="008678CF" w:rsidRDefault="008678CF">
            <w:pPr>
              <w:rPr>
                <w:snapToGrid w:val="0"/>
                <w:sz w:val="23"/>
                <w:szCs w:val="23"/>
              </w:rPr>
            </w:pPr>
            <w:r>
              <w:rPr>
                <w:snapToGrid w:val="0"/>
                <w:sz w:val="23"/>
                <w:szCs w:val="23"/>
              </w:rPr>
              <w:t>Univerzita Karlova</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03D22B4" w14:textId="77777777" w:rsidR="008678CF" w:rsidRDefault="008678CF">
            <w:pPr>
              <w:jc w:val="right"/>
              <w:rPr>
                <w:sz w:val="22"/>
                <w:szCs w:val="22"/>
              </w:rPr>
            </w:pPr>
            <w:r>
              <w:rPr>
                <w:sz w:val="22"/>
                <w:szCs w:val="22"/>
              </w:rPr>
              <w:t>287 393 312</w:t>
            </w:r>
          </w:p>
        </w:tc>
      </w:tr>
      <w:tr w:rsidR="008678CF" w14:paraId="7D66F793"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0E21EE57" w14:textId="77777777" w:rsidR="008678CF" w:rsidRDefault="008678CF">
            <w:pPr>
              <w:rPr>
                <w:snapToGrid w:val="0"/>
                <w:sz w:val="23"/>
                <w:szCs w:val="23"/>
              </w:rPr>
            </w:pPr>
            <w:r>
              <w:rPr>
                <w:snapToGrid w:val="0"/>
                <w:sz w:val="23"/>
                <w:szCs w:val="23"/>
              </w:rPr>
              <w:t>Univerzita Palackého v Olomouci</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6C136FA" w14:textId="77777777" w:rsidR="008678CF" w:rsidRDefault="008678CF">
            <w:pPr>
              <w:jc w:val="right"/>
              <w:rPr>
                <w:sz w:val="22"/>
                <w:szCs w:val="22"/>
              </w:rPr>
            </w:pPr>
            <w:r>
              <w:rPr>
                <w:sz w:val="22"/>
                <w:szCs w:val="22"/>
              </w:rPr>
              <w:t>94 325 747</w:t>
            </w:r>
          </w:p>
        </w:tc>
      </w:tr>
      <w:tr w:rsidR="008678CF" w14:paraId="5D6B14F9"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234ABAD" w14:textId="77777777" w:rsidR="008678CF" w:rsidRDefault="008678CF">
            <w:pPr>
              <w:rPr>
                <w:snapToGrid w:val="0"/>
                <w:sz w:val="23"/>
                <w:szCs w:val="23"/>
              </w:rPr>
            </w:pPr>
            <w:r>
              <w:rPr>
                <w:snapToGrid w:val="0"/>
                <w:sz w:val="23"/>
                <w:szCs w:val="23"/>
              </w:rPr>
              <w:t>Univerzita Pardubice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69AAEDA0" w14:textId="77777777" w:rsidR="008678CF" w:rsidRDefault="008678CF">
            <w:pPr>
              <w:jc w:val="right"/>
              <w:rPr>
                <w:sz w:val="22"/>
                <w:szCs w:val="22"/>
              </w:rPr>
            </w:pPr>
            <w:r>
              <w:rPr>
                <w:sz w:val="22"/>
                <w:szCs w:val="22"/>
              </w:rPr>
              <w:t>29 649 028</w:t>
            </w:r>
          </w:p>
        </w:tc>
      </w:tr>
      <w:tr w:rsidR="008678CF" w14:paraId="772920C6"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0108C57" w14:textId="77777777" w:rsidR="008678CF" w:rsidRDefault="008678CF">
            <w:pPr>
              <w:rPr>
                <w:snapToGrid w:val="0"/>
                <w:sz w:val="23"/>
                <w:szCs w:val="23"/>
              </w:rPr>
            </w:pPr>
            <w:r>
              <w:rPr>
                <w:snapToGrid w:val="0"/>
                <w:sz w:val="23"/>
                <w:szCs w:val="23"/>
              </w:rPr>
              <w:t>Univerzita Tomáše Bati ve Zlíně</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5E4D76C" w14:textId="77777777" w:rsidR="008678CF" w:rsidRDefault="008678CF">
            <w:pPr>
              <w:jc w:val="right"/>
              <w:rPr>
                <w:sz w:val="22"/>
                <w:szCs w:val="22"/>
              </w:rPr>
            </w:pPr>
            <w:r>
              <w:rPr>
                <w:sz w:val="22"/>
                <w:szCs w:val="22"/>
              </w:rPr>
              <w:t>23 764 893</w:t>
            </w:r>
          </w:p>
        </w:tc>
      </w:tr>
      <w:tr w:rsidR="008678CF" w14:paraId="5CBABEDD"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FDB4443" w14:textId="77777777" w:rsidR="008678CF" w:rsidRDefault="008678CF">
            <w:pPr>
              <w:rPr>
                <w:snapToGrid w:val="0"/>
                <w:sz w:val="23"/>
                <w:szCs w:val="23"/>
              </w:rPr>
            </w:pPr>
            <w:r>
              <w:rPr>
                <w:snapToGrid w:val="0"/>
                <w:sz w:val="23"/>
                <w:szCs w:val="23"/>
              </w:rPr>
              <w:t>Veterinární a farmaceutická univerzita Brno</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19D6B3C1" w14:textId="77777777" w:rsidR="008678CF" w:rsidRDefault="008678CF">
            <w:pPr>
              <w:jc w:val="right"/>
              <w:rPr>
                <w:sz w:val="22"/>
                <w:szCs w:val="22"/>
              </w:rPr>
            </w:pPr>
            <w:r>
              <w:rPr>
                <w:sz w:val="22"/>
                <w:szCs w:val="22"/>
              </w:rPr>
              <w:t>12 654 251</w:t>
            </w:r>
          </w:p>
        </w:tc>
      </w:tr>
      <w:tr w:rsidR="008678CF" w14:paraId="0702F640"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033916A1" w14:textId="77777777" w:rsidR="008678CF" w:rsidRDefault="008678CF">
            <w:pPr>
              <w:rPr>
                <w:snapToGrid w:val="0"/>
                <w:sz w:val="23"/>
                <w:szCs w:val="23"/>
              </w:rPr>
            </w:pPr>
            <w:r>
              <w:rPr>
                <w:snapToGrid w:val="0"/>
                <w:sz w:val="23"/>
                <w:szCs w:val="23"/>
              </w:rPr>
              <w:t>Vysoká škola báňská - Technická univerzita Ostrava</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025D902" w14:textId="77777777" w:rsidR="008678CF" w:rsidRDefault="008678CF">
            <w:pPr>
              <w:jc w:val="right"/>
              <w:rPr>
                <w:sz w:val="22"/>
                <w:szCs w:val="22"/>
              </w:rPr>
            </w:pPr>
            <w:r>
              <w:rPr>
                <w:sz w:val="22"/>
                <w:szCs w:val="22"/>
              </w:rPr>
              <w:t>55 404 010</w:t>
            </w:r>
          </w:p>
        </w:tc>
      </w:tr>
      <w:tr w:rsidR="008678CF" w14:paraId="468F2B78"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7ADBB89" w14:textId="77777777" w:rsidR="008678CF" w:rsidRDefault="008678CF">
            <w:pPr>
              <w:rPr>
                <w:snapToGrid w:val="0"/>
                <w:sz w:val="23"/>
                <w:szCs w:val="23"/>
              </w:rPr>
            </w:pPr>
            <w:r>
              <w:rPr>
                <w:snapToGrid w:val="0"/>
                <w:sz w:val="23"/>
                <w:szCs w:val="23"/>
              </w:rPr>
              <w:t>Vysoká škola ekonomická v Praze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F0038C7" w14:textId="77777777" w:rsidR="008678CF" w:rsidRDefault="008678CF">
            <w:pPr>
              <w:jc w:val="right"/>
              <w:rPr>
                <w:sz w:val="22"/>
                <w:szCs w:val="22"/>
              </w:rPr>
            </w:pPr>
            <w:r>
              <w:rPr>
                <w:sz w:val="22"/>
                <w:szCs w:val="22"/>
              </w:rPr>
              <w:t>18 918 037</w:t>
            </w:r>
          </w:p>
        </w:tc>
      </w:tr>
      <w:tr w:rsidR="008678CF" w14:paraId="35B95ADE"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D837A20" w14:textId="77777777" w:rsidR="008678CF" w:rsidRDefault="008678CF">
            <w:pPr>
              <w:rPr>
                <w:snapToGrid w:val="0"/>
                <w:sz w:val="23"/>
                <w:szCs w:val="23"/>
              </w:rPr>
            </w:pPr>
            <w:r>
              <w:rPr>
                <w:snapToGrid w:val="0"/>
                <w:sz w:val="23"/>
                <w:szCs w:val="23"/>
              </w:rPr>
              <w:t>Vysoká škola chemicko-technologická v Praze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37F10E2B" w14:textId="77777777" w:rsidR="008678CF" w:rsidRDefault="008678CF">
            <w:pPr>
              <w:jc w:val="right"/>
              <w:rPr>
                <w:sz w:val="22"/>
                <w:szCs w:val="22"/>
              </w:rPr>
            </w:pPr>
            <w:r>
              <w:rPr>
                <w:sz w:val="22"/>
                <w:szCs w:val="22"/>
              </w:rPr>
              <w:t>47 921 468</w:t>
            </w:r>
          </w:p>
        </w:tc>
      </w:tr>
      <w:tr w:rsidR="008678CF" w14:paraId="70F6C10F"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2DFC8EC" w14:textId="77777777" w:rsidR="008678CF" w:rsidRDefault="008678CF">
            <w:pPr>
              <w:rPr>
                <w:snapToGrid w:val="0"/>
                <w:sz w:val="23"/>
                <w:szCs w:val="23"/>
              </w:rPr>
            </w:pPr>
            <w:r>
              <w:rPr>
                <w:snapToGrid w:val="0"/>
                <w:sz w:val="23"/>
                <w:szCs w:val="23"/>
              </w:rPr>
              <w:t>Vysoká škola technická a ekonomická v Českých Budějovicích</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E2BCA24" w14:textId="77777777" w:rsidR="008678CF" w:rsidRDefault="008678CF">
            <w:pPr>
              <w:jc w:val="right"/>
              <w:rPr>
                <w:sz w:val="22"/>
                <w:szCs w:val="22"/>
              </w:rPr>
            </w:pPr>
            <w:r>
              <w:rPr>
                <w:sz w:val="22"/>
                <w:szCs w:val="22"/>
              </w:rPr>
              <w:t>815 191</w:t>
            </w:r>
          </w:p>
        </w:tc>
      </w:tr>
      <w:tr w:rsidR="008678CF" w14:paraId="654C3F0C"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45595190" w14:textId="77777777" w:rsidR="008678CF" w:rsidRDefault="008678CF">
            <w:pPr>
              <w:rPr>
                <w:snapToGrid w:val="0"/>
                <w:sz w:val="23"/>
                <w:szCs w:val="23"/>
              </w:rPr>
            </w:pPr>
            <w:r>
              <w:rPr>
                <w:snapToGrid w:val="0"/>
                <w:sz w:val="23"/>
                <w:szCs w:val="23"/>
              </w:rPr>
              <w:t>Vysoká škola uměleckoprůmyslová v Praze</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E9AD78F" w14:textId="77777777" w:rsidR="008678CF" w:rsidRDefault="008678CF">
            <w:pPr>
              <w:jc w:val="right"/>
              <w:rPr>
                <w:sz w:val="22"/>
                <w:szCs w:val="22"/>
              </w:rPr>
            </w:pPr>
            <w:r>
              <w:rPr>
                <w:sz w:val="22"/>
                <w:szCs w:val="22"/>
              </w:rPr>
              <w:t>1 562 753</w:t>
            </w:r>
          </w:p>
        </w:tc>
      </w:tr>
      <w:tr w:rsidR="008678CF" w14:paraId="3D2588D4"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391B8EBE" w14:textId="77777777" w:rsidR="008678CF" w:rsidRDefault="008678CF">
            <w:pPr>
              <w:rPr>
                <w:snapToGrid w:val="0"/>
                <w:sz w:val="23"/>
                <w:szCs w:val="23"/>
              </w:rPr>
            </w:pPr>
            <w:r>
              <w:rPr>
                <w:snapToGrid w:val="0"/>
                <w:sz w:val="23"/>
                <w:szCs w:val="23"/>
              </w:rPr>
              <w:t>Vysoké učení technické v Brně</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13FF1A0" w14:textId="77777777" w:rsidR="008678CF" w:rsidRDefault="008678CF">
            <w:pPr>
              <w:jc w:val="right"/>
              <w:rPr>
                <w:sz w:val="22"/>
                <w:szCs w:val="22"/>
              </w:rPr>
            </w:pPr>
            <w:r>
              <w:rPr>
                <w:sz w:val="22"/>
                <w:szCs w:val="22"/>
              </w:rPr>
              <w:t>81 334 730</w:t>
            </w:r>
          </w:p>
        </w:tc>
      </w:tr>
      <w:tr w:rsidR="008678CF" w14:paraId="041B2E31"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3FEF0AD" w14:textId="77777777" w:rsidR="008678CF" w:rsidRDefault="008678CF">
            <w:pPr>
              <w:rPr>
                <w:snapToGrid w:val="0"/>
                <w:sz w:val="23"/>
                <w:szCs w:val="23"/>
              </w:rPr>
            </w:pPr>
            <w:r>
              <w:rPr>
                <w:snapToGrid w:val="0"/>
                <w:sz w:val="23"/>
                <w:szCs w:val="23"/>
              </w:rPr>
              <w:t>Západočeská univerzita v Plzni</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4663F783" w14:textId="77777777" w:rsidR="008678CF" w:rsidRDefault="008678CF">
            <w:pPr>
              <w:jc w:val="right"/>
              <w:rPr>
                <w:sz w:val="22"/>
                <w:szCs w:val="22"/>
              </w:rPr>
            </w:pPr>
            <w:r>
              <w:rPr>
                <w:sz w:val="22"/>
                <w:szCs w:val="22"/>
              </w:rPr>
              <w:t>41 162 096</w:t>
            </w:r>
          </w:p>
        </w:tc>
      </w:tr>
      <w:tr w:rsidR="008678CF" w14:paraId="471AC572"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1C7B9DC" w14:textId="77777777" w:rsidR="008678CF" w:rsidRDefault="008678CF">
            <w:pPr>
              <w:rPr>
                <w:b/>
                <w:snapToGrid w:val="0"/>
                <w:sz w:val="23"/>
                <w:szCs w:val="23"/>
              </w:rPr>
            </w:pPr>
            <w:r>
              <w:rPr>
                <w:b/>
                <w:snapToGrid w:val="0"/>
                <w:sz w:val="23"/>
                <w:szCs w:val="23"/>
              </w:rPr>
              <w:t>Celkem veřejné vysoké školy</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0631FF46" w14:textId="77777777" w:rsidR="008678CF" w:rsidRDefault="008678CF">
            <w:pPr>
              <w:jc w:val="right"/>
              <w:rPr>
                <w:b/>
                <w:sz w:val="22"/>
                <w:szCs w:val="22"/>
                <w:highlight w:val="yellow"/>
              </w:rPr>
            </w:pPr>
            <w:r>
              <w:rPr>
                <w:b/>
                <w:sz w:val="22"/>
                <w:szCs w:val="22"/>
              </w:rPr>
              <w:t>1 149 497 159</w:t>
            </w:r>
          </w:p>
        </w:tc>
      </w:tr>
      <w:tr w:rsidR="008678CF" w14:paraId="3AF02800"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691575E9" w14:textId="77777777" w:rsidR="008678CF" w:rsidRDefault="008678CF">
            <w:pPr>
              <w:rPr>
                <w:snapToGrid w:val="0"/>
                <w:sz w:val="23"/>
                <w:szCs w:val="23"/>
              </w:rPr>
            </w:pPr>
            <w:r>
              <w:rPr>
                <w:snapToGrid w:val="0"/>
                <w:sz w:val="23"/>
                <w:szCs w:val="23"/>
              </w:rPr>
              <w:t>Metropolitní univerzita Praha, o.p.s.</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77596121" w14:textId="77777777" w:rsidR="008678CF" w:rsidRDefault="008678CF">
            <w:pPr>
              <w:jc w:val="right"/>
              <w:rPr>
                <w:sz w:val="22"/>
                <w:szCs w:val="22"/>
              </w:rPr>
            </w:pPr>
            <w:r>
              <w:rPr>
                <w:sz w:val="22"/>
                <w:szCs w:val="22"/>
              </w:rPr>
              <w:t>3 473 301</w:t>
            </w:r>
          </w:p>
        </w:tc>
      </w:tr>
      <w:tr w:rsidR="008678CF" w14:paraId="04C7C5FC"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2A3B48F7" w14:textId="77777777" w:rsidR="008678CF" w:rsidRDefault="008678CF">
            <w:pPr>
              <w:rPr>
                <w:snapToGrid w:val="0"/>
                <w:sz w:val="23"/>
                <w:szCs w:val="23"/>
              </w:rPr>
            </w:pPr>
            <w:r>
              <w:rPr>
                <w:snapToGrid w:val="0"/>
                <w:sz w:val="23"/>
                <w:szCs w:val="23"/>
              </w:rPr>
              <w:t>ŠKODA AUTO Vysoká škola, o. p. s.</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3F6AF1B7" w14:textId="77777777" w:rsidR="008678CF" w:rsidRDefault="008678CF">
            <w:pPr>
              <w:jc w:val="right"/>
              <w:rPr>
                <w:sz w:val="22"/>
                <w:szCs w:val="22"/>
              </w:rPr>
            </w:pPr>
            <w:r>
              <w:rPr>
                <w:sz w:val="22"/>
                <w:szCs w:val="22"/>
              </w:rPr>
              <w:t>320 884</w:t>
            </w:r>
          </w:p>
        </w:tc>
      </w:tr>
      <w:tr w:rsidR="008678CF" w14:paraId="44B2A82F"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7F03197A" w14:textId="77777777" w:rsidR="008678CF" w:rsidRDefault="008678CF">
            <w:pPr>
              <w:rPr>
                <w:snapToGrid w:val="0"/>
                <w:sz w:val="23"/>
                <w:szCs w:val="23"/>
              </w:rPr>
            </w:pPr>
            <w:r>
              <w:rPr>
                <w:snapToGrid w:val="0"/>
                <w:sz w:val="23"/>
                <w:szCs w:val="23"/>
              </w:rPr>
              <w:t>Univerzita J. A. Komenského Praha, s.r.o.</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34F561B8" w14:textId="77777777" w:rsidR="008678CF" w:rsidRDefault="008678CF">
            <w:pPr>
              <w:jc w:val="right"/>
              <w:rPr>
                <w:sz w:val="22"/>
                <w:szCs w:val="22"/>
              </w:rPr>
            </w:pPr>
            <w:r>
              <w:rPr>
                <w:sz w:val="22"/>
                <w:szCs w:val="22"/>
              </w:rPr>
              <w:t>543 537</w:t>
            </w:r>
          </w:p>
        </w:tc>
      </w:tr>
      <w:tr w:rsidR="008678CF" w14:paraId="0F81FFF7" w14:textId="77777777" w:rsidTr="00A176BD">
        <w:trPr>
          <w:trHeight w:val="255"/>
        </w:trPr>
        <w:tc>
          <w:tcPr>
            <w:tcW w:w="6378" w:type="dxa"/>
            <w:tcBorders>
              <w:top w:val="single" w:sz="6" w:space="0" w:color="auto"/>
              <w:left w:val="single" w:sz="12" w:space="0" w:color="auto"/>
              <w:bottom w:val="single" w:sz="6" w:space="0" w:color="auto"/>
              <w:right w:val="single" w:sz="6" w:space="0" w:color="auto"/>
            </w:tcBorders>
            <w:noWrap/>
            <w:tcMar>
              <w:top w:w="0" w:type="dxa"/>
              <w:left w:w="70" w:type="dxa"/>
              <w:bottom w:w="0" w:type="dxa"/>
              <w:right w:w="70" w:type="dxa"/>
            </w:tcMar>
            <w:hideMark/>
          </w:tcPr>
          <w:p w14:paraId="14EAF2D6" w14:textId="77777777" w:rsidR="008678CF" w:rsidRDefault="008678CF">
            <w:pPr>
              <w:rPr>
                <w:snapToGrid w:val="0"/>
                <w:sz w:val="23"/>
                <w:szCs w:val="23"/>
              </w:rPr>
            </w:pPr>
            <w:r>
              <w:rPr>
                <w:snapToGrid w:val="0"/>
                <w:sz w:val="23"/>
                <w:szCs w:val="23"/>
              </w:rPr>
              <w:t>Vysoká škola a finanční a správní, o.p.s.</w:t>
            </w:r>
          </w:p>
        </w:tc>
        <w:tc>
          <w:tcPr>
            <w:tcW w:w="2411" w:type="dxa"/>
            <w:tcBorders>
              <w:top w:val="single" w:sz="6" w:space="0" w:color="auto"/>
              <w:left w:val="single" w:sz="6" w:space="0" w:color="auto"/>
              <w:bottom w:val="single" w:sz="6" w:space="0" w:color="auto"/>
              <w:right w:val="single" w:sz="12" w:space="0" w:color="auto"/>
            </w:tcBorders>
            <w:noWrap/>
            <w:tcMar>
              <w:top w:w="0" w:type="dxa"/>
              <w:left w:w="70" w:type="dxa"/>
              <w:bottom w:w="0" w:type="dxa"/>
              <w:right w:w="70" w:type="dxa"/>
            </w:tcMar>
            <w:vAlign w:val="center"/>
            <w:hideMark/>
          </w:tcPr>
          <w:p w14:paraId="1472B477" w14:textId="77777777" w:rsidR="008678CF" w:rsidRDefault="008678CF">
            <w:pPr>
              <w:jc w:val="right"/>
              <w:rPr>
                <w:sz w:val="22"/>
                <w:szCs w:val="22"/>
              </w:rPr>
            </w:pPr>
            <w:r>
              <w:rPr>
                <w:sz w:val="22"/>
                <w:szCs w:val="22"/>
              </w:rPr>
              <w:t>1 549 882</w:t>
            </w:r>
          </w:p>
        </w:tc>
      </w:tr>
      <w:tr w:rsidR="008678CF" w14:paraId="096FC740" w14:textId="77777777" w:rsidTr="00A176BD">
        <w:trPr>
          <w:trHeight w:val="255"/>
        </w:trPr>
        <w:tc>
          <w:tcPr>
            <w:tcW w:w="6378" w:type="dxa"/>
            <w:tcBorders>
              <w:top w:val="single" w:sz="2" w:space="0" w:color="auto"/>
              <w:left w:val="single" w:sz="12" w:space="0" w:color="auto"/>
              <w:bottom w:val="single" w:sz="12" w:space="0" w:color="auto"/>
              <w:right w:val="single" w:sz="6" w:space="0" w:color="auto"/>
            </w:tcBorders>
            <w:noWrap/>
            <w:tcMar>
              <w:top w:w="0" w:type="dxa"/>
              <w:left w:w="70" w:type="dxa"/>
              <w:bottom w:w="0" w:type="dxa"/>
              <w:right w:w="70" w:type="dxa"/>
            </w:tcMar>
            <w:hideMark/>
          </w:tcPr>
          <w:p w14:paraId="09456C31" w14:textId="77777777" w:rsidR="008678CF" w:rsidRDefault="008678CF">
            <w:pPr>
              <w:rPr>
                <w:snapToGrid w:val="0"/>
                <w:sz w:val="23"/>
                <w:szCs w:val="23"/>
              </w:rPr>
            </w:pPr>
            <w:r>
              <w:rPr>
                <w:snapToGrid w:val="0"/>
                <w:sz w:val="23"/>
                <w:szCs w:val="23"/>
              </w:rPr>
              <w:t>Univerzita obrany</w:t>
            </w:r>
          </w:p>
        </w:tc>
        <w:tc>
          <w:tcPr>
            <w:tcW w:w="2411" w:type="dxa"/>
            <w:tcBorders>
              <w:top w:val="single" w:sz="2" w:space="0" w:color="auto"/>
              <w:left w:val="single" w:sz="6" w:space="0" w:color="auto"/>
              <w:bottom w:val="single" w:sz="12" w:space="0" w:color="auto"/>
              <w:right w:val="single" w:sz="12" w:space="0" w:color="auto"/>
            </w:tcBorders>
            <w:noWrap/>
            <w:tcMar>
              <w:top w:w="0" w:type="dxa"/>
              <w:left w:w="70" w:type="dxa"/>
              <w:bottom w:w="0" w:type="dxa"/>
              <w:right w:w="70" w:type="dxa"/>
            </w:tcMar>
            <w:hideMark/>
          </w:tcPr>
          <w:p w14:paraId="475455E3" w14:textId="77777777" w:rsidR="008678CF" w:rsidRDefault="008678CF">
            <w:pPr>
              <w:jc w:val="right"/>
              <w:rPr>
                <w:sz w:val="22"/>
                <w:szCs w:val="22"/>
              </w:rPr>
            </w:pPr>
            <w:r>
              <w:rPr>
                <w:sz w:val="22"/>
                <w:szCs w:val="22"/>
              </w:rPr>
              <w:t>9 923 237</w:t>
            </w:r>
          </w:p>
        </w:tc>
      </w:tr>
      <w:tr w:rsidR="008678CF" w14:paraId="05B41D9F" w14:textId="77777777" w:rsidTr="00A176BD">
        <w:trPr>
          <w:trHeight w:val="255"/>
        </w:trPr>
        <w:tc>
          <w:tcPr>
            <w:tcW w:w="6378" w:type="dxa"/>
            <w:tcBorders>
              <w:top w:val="single" w:sz="12" w:space="0" w:color="auto"/>
              <w:left w:val="single" w:sz="12" w:space="0" w:color="auto"/>
              <w:bottom w:val="single" w:sz="12" w:space="0" w:color="auto"/>
              <w:right w:val="single" w:sz="4" w:space="0" w:color="auto"/>
            </w:tcBorders>
            <w:noWrap/>
            <w:tcMar>
              <w:top w:w="0" w:type="dxa"/>
              <w:left w:w="70" w:type="dxa"/>
              <w:bottom w:w="0" w:type="dxa"/>
              <w:right w:w="70" w:type="dxa"/>
            </w:tcMar>
            <w:vAlign w:val="bottom"/>
            <w:hideMark/>
          </w:tcPr>
          <w:p w14:paraId="203B974D" w14:textId="77777777" w:rsidR="008678CF" w:rsidRDefault="008678CF">
            <w:pPr>
              <w:rPr>
                <w:b/>
                <w:snapToGrid w:val="0"/>
                <w:sz w:val="23"/>
                <w:szCs w:val="23"/>
              </w:rPr>
            </w:pPr>
            <w:r>
              <w:rPr>
                <w:b/>
                <w:snapToGrid w:val="0"/>
                <w:sz w:val="23"/>
                <w:szCs w:val="23"/>
              </w:rPr>
              <w:t>Celkem ostatní vysoké školy</w:t>
            </w:r>
          </w:p>
        </w:tc>
        <w:tc>
          <w:tcPr>
            <w:tcW w:w="2411" w:type="dxa"/>
            <w:tcBorders>
              <w:top w:val="single" w:sz="12" w:space="0" w:color="auto"/>
              <w:left w:val="single" w:sz="4" w:space="0" w:color="auto"/>
              <w:bottom w:val="single" w:sz="12" w:space="0" w:color="auto"/>
              <w:right w:val="single" w:sz="12" w:space="0" w:color="auto"/>
            </w:tcBorders>
            <w:noWrap/>
            <w:tcMar>
              <w:top w:w="0" w:type="dxa"/>
              <w:left w:w="70" w:type="dxa"/>
              <w:bottom w:w="0" w:type="dxa"/>
              <w:right w:w="70" w:type="dxa"/>
            </w:tcMar>
            <w:vAlign w:val="bottom"/>
            <w:hideMark/>
          </w:tcPr>
          <w:p w14:paraId="29282F87" w14:textId="77777777" w:rsidR="008678CF" w:rsidRDefault="008678CF">
            <w:pPr>
              <w:jc w:val="right"/>
              <w:rPr>
                <w:b/>
                <w:sz w:val="23"/>
                <w:szCs w:val="23"/>
              </w:rPr>
            </w:pPr>
            <w:r>
              <w:rPr>
                <w:b/>
                <w:sz w:val="23"/>
                <w:szCs w:val="23"/>
              </w:rPr>
              <w:t>15 810 841</w:t>
            </w:r>
          </w:p>
        </w:tc>
      </w:tr>
      <w:tr w:rsidR="008678CF" w14:paraId="6549A73C" w14:textId="77777777" w:rsidTr="00A176BD">
        <w:trPr>
          <w:trHeight w:val="255"/>
        </w:trPr>
        <w:tc>
          <w:tcPr>
            <w:tcW w:w="6378" w:type="dxa"/>
            <w:tcBorders>
              <w:top w:val="single" w:sz="12" w:space="0" w:color="auto"/>
              <w:left w:val="single" w:sz="12" w:space="0" w:color="auto"/>
              <w:bottom w:val="single" w:sz="12" w:space="0" w:color="auto"/>
              <w:right w:val="single" w:sz="4" w:space="0" w:color="auto"/>
            </w:tcBorders>
            <w:noWrap/>
            <w:tcMar>
              <w:top w:w="0" w:type="dxa"/>
              <w:left w:w="70" w:type="dxa"/>
              <w:bottom w:w="0" w:type="dxa"/>
              <w:right w:w="70" w:type="dxa"/>
            </w:tcMar>
            <w:vAlign w:val="bottom"/>
            <w:hideMark/>
          </w:tcPr>
          <w:p w14:paraId="69E10C7D" w14:textId="77777777" w:rsidR="008678CF" w:rsidRDefault="008678CF">
            <w:pPr>
              <w:rPr>
                <w:sz w:val="23"/>
                <w:szCs w:val="23"/>
              </w:rPr>
            </w:pPr>
            <w:r>
              <w:rPr>
                <w:b/>
                <w:snapToGrid w:val="0"/>
                <w:sz w:val="23"/>
                <w:szCs w:val="23"/>
              </w:rPr>
              <w:t>Celkem vysoké školy</w:t>
            </w:r>
          </w:p>
        </w:tc>
        <w:tc>
          <w:tcPr>
            <w:tcW w:w="2411" w:type="dxa"/>
            <w:tcBorders>
              <w:top w:val="single" w:sz="12" w:space="0" w:color="auto"/>
              <w:left w:val="single" w:sz="4" w:space="0" w:color="auto"/>
              <w:bottom w:val="single" w:sz="12" w:space="0" w:color="auto"/>
              <w:right w:val="single" w:sz="12" w:space="0" w:color="auto"/>
            </w:tcBorders>
            <w:noWrap/>
            <w:tcMar>
              <w:top w:w="0" w:type="dxa"/>
              <w:left w:w="70" w:type="dxa"/>
              <w:bottom w:w="0" w:type="dxa"/>
              <w:right w:w="70" w:type="dxa"/>
            </w:tcMar>
            <w:vAlign w:val="bottom"/>
            <w:hideMark/>
          </w:tcPr>
          <w:p w14:paraId="79A90C4C" w14:textId="77777777" w:rsidR="008678CF" w:rsidRDefault="008678CF">
            <w:pPr>
              <w:jc w:val="right"/>
              <w:rPr>
                <w:b/>
                <w:sz w:val="23"/>
                <w:szCs w:val="23"/>
              </w:rPr>
            </w:pPr>
            <w:r>
              <w:rPr>
                <w:b/>
                <w:sz w:val="23"/>
                <w:szCs w:val="23"/>
              </w:rPr>
              <w:t>1 165 308 000</w:t>
            </w:r>
          </w:p>
        </w:tc>
      </w:tr>
    </w:tbl>
    <w:p w14:paraId="55A18ABA" w14:textId="77777777" w:rsidR="008678CF" w:rsidRDefault="008678CF" w:rsidP="008678CF">
      <w:pPr>
        <w:rPr>
          <w:highlight w:val="yellow"/>
        </w:rPr>
      </w:pPr>
    </w:p>
    <w:p w14:paraId="3153EAEC" w14:textId="77777777" w:rsidR="008678CF" w:rsidRDefault="008678CF" w:rsidP="008678CF">
      <w:pPr>
        <w:spacing w:before="120"/>
        <w:rPr>
          <w:i/>
          <w:szCs w:val="24"/>
          <w:u w:val="single"/>
        </w:rPr>
      </w:pPr>
      <w:r>
        <w:rPr>
          <w:i/>
          <w:szCs w:val="24"/>
          <w:u w:val="single"/>
        </w:rPr>
        <w:t>Účelové prostředky na velké výzkumné infrastruktury</w:t>
      </w:r>
    </w:p>
    <w:p w14:paraId="7B68220B" w14:textId="77777777" w:rsidR="008678CF" w:rsidRDefault="008678CF" w:rsidP="008678CF">
      <w:pPr>
        <w:rPr>
          <w:szCs w:val="24"/>
        </w:rPr>
      </w:pPr>
    </w:p>
    <w:p w14:paraId="64EEF6AE" w14:textId="698A78B2" w:rsidR="008678CF" w:rsidRDefault="008678CF" w:rsidP="00911311">
      <w:pPr>
        <w:pStyle w:val="Text"/>
      </w:pPr>
      <w:r>
        <w:t xml:space="preserve">Velkou výzkumnou infrastrukturou je podle § 2 odst. 2 písm. d) zákona o podpoře VVI výzkumná infrastruktura, která je výzkumným zařízením nezbytným pro ucelenou výzkumnou a vývojovou činnost s vysokou finanční a technologickou náročností, která je schvalována vládou a zřizována pro využití též dalšími výzkumnými organizacemi. </w:t>
      </w:r>
      <w:r>
        <w:rPr>
          <w:b/>
        </w:rPr>
        <w:t xml:space="preserve">Na rok 2019 byl </w:t>
      </w:r>
      <w:r w:rsidRPr="008678CF">
        <w:rPr>
          <w:b/>
        </w:rPr>
        <w:t xml:space="preserve">schválen rozpočet na projekty velkých výzkumných infrastruktur ve výši </w:t>
      </w:r>
      <w:r w:rsidR="001D5F79">
        <w:rPr>
          <w:b/>
        </w:rPr>
        <w:br/>
      </w:r>
      <w:r w:rsidRPr="008678CF">
        <w:rPr>
          <w:b/>
        </w:rPr>
        <w:t>1 720 000 000 Kč,</w:t>
      </w:r>
      <w:r w:rsidRPr="008678CF">
        <w:t xml:space="preserve"> přičemž náklady na účelovou podporu velkých výzkumných infrastruktur schválených usnesením</w:t>
      </w:r>
      <w:r>
        <w:t xml:space="preserve"> vlády ČR ze dne 15. června 2015 č. 482, usnesením vlády ČR ze dne 21. prosince 2015 č. 1066, usnesením vlády ČR ze dne 6. listopadu 2017 č. 778 a usnesením vlády ČR ze dne 12. prosince 2018 č. 836 činí v roce 2019 celkem 1 801 082 000 Kč. </w:t>
      </w:r>
      <w:r>
        <w:lastRenderedPageBreak/>
        <w:t>Prostředky účelové podpory nad rámec výdajových limi</w:t>
      </w:r>
      <w:r w:rsidR="00B8183F">
        <w:t>tů kapitoly MŠMT stanovených ve </w:t>
      </w:r>
      <w:r>
        <w:t>státním rozpočtu ČR na rok 2019 budou hrazeny za využití nároků z nespotřebovaných profilujících výdajů.</w:t>
      </w:r>
    </w:p>
    <w:p w14:paraId="509388A1" w14:textId="77777777" w:rsidR="003D012B" w:rsidRDefault="003D012B" w:rsidP="008678CF">
      <w:pPr>
        <w:tabs>
          <w:tab w:val="right" w:pos="9072"/>
        </w:tabs>
        <w:ind w:firstLine="1134"/>
        <w:rPr>
          <w:szCs w:val="24"/>
        </w:rPr>
      </w:pPr>
    </w:p>
    <w:p w14:paraId="422A871A" w14:textId="77777777" w:rsidR="003D012B" w:rsidRDefault="003D012B" w:rsidP="008678CF">
      <w:pPr>
        <w:tabs>
          <w:tab w:val="right" w:pos="9072"/>
        </w:tabs>
        <w:ind w:firstLine="1134"/>
        <w:rPr>
          <w:szCs w:val="24"/>
        </w:rPr>
      </w:pPr>
    </w:p>
    <w:p w14:paraId="722D4AD8" w14:textId="77777777" w:rsidR="00636DE9" w:rsidRDefault="00636DE9" w:rsidP="00636DE9">
      <w:pPr>
        <w:pStyle w:val="Titulek"/>
        <w:keepNext/>
      </w:pPr>
      <w:bookmarkStart w:id="89" w:name="_Toc5965628"/>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7</w:t>
      </w:r>
      <w:r w:rsidR="005F53B0">
        <w:rPr>
          <w:noProof/>
        </w:rPr>
        <w:fldChar w:fldCharType="end"/>
      </w:r>
      <w:r>
        <w:t>: Příjemci – Specifický vysokoškolský výzkum</w:t>
      </w:r>
      <w:bookmarkEnd w:id="89"/>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6804"/>
        <w:gridCol w:w="2410"/>
      </w:tblGrid>
      <w:tr w:rsidR="008678CF" w14:paraId="54D0735F" w14:textId="77777777" w:rsidTr="00A176BD">
        <w:trPr>
          <w:trHeight w:val="643"/>
        </w:trPr>
        <w:tc>
          <w:tcPr>
            <w:tcW w:w="6804" w:type="dxa"/>
            <w:tcBorders>
              <w:top w:val="single" w:sz="12" w:space="0" w:color="auto"/>
              <w:left w:val="single" w:sz="12" w:space="0" w:color="auto"/>
              <w:bottom w:val="single" w:sz="12" w:space="0" w:color="auto"/>
              <w:right w:val="single" w:sz="2" w:space="0" w:color="auto"/>
            </w:tcBorders>
            <w:vAlign w:val="center"/>
            <w:hideMark/>
          </w:tcPr>
          <w:p w14:paraId="4E9D258C" w14:textId="77777777" w:rsidR="008678CF" w:rsidRDefault="008678CF">
            <w:pPr>
              <w:jc w:val="center"/>
              <w:rPr>
                <w:sz w:val="23"/>
                <w:szCs w:val="23"/>
              </w:rPr>
            </w:pPr>
            <w:r>
              <w:rPr>
                <w:snapToGrid w:val="0"/>
                <w:sz w:val="23"/>
                <w:szCs w:val="23"/>
              </w:rPr>
              <w:t>Příjemce</w:t>
            </w:r>
          </w:p>
        </w:tc>
        <w:tc>
          <w:tcPr>
            <w:tcW w:w="2410" w:type="dxa"/>
            <w:tcBorders>
              <w:top w:val="single" w:sz="12" w:space="0" w:color="auto"/>
              <w:left w:val="single" w:sz="2" w:space="0" w:color="auto"/>
              <w:bottom w:val="single" w:sz="12" w:space="0" w:color="auto"/>
              <w:right w:val="single" w:sz="12" w:space="0" w:color="auto"/>
            </w:tcBorders>
            <w:vAlign w:val="center"/>
            <w:hideMark/>
          </w:tcPr>
          <w:p w14:paraId="7DB6470B" w14:textId="77777777" w:rsidR="008678CF" w:rsidRDefault="008678CF">
            <w:pPr>
              <w:jc w:val="center"/>
              <w:rPr>
                <w:sz w:val="23"/>
                <w:szCs w:val="23"/>
              </w:rPr>
            </w:pPr>
            <w:r>
              <w:rPr>
                <w:snapToGrid w:val="0"/>
                <w:sz w:val="23"/>
                <w:szCs w:val="23"/>
              </w:rPr>
              <w:t>Podpora v roce 2019 v Kč</w:t>
            </w:r>
          </w:p>
        </w:tc>
      </w:tr>
      <w:tr w:rsidR="008678CF" w14:paraId="675D5F79" w14:textId="77777777" w:rsidTr="00A176BD">
        <w:trPr>
          <w:trHeight w:val="300"/>
        </w:trPr>
        <w:tc>
          <w:tcPr>
            <w:tcW w:w="6804" w:type="dxa"/>
            <w:tcBorders>
              <w:top w:val="single" w:sz="12" w:space="0" w:color="auto"/>
              <w:left w:val="single" w:sz="12" w:space="0" w:color="auto"/>
              <w:bottom w:val="single" w:sz="2" w:space="0" w:color="auto"/>
              <w:right w:val="single" w:sz="2" w:space="0" w:color="auto"/>
            </w:tcBorders>
            <w:noWrap/>
            <w:hideMark/>
          </w:tcPr>
          <w:p w14:paraId="5BE6DF73" w14:textId="77777777" w:rsidR="008678CF" w:rsidRDefault="008678CF">
            <w:pPr>
              <w:jc w:val="left"/>
            </w:pPr>
            <w:r>
              <w:t>Archeologický ústav AV ČR, Brno, v.v.i.</w:t>
            </w:r>
          </w:p>
        </w:tc>
        <w:tc>
          <w:tcPr>
            <w:tcW w:w="2410" w:type="dxa"/>
            <w:tcBorders>
              <w:top w:val="single" w:sz="12" w:space="0" w:color="auto"/>
              <w:left w:val="single" w:sz="2" w:space="0" w:color="auto"/>
              <w:bottom w:val="single" w:sz="2" w:space="0" w:color="auto"/>
              <w:right w:val="single" w:sz="12" w:space="0" w:color="auto"/>
            </w:tcBorders>
            <w:noWrap/>
            <w:hideMark/>
          </w:tcPr>
          <w:p w14:paraId="431713BF" w14:textId="77777777" w:rsidR="008678CF" w:rsidRDefault="008678CF">
            <w:pPr>
              <w:jc w:val="right"/>
            </w:pPr>
            <w:r>
              <w:t>5 221 000</w:t>
            </w:r>
          </w:p>
        </w:tc>
      </w:tr>
      <w:tr w:rsidR="008678CF" w14:paraId="35004AB5"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0424A40A" w14:textId="77777777" w:rsidR="008678CF" w:rsidRDefault="008678CF">
            <w:r>
              <w:t>Astronomický ústav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0CB5C982" w14:textId="77777777" w:rsidR="008678CF" w:rsidRDefault="008678CF">
            <w:pPr>
              <w:jc w:val="right"/>
            </w:pPr>
            <w:r>
              <w:t>5 512 000</w:t>
            </w:r>
          </w:p>
        </w:tc>
      </w:tr>
      <w:tr w:rsidR="008678CF" w14:paraId="09730C5E"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673ECA5B" w14:textId="77777777" w:rsidR="008678CF" w:rsidRDefault="008678CF">
            <w:r>
              <w:t>Biologické centrum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6EE605A2" w14:textId="77777777" w:rsidR="008678CF" w:rsidRDefault="008678CF">
            <w:pPr>
              <w:jc w:val="right"/>
            </w:pPr>
            <w:r>
              <w:t>15 870 000</w:t>
            </w:r>
          </w:p>
        </w:tc>
      </w:tr>
      <w:tr w:rsidR="008678CF" w14:paraId="57872E22"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1DAE3703" w14:textId="77777777" w:rsidR="008678CF" w:rsidRDefault="008678CF">
            <w:r>
              <w:t>Centrum výzkumu Řež, s.r.o.</w:t>
            </w:r>
          </w:p>
        </w:tc>
        <w:tc>
          <w:tcPr>
            <w:tcW w:w="2410" w:type="dxa"/>
            <w:tcBorders>
              <w:top w:val="single" w:sz="2" w:space="0" w:color="auto"/>
              <w:left w:val="single" w:sz="2" w:space="0" w:color="auto"/>
              <w:bottom w:val="single" w:sz="2" w:space="0" w:color="auto"/>
              <w:right w:val="single" w:sz="12" w:space="0" w:color="auto"/>
            </w:tcBorders>
            <w:noWrap/>
            <w:hideMark/>
          </w:tcPr>
          <w:p w14:paraId="3F811ECB" w14:textId="77777777" w:rsidR="008678CF" w:rsidRDefault="008678CF">
            <w:pPr>
              <w:jc w:val="right"/>
            </w:pPr>
            <w:r>
              <w:t>186 106 000</w:t>
            </w:r>
          </w:p>
        </w:tc>
      </w:tr>
      <w:tr w:rsidR="008678CF" w14:paraId="0AA2EC81"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7801A6C4" w14:textId="77777777" w:rsidR="008678CF" w:rsidRDefault="008678CF">
            <w:r>
              <w:t>CESNET, z.s.p.o.</w:t>
            </w:r>
          </w:p>
        </w:tc>
        <w:tc>
          <w:tcPr>
            <w:tcW w:w="2410" w:type="dxa"/>
            <w:tcBorders>
              <w:top w:val="single" w:sz="2" w:space="0" w:color="auto"/>
              <w:left w:val="single" w:sz="2" w:space="0" w:color="auto"/>
              <w:bottom w:val="single" w:sz="2" w:space="0" w:color="auto"/>
              <w:right w:val="single" w:sz="12" w:space="0" w:color="auto"/>
            </w:tcBorders>
            <w:noWrap/>
            <w:hideMark/>
          </w:tcPr>
          <w:p w14:paraId="726793ED" w14:textId="77777777" w:rsidR="008678CF" w:rsidRDefault="008678CF">
            <w:pPr>
              <w:jc w:val="right"/>
            </w:pPr>
            <w:r>
              <w:t>242 160 000</w:t>
            </w:r>
          </w:p>
        </w:tc>
      </w:tr>
      <w:tr w:rsidR="008678CF" w14:paraId="02B2693E"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2757B8A7" w14:textId="77777777" w:rsidR="008678CF" w:rsidRDefault="008678CF">
            <w:r>
              <w:t>Česká zemědělská univerzita v Praze</w:t>
            </w:r>
          </w:p>
        </w:tc>
        <w:tc>
          <w:tcPr>
            <w:tcW w:w="2410" w:type="dxa"/>
            <w:tcBorders>
              <w:top w:val="single" w:sz="2" w:space="0" w:color="auto"/>
              <w:left w:val="single" w:sz="2" w:space="0" w:color="auto"/>
              <w:bottom w:val="single" w:sz="2" w:space="0" w:color="auto"/>
              <w:right w:val="single" w:sz="12" w:space="0" w:color="auto"/>
            </w:tcBorders>
            <w:noWrap/>
            <w:hideMark/>
          </w:tcPr>
          <w:p w14:paraId="6B53A373" w14:textId="77777777" w:rsidR="008678CF" w:rsidRDefault="008678CF">
            <w:pPr>
              <w:jc w:val="right"/>
            </w:pPr>
            <w:r>
              <w:t>9 843 000</w:t>
            </w:r>
          </w:p>
        </w:tc>
      </w:tr>
      <w:tr w:rsidR="008678CF" w14:paraId="17E4590A"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117C29BF" w14:textId="77777777" w:rsidR="008678CF" w:rsidRDefault="008678CF">
            <w:r>
              <w:t>České vysoké učení technické v Praze</w:t>
            </w:r>
          </w:p>
        </w:tc>
        <w:tc>
          <w:tcPr>
            <w:tcW w:w="2410" w:type="dxa"/>
            <w:tcBorders>
              <w:top w:val="single" w:sz="2" w:space="0" w:color="auto"/>
              <w:left w:val="single" w:sz="2" w:space="0" w:color="auto"/>
              <w:bottom w:val="single" w:sz="2" w:space="0" w:color="auto"/>
              <w:right w:val="single" w:sz="12" w:space="0" w:color="auto"/>
            </w:tcBorders>
            <w:noWrap/>
            <w:hideMark/>
          </w:tcPr>
          <w:p w14:paraId="635A3D08" w14:textId="77777777" w:rsidR="008678CF" w:rsidRDefault="008678CF">
            <w:pPr>
              <w:jc w:val="right"/>
            </w:pPr>
            <w:r>
              <w:t>19 722 000</w:t>
            </w:r>
          </w:p>
        </w:tc>
      </w:tr>
      <w:tr w:rsidR="008678CF" w14:paraId="69740FD5"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2E389526" w14:textId="77777777" w:rsidR="008678CF" w:rsidRDefault="008678CF">
            <w:r>
              <w:t>Český hydrometeorologický ústav</w:t>
            </w:r>
          </w:p>
        </w:tc>
        <w:tc>
          <w:tcPr>
            <w:tcW w:w="2410" w:type="dxa"/>
            <w:tcBorders>
              <w:top w:val="single" w:sz="2" w:space="0" w:color="auto"/>
              <w:left w:val="single" w:sz="2" w:space="0" w:color="auto"/>
              <w:bottom w:val="single" w:sz="2" w:space="0" w:color="auto"/>
              <w:right w:val="single" w:sz="12" w:space="0" w:color="auto"/>
            </w:tcBorders>
            <w:noWrap/>
            <w:hideMark/>
          </w:tcPr>
          <w:p w14:paraId="4BBE9557" w14:textId="77777777" w:rsidR="008678CF" w:rsidRDefault="008678CF">
            <w:pPr>
              <w:jc w:val="right"/>
            </w:pPr>
            <w:r>
              <w:t>11 234 000</w:t>
            </w:r>
          </w:p>
        </w:tc>
      </w:tr>
      <w:tr w:rsidR="008678CF" w14:paraId="003000A7"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2490476E" w14:textId="77777777" w:rsidR="008678CF" w:rsidRDefault="008678CF">
            <w:r>
              <w:t>Fyzikální ústav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4E1113C3" w14:textId="77777777" w:rsidR="008678CF" w:rsidRDefault="008678CF">
            <w:pPr>
              <w:jc w:val="right"/>
            </w:pPr>
            <w:r>
              <w:t>378 357 000</w:t>
            </w:r>
          </w:p>
        </w:tc>
      </w:tr>
      <w:tr w:rsidR="008678CF" w14:paraId="77503D3D"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4C95ADDB" w14:textId="77777777" w:rsidR="008678CF" w:rsidRDefault="008678CF">
            <w:r>
              <w:t>Geofyzikální ústav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253B8453" w14:textId="77777777" w:rsidR="008678CF" w:rsidRDefault="008678CF">
            <w:pPr>
              <w:jc w:val="right"/>
            </w:pPr>
            <w:r>
              <w:t>23 426 000</w:t>
            </w:r>
          </w:p>
        </w:tc>
      </w:tr>
      <w:tr w:rsidR="008678CF" w14:paraId="3A8BBF89"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5C4A4C3D" w14:textId="77777777" w:rsidR="008678CF" w:rsidRDefault="008678CF">
            <w:r>
              <w:t>Jihočeská univerzita v Českých Budějovicích</w:t>
            </w:r>
          </w:p>
        </w:tc>
        <w:tc>
          <w:tcPr>
            <w:tcW w:w="2410" w:type="dxa"/>
            <w:tcBorders>
              <w:top w:val="single" w:sz="2" w:space="0" w:color="auto"/>
              <w:left w:val="single" w:sz="2" w:space="0" w:color="auto"/>
              <w:bottom w:val="single" w:sz="2" w:space="0" w:color="auto"/>
              <w:right w:val="single" w:sz="12" w:space="0" w:color="auto"/>
            </w:tcBorders>
            <w:noWrap/>
            <w:hideMark/>
          </w:tcPr>
          <w:p w14:paraId="295B9C66" w14:textId="77777777" w:rsidR="008678CF" w:rsidRDefault="008678CF">
            <w:pPr>
              <w:jc w:val="right"/>
            </w:pPr>
            <w:r>
              <w:t>17 201 000</w:t>
            </w:r>
          </w:p>
        </w:tc>
      </w:tr>
      <w:tr w:rsidR="008678CF" w14:paraId="532DF481"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1E3FB361" w14:textId="77777777" w:rsidR="008678CF" w:rsidRDefault="008678CF">
            <w:r>
              <w:t>Masarykova univerzita</w:t>
            </w:r>
          </w:p>
        </w:tc>
        <w:tc>
          <w:tcPr>
            <w:tcW w:w="2410" w:type="dxa"/>
            <w:tcBorders>
              <w:top w:val="single" w:sz="2" w:space="0" w:color="auto"/>
              <w:left w:val="single" w:sz="2" w:space="0" w:color="auto"/>
              <w:bottom w:val="single" w:sz="2" w:space="0" w:color="auto"/>
              <w:right w:val="single" w:sz="12" w:space="0" w:color="auto"/>
            </w:tcBorders>
            <w:noWrap/>
            <w:hideMark/>
          </w:tcPr>
          <w:p w14:paraId="0CD14418" w14:textId="77777777" w:rsidR="008678CF" w:rsidRDefault="008678CF">
            <w:pPr>
              <w:jc w:val="right"/>
            </w:pPr>
            <w:r>
              <w:t>115 991 000</w:t>
            </w:r>
          </w:p>
        </w:tc>
      </w:tr>
      <w:tr w:rsidR="008678CF" w14:paraId="64EF6CF1"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2509E403" w14:textId="77777777" w:rsidR="008678CF" w:rsidRDefault="008678CF">
            <w:r>
              <w:t>Masarykův onkologický ústav</w:t>
            </w:r>
          </w:p>
        </w:tc>
        <w:tc>
          <w:tcPr>
            <w:tcW w:w="2410" w:type="dxa"/>
            <w:tcBorders>
              <w:top w:val="single" w:sz="2" w:space="0" w:color="auto"/>
              <w:left w:val="single" w:sz="2" w:space="0" w:color="auto"/>
              <w:bottom w:val="single" w:sz="2" w:space="0" w:color="auto"/>
              <w:right w:val="single" w:sz="12" w:space="0" w:color="auto"/>
            </w:tcBorders>
            <w:noWrap/>
            <w:hideMark/>
          </w:tcPr>
          <w:p w14:paraId="077D1731" w14:textId="77777777" w:rsidR="008678CF" w:rsidRDefault="008678CF">
            <w:pPr>
              <w:jc w:val="right"/>
            </w:pPr>
            <w:r>
              <w:t>17 733 000</w:t>
            </w:r>
          </w:p>
        </w:tc>
      </w:tr>
      <w:tr w:rsidR="008678CF" w14:paraId="1CCE9509"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503357F4" w14:textId="77777777" w:rsidR="008678CF" w:rsidRDefault="008678CF">
            <w:r>
              <w:t>Mikrobiologický ústav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5CC215E3" w14:textId="77777777" w:rsidR="008678CF" w:rsidRDefault="008678CF">
            <w:pPr>
              <w:jc w:val="right"/>
            </w:pPr>
            <w:r>
              <w:t>17 946 000</w:t>
            </w:r>
          </w:p>
        </w:tc>
      </w:tr>
      <w:tr w:rsidR="008678CF" w14:paraId="0B6782EE"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3C383F81" w14:textId="77777777" w:rsidR="008678CF" w:rsidRDefault="008678CF">
            <w:r>
              <w:t>Národohospodářský ústav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54E90B68" w14:textId="77777777" w:rsidR="008678CF" w:rsidRDefault="008678CF">
            <w:pPr>
              <w:jc w:val="right"/>
            </w:pPr>
            <w:r>
              <w:t>5 990 000</w:t>
            </w:r>
          </w:p>
        </w:tc>
      </w:tr>
      <w:tr w:rsidR="008678CF" w14:paraId="7C7483A7"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1D169864" w14:textId="77777777" w:rsidR="008678CF" w:rsidRDefault="008678CF">
            <w:r>
              <w:t>Sociologický ústav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06E0E316" w14:textId="77777777" w:rsidR="008678CF" w:rsidRDefault="008678CF">
            <w:pPr>
              <w:jc w:val="right"/>
            </w:pPr>
            <w:r>
              <w:t>4 291 000</w:t>
            </w:r>
          </w:p>
        </w:tc>
      </w:tr>
      <w:tr w:rsidR="008678CF" w14:paraId="4A662F5F" w14:textId="77777777" w:rsidTr="00A176BD">
        <w:trPr>
          <w:trHeight w:val="333"/>
        </w:trPr>
        <w:tc>
          <w:tcPr>
            <w:tcW w:w="6804" w:type="dxa"/>
            <w:tcBorders>
              <w:top w:val="single" w:sz="2" w:space="0" w:color="auto"/>
              <w:left w:val="single" w:sz="12" w:space="0" w:color="auto"/>
              <w:bottom w:val="single" w:sz="2" w:space="0" w:color="auto"/>
              <w:right w:val="single" w:sz="2" w:space="0" w:color="auto"/>
            </w:tcBorders>
            <w:noWrap/>
            <w:hideMark/>
          </w:tcPr>
          <w:p w14:paraId="1CEB9482" w14:textId="77777777" w:rsidR="008678CF" w:rsidRDefault="008678CF">
            <w:r>
              <w:t>Unipetrol výzkumně vzdělávací centrum, a.s.</w:t>
            </w:r>
          </w:p>
        </w:tc>
        <w:tc>
          <w:tcPr>
            <w:tcW w:w="2410" w:type="dxa"/>
            <w:tcBorders>
              <w:top w:val="single" w:sz="2" w:space="0" w:color="auto"/>
              <w:left w:val="single" w:sz="2" w:space="0" w:color="auto"/>
              <w:bottom w:val="single" w:sz="2" w:space="0" w:color="auto"/>
              <w:right w:val="single" w:sz="12" w:space="0" w:color="auto"/>
            </w:tcBorders>
            <w:noWrap/>
            <w:hideMark/>
          </w:tcPr>
          <w:p w14:paraId="14ACF601" w14:textId="77777777" w:rsidR="008678CF" w:rsidRDefault="008678CF">
            <w:pPr>
              <w:jc w:val="right"/>
            </w:pPr>
            <w:r>
              <w:t>13 307 000</w:t>
            </w:r>
          </w:p>
        </w:tc>
      </w:tr>
      <w:tr w:rsidR="008678CF" w14:paraId="4B51E3E3"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4D343364" w14:textId="77777777" w:rsidR="008678CF" w:rsidRDefault="008678CF">
            <w:r>
              <w:t>Univerzita Karlova</w:t>
            </w:r>
          </w:p>
        </w:tc>
        <w:tc>
          <w:tcPr>
            <w:tcW w:w="2410" w:type="dxa"/>
            <w:tcBorders>
              <w:top w:val="single" w:sz="2" w:space="0" w:color="auto"/>
              <w:left w:val="single" w:sz="2" w:space="0" w:color="auto"/>
              <w:bottom w:val="single" w:sz="2" w:space="0" w:color="auto"/>
              <w:right w:val="single" w:sz="12" w:space="0" w:color="auto"/>
            </w:tcBorders>
            <w:noWrap/>
            <w:hideMark/>
          </w:tcPr>
          <w:p w14:paraId="66A46209" w14:textId="77777777" w:rsidR="008678CF" w:rsidRDefault="008678CF">
            <w:pPr>
              <w:jc w:val="right"/>
            </w:pPr>
            <w:r>
              <w:t>128 714 000</w:t>
            </w:r>
          </w:p>
        </w:tc>
      </w:tr>
      <w:tr w:rsidR="008678CF" w14:paraId="7FB75AC9"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1FA05588" w14:textId="77777777" w:rsidR="008678CF" w:rsidRDefault="008678CF">
            <w:r>
              <w:t>Univerzita Palackého v Olomouci</w:t>
            </w:r>
          </w:p>
        </w:tc>
        <w:tc>
          <w:tcPr>
            <w:tcW w:w="2410" w:type="dxa"/>
            <w:tcBorders>
              <w:top w:val="single" w:sz="2" w:space="0" w:color="auto"/>
              <w:left w:val="single" w:sz="2" w:space="0" w:color="auto"/>
              <w:bottom w:val="single" w:sz="2" w:space="0" w:color="auto"/>
              <w:right w:val="single" w:sz="12" w:space="0" w:color="auto"/>
            </w:tcBorders>
            <w:noWrap/>
            <w:hideMark/>
          </w:tcPr>
          <w:p w14:paraId="64FE029E" w14:textId="77777777" w:rsidR="008678CF" w:rsidRDefault="008678CF">
            <w:pPr>
              <w:jc w:val="right"/>
            </w:pPr>
            <w:r>
              <w:t>22 021 000</w:t>
            </w:r>
          </w:p>
        </w:tc>
      </w:tr>
      <w:tr w:rsidR="008678CF" w14:paraId="05A9DECF"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3822C6BC" w14:textId="77777777" w:rsidR="008678CF" w:rsidRDefault="008678CF">
            <w:r>
              <w:t>Univerzita Pardubice</w:t>
            </w:r>
          </w:p>
        </w:tc>
        <w:tc>
          <w:tcPr>
            <w:tcW w:w="2410" w:type="dxa"/>
            <w:tcBorders>
              <w:top w:val="single" w:sz="2" w:space="0" w:color="auto"/>
              <w:left w:val="single" w:sz="2" w:space="0" w:color="auto"/>
              <w:bottom w:val="single" w:sz="2" w:space="0" w:color="auto"/>
              <w:right w:val="single" w:sz="12" w:space="0" w:color="auto"/>
            </w:tcBorders>
            <w:noWrap/>
            <w:hideMark/>
          </w:tcPr>
          <w:p w14:paraId="292EDB90" w14:textId="77777777" w:rsidR="008678CF" w:rsidRDefault="008678CF">
            <w:pPr>
              <w:jc w:val="right"/>
            </w:pPr>
            <w:r>
              <w:t>7 507 000</w:t>
            </w:r>
          </w:p>
        </w:tc>
      </w:tr>
      <w:tr w:rsidR="008678CF" w14:paraId="03AFC33F"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60D56737" w14:textId="77777777" w:rsidR="008678CF" w:rsidRDefault="008678CF">
            <w:r>
              <w:t>Ústav fyzikální chemie J. Heyrovského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75E595C6" w14:textId="77777777" w:rsidR="008678CF" w:rsidRDefault="008678CF">
            <w:pPr>
              <w:jc w:val="right"/>
            </w:pPr>
            <w:r>
              <w:t>23 133 000</w:t>
            </w:r>
          </w:p>
        </w:tc>
      </w:tr>
      <w:tr w:rsidR="008678CF" w14:paraId="26D1DC64"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08E1F42C" w14:textId="77777777" w:rsidR="008678CF" w:rsidRDefault="008678CF">
            <w:r>
              <w:t>Ústav fyziky materiálů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5F60FCDF" w14:textId="77777777" w:rsidR="008678CF" w:rsidRDefault="008678CF">
            <w:pPr>
              <w:jc w:val="right"/>
            </w:pPr>
            <w:r>
              <w:t>10 422 000</w:t>
            </w:r>
          </w:p>
        </w:tc>
      </w:tr>
      <w:tr w:rsidR="008678CF" w14:paraId="5B06DF15"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5C00B8F3" w14:textId="77777777" w:rsidR="008678CF" w:rsidRDefault="008678CF">
            <w:r>
              <w:t>Ústav fyziky plazmatu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22C42D34" w14:textId="77777777" w:rsidR="008678CF" w:rsidRDefault="008678CF">
            <w:pPr>
              <w:jc w:val="right"/>
            </w:pPr>
            <w:r>
              <w:t>27 668 000</w:t>
            </w:r>
          </w:p>
        </w:tc>
      </w:tr>
      <w:tr w:rsidR="008678CF" w14:paraId="33BF2552"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31A91580" w14:textId="77777777" w:rsidR="008678CF" w:rsidRDefault="008678CF">
            <w:r>
              <w:t>Ústav jaderné fyziky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3EAAA66B" w14:textId="77777777" w:rsidR="008678CF" w:rsidRDefault="008678CF">
            <w:pPr>
              <w:jc w:val="right"/>
            </w:pPr>
            <w:r>
              <w:t>128 364 000</w:t>
            </w:r>
          </w:p>
        </w:tc>
      </w:tr>
      <w:tr w:rsidR="008678CF" w14:paraId="6FA9C055"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47079B72" w14:textId="77777777" w:rsidR="008678CF" w:rsidRDefault="008678CF">
            <w:r>
              <w:t>Ústav molekulární genetiky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09E34A65" w14:textId="77777777" w:rsidR="008678CF" w:rsidRDefault="008678CF">
            <w:pPr>
              <w:jc w:val="right"/>
            </w:pPr>
            <w:r>
              <w:t>148 094 000</w:t>
            </w:r>
          </w:p>
        </w:tc>
      </w:tr>
      <w:tr w:rsidR="008678CF" w14:paraId="53517269"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5E446D32" w14:textId="77777777" w:rsidR="008678CF" w:rsidRDefault="008678CF">
            <w:r>
              <w:t>Ústav organické chemie a biochemie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021DFBCC" w14:textId="77777777" w:rsidR="008678CF" w:rsidRDefault="008678CF">
            <w:pPr>
              <w:jc w:val="right"/>
            </w:pPr>
            <w:r>
              <w:t>30 619 000</w:t>
            </w:r>
          </w:p>
        </w:tc>
      </w:tr>
      <w:tr w:rsidR="008678CF" w14:paraId="5D491505"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769F13EA" w14:textId="77777777" w:rsidR="008678CF" w:rsidRDefault="008678CF">
            <w:r>
              <w:t>Ústav pro českou literaturu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4FCBECD2" w14:textId="77777777" w:rsidR="008678CF" w:rsidRDefault="008678CF">
            <w:pPr>
              <w:jc w:val="right"/>
            </w:pPr>
            <w:r>
              <w:t>5 146 000</w:t>
            </w:r>
          </w:p>
        </w:tc>
      </w:tr>
      <w:tr w:rsidR="008678CF" w14:paraId="1C441CE7"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57B84DC3" w14:textId="77777777" w:rsidR="008678CF" w:rsidRDefault="008678CF">
            <w:r>
              <w:t>Ústav pro jazyk český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548C0FB9" w14:textId="77777777" w:rsidR="008678CF" w:rsidRDefault="008678CF">
            <w:pPr>
              <w:jc w:val="right"/>
            </w:pPr>
            <w:r>
              <w:t>7 093 000</w:t>
            </w:r>
          </w:p>
        </w:tc>
      </w:tr>
      <w:tr w:rsidR="008678CF" w14:paraId="020A47D5"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7C158495" w14:textId="77777777" w:rsidR="008678CF" w:rsidRDefault="008678CF">
            <w:r>
              <w:t>Ústav výzkumu globální změny AV ČR, v.v.i.</w:t>
            </w:r>
          </w:p>
        </w:tc>
        <w:tc>
          <w:tcPr>
            <w:tcW w:w="2410" w:type="dxa"/>
            <w:tcBorders>
              <w:top w:val="single" w:sz="2" w:space="0" w:color="auto"/>
              <w:left w:val="single" w:sz="2" w:space="0" w:color="auto"/>
              <w:bottom w:val="single" w:sz="2" w:space="0" w:color="auto"/>
              <w:right w:val="single" w:sz="12" w:space="0" w:color="auto"/>
            </w:tcBorders>
            <w:noWrap/>
            <w:hideMark/>
          </w:tcPr>
          <w:p w14:paraId="608C50F2" w14:textId="77777777" w:rsidR="008678CF" w:rsidRDefault="008678CF">
            <w:pPr>
              <w:jc w:val="right"/>
            </w:pPr>
            <w:r>
              <w:t>35 629 000</w:t>
            </w:r>
          </w:p>
        </w:tc>
      </w:tr>
      <w:tr w:rsidR="008678CF" w14:paraId="11EF05F0"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5F7269C7" w14:textId="77777777" w:rsidR="008678CF" w:rsidRDefault="008678CF">
            <w:r>
              <w:t>Vysoká škola báňská – Technická univerzita Ostrava</w:t>
            </w:r>
          </w:p>
        </w:tc>
        <w:tc>
          <w:tcPr>
            <w:tcW w:w="2410" w:type="dxa"/>
            <w:tcBorders>
              <w:top w:val="single" w:sz="2" w:space="0" w:color="auto"/>
              <w:left w:val="single" w:sz="2" w:space="0" w:color="auto"/>
              <w:bottom w:val="single" w:sz="2" w:space="0" w:color="auto"/>
              <w:right w:val="single" w:sz="12" w:space="0" w:color="auto"/>
            </w:tcBorders>
            <w:noWrap/>
            <w:hideMark/>
          </w:tcPr>
          <w:p w14:paraId="4350E85D" w14:textId="77777777" w:rsidR="008678CF" w:rsidRDefault="008678CF">
            <w:pPr>
              <w:jc w:val="right"/>
            </w:pPr>
            <w:r>
              <w:t>104 704 000</w:t>
            </w:r>
          </w:p>
        </w:tc>
      </w:tr>
      <w:tr w:rsidR="008678CF" w14:paraId="79FCB417" w14:textId="77777777" w:rsidTr="00A176BD">
        <w:trPr>
          <w:trHeight w:val="300"/>
        </w:trPr>
        <w:tc>
          <w:tcPr>
            <w:tcW w:w="6804" w:type="dxa"/>
            <w:tcBorders>
              <w:top w:val="single" w:sz="2" w:space="0" w:color="auto"/>
              <w:left w:val="single" w:sz="12" w:space="0" w:color="auto"/>
              <w:bottom w:val="single" w:sz="2" w:space="0" w:color="auto"/>
              <w:right w:val="single" w:sz="2" w:space="0" w:color="auto"/>
            </w:tcBorders>
            <w:noWrap/>
            <w:hideMark/>
          </w:tcPr>
          <w:p w14:paraId="19C38CF9" w14:textId="77777777" w:rsidR="008678CF" w:rsidRDefault="008678CF">
            <w:r>
              <w:t>Vysoké učení technické v Brně</w:t>
            </w:r>
          </w:p>
        </w:tc>
        <w:tc>
          <w:tcPr>
            <w:tcW w:w="2410" w:type="dxa"/>
            <w:tcBorders>
              <w:top w:val="single" w:sz="2" w:space="0" w:color="auto"/>
              <w:left w:val="single" w:sz="2" w:space="0" w:color="auto"/>
              <w:bottom w:val="single" w:sz="2" w:space="0" w:color="auto"/>
              <w:right w:val="single" w:sz="12" w:space="0" w:color="auto"/>
            </w:tcBorders>
            <w:noWrap/>
            <w:hideMark/>
          </w:tcPr>
          <w:p w14:paraId="7E03FC8D" w14:textId="77777777" w:rsidR="008678CF" w:rsidRDefault="008678CF">
            <w:pPr>
              <w:jc w:val="right"/>
            </w:pPr>
            <w:r>
              <w:t>32 058 000</w:t>
            </w:r>
          </w:p>
        </w:tc>
      </w:tr>
      <w:tr w:rsidR="008678CF" w14:paraId="51FB88B8" w14:textId="77777777" w:rsidTr="00A176BD">
        <w:trPr>
          <w:trHeight w:val="300"/>
        </w:trPr>
        <w:tc>
          <w:tcPr>
            <w:tcW w:w="6804" w:type="dxa"/>
            <w:tcBorders>
              <w:top w:val="single" w:sz="2" w:space="0" w:color="auto"/>
              <w:left w:val="single" w:sz="12" w:space="0" w:color="auto"/>
              <w:bottom w:val="single" w:sz="12" w:space="0" w:color="auto"/>
              <w:right w:val="single" w:sz="2" w:space="0" w:color="auto"/>
            </w:tcBorders>
            <w:noWrap/>
            <w:vAlign w:val="bottom"/>
            <w:hideMark/>
          </w:tcPr>
          <w:p w14:paraId="6E95D4C2" w14:textId="77777777" w:rsidR="008678CF" w:rsidRDefault="008678CF">
            <w:pPr>
              <w:rPr>
                <w:b/>
                <w:bCs/>
                <w:sz w:val="23"/>
                <w:szCs w:val="23"/>
              </w:rPr>
            </w:pPr>
            <w:r>
              <w:rPr>
                <w:b/>
                <w:bCs/>
                <w:sz w:val="23"/>
                <w:szCs w:val="23"/>
              </w:rPr>
              <w:t>CELKEM</w:t>
            </w:r>
          </w:p>
        </w:tc>
        <w:tc>
          <w:tcPr>
            <w:tcW w:w="2410" w:type="dxa"/>
            <w:tcBorders>
              <w:top w:val="single" w:sz="2" w:space="0" w:color="auto"/>
              <w:left w:val="single" w:sz="2" w:space="0" w:color="auto"/>
              <w:bottom w:val="single" w:sz="12" w:space="0" w:color="auto"/>
              <w:right w:val="single" w:sz="12" w:space="0" w:color="auto"/>
            </w:tcBorders>
            <w:noWrap/>
            <w:vAlign w:val="bottom"/>
            <w:hideMark/>
          </w:tcPr>
          <w:p w14:paraId="051000CE" w14:textId="77777777" w:rsidR="008678CF" w:rsidRDefault="008678CF">
            <w:pPr>
              <w:ind w:left="720"/>
              <w:jc w:val="right"/>
              <w:rPr>
                <w:b/>
                <w:szCs w:val="24"/>
              </w:rPr>
            </w:pPr>
            <w:r>
              <w:rPr>
                <w:b/>
                <w:szCs w:val="24"/>
              </w:rPr>
              <w:t xml:space="preserve">1 801 082 000    </w:t>
            </w:r>
          </w:p>
        </w:tc>
      </w:tr>
    </w:tbl>
    <w:p w14:paraId="39B8E94A" w14:textId="77777777" w:rsidR="008678CF" w:rsidRDefault="008678CF" w:rsidP="00A176BD">
      <w:pPr>
        <w:rPr>
          <w:i/>
          <w:sz w:val="20"/>
        </w:rPr>
      </w:pPr>
      <w:r>
        <w:rPr>
          <w:i/>
          <w:sz w:val="20"/>
        </w:rPr>
        <w:t>Pozn. Závazky na projekty velkých výzkumných infrastruktur uvedené v tabulce budou ve výši 81 082 000 Kč hrazeny z nároků z nespotřebovaných profilujících výdajů.</w:t>
      </w:r>
    </w:p>
    <w:p w14:paraId="05DA8BAF" w14:textId="77777777" w:rsidR="006B7CF3" w:rsidRDefault="006B7CF3" w:rsidP="0031482F">
      <w:pPr>
        <w:pStyle w:val="Nadpis4"/>
        <w:numPr>
          <w:ilvl w:val="0"/>
          <w:numId w:val="0"/>
        </w:numPr>
        <w:rPr>
          <w:highlight w:val="yellow"/>
        </w:rPr>
      </w:pPr>
    </w:p>
    <w:p w14:paraId="77CDE6F4" w14:textId="77777777" w:rsidR="00B302E0" w:rsidRPr="00B302E0" w:rsidRDefault="00B302E0" w:rsidP="00B302E0">
      <w:pPr>
        <w:rPr>
          <w:highlight w:val="yellow"/>
          <w:lang w:eastAsia="en-US"/>
        </w:rPr>
      </w:pPr>
    </w:p>
    <w:p w14:paraId="2C2D7D36" w14:textId="77777777" w:rsidR="00526028" w:rsidRPr="00526028" w:rsidRDefault="00526028" w:rsidP="00526028">
      <w:pPr>
        <w:rPr>
          <w:highlight w:val="yellow"/>
          <w:lang w:eastAsia="en-US"/>
        </w:rPr>
      </w:pPr>
    </w:p>
    <w:p w14:paraId="682942C7" w14:textId="77777777" w:rsidR="008678CF" w:rsidRDefault="008678CF" w:rsidP="0031482F">
      <w:pPr>
        <w:pStyle w:val="Nadpis4"/>
      </w:pPr>
      <w:bookmarkStart w:id="90" w:name="_Toc5968839"/>
      <w:r>
        <w:lastRenderedPageBreak/>
        <w:t>Rozpočet výdajů na VVI v roce 2019 v OP VVV 2014-2020</w:t>
      </w:r>
      <w:bookmarkEnd w:id="90"/>
    </w:p>
    <w:p w14:paraId="11F3B50C" w14:textId="77777777" w:rsidR="008678CF" w:rsidRDefault="008678CF" w:rsidP="008678CF">
      <w:pPr>
        <w:rPr>
          <w:lang w:eastAsia="en-US"/>
        </w:rPr>
      </w:pPr>
    </w:p>
    <w:tbl>
      <w:tblPr>
        <w:tblW w:w="0" w:type="auto"/>
        <w:jc w:val="center"/>
        <w:tblLook w:val="04A0" w:firstRow="1" w:lastRow="0" w:firstColumn="1" w:lastColumn="0" w:noHBand="0" w:noVBand="1"/>
      </w:tblPr>
      <w:tblGrid>
        <w:gridCol w:w="4643"/>
        <w:gridCol w:w="3509"/>
      </w:tblGrid>
      <w:tr w:rsidR="008678CF" w14:paraId="2012629E" w14:textId="77777777" w:rsidTr="008678CF">
        <w:trPr>
          <w:jc w:val="center"/>
        </w:trPr>
        <w:tc>
          <w:tcPr>
            <w:tcW w:w="4643" w:type="dxa"/>
            <w:hideMark/>
          </w:tcPr>
          <w:p w14:paraId="4D753E49" w14:textId="77777777" w:rsidR="008678CF" w:rsidRDefault="008678CF">
            <w:pPr>
              <w:spacing w:line="256" w:lineRule="auto"/>
              <w:rPr>
                <w:b/>
                <w:lang w:eastAsia="en-US"/>
              </w:rPr>
            </w:pPr>
            <w:r>
              <w:rPr>
                <w:b/>
                <w:lang w:eastAsia="en-US"/>
              </w:rPr>
              <w:t>Rozpočet výdajů celkem činí</w:t>
            </w:r>
            <w:r>
              <w:rPr>
                <w:rStyle w:val="Znakapoznpodarou"/>
                <w:b/>
                <w:lang w:eastAsia="en-US"/>
              </w:rPr>
              <w:footnoteReference w:id="15"/>
            </w:r>
          </w:p>
        </w:tc>
        <w:tc>
          <w:tcPr>
            <w:tcW w:w="3509" w:type="dxa"/>
            <w:hideMark/>
          </w:tcPr>
          <w:p w14:paraId="25E367D0" w14:textId="77777777" w:rsidR="008678CF" w:rsidRDefault="008678CF">
            <w:pPr>
              <w:spacing w:line="256" w:lineRule="auto"/>
              <w:jc w:val="right"/>
              <w:rPr>
                <w:b/>
                <w:lang w:eastAsia="en-US"/>
              </w:rPr>
            </w:pPr>
            <w:r>
              <w:rPr>
                <w:b/>
                <w:lang w:eastAsia="en-US"/>
              </w:rPr>
              <w:t xml:space="preserve">6 357 965 437 Kč      </w:t>
            </w:r>
          </w:p>
        </w:tc>
      </w:tr>
      <w:tr w:rsidR="008678CF" w14:paraId="78654060" w14:textId="77777777" w:rsidTr="008678CF">
        <w:trPr>
          <w:jc w:val="center"/>
        </w:trPr>
        <w:tc>
          <w:tcPr>
            <w:tcW w:w="4643" w:type="dxa"/>
            <w:hideMark/>
          </w:tcPr>
          <w:p w14:paraId="7C5E08E2" w14:textId="77777777" w:rsidR="008678CF" w:rsidRDefault="008678CF">
            <w:pPr>
              <w:spacing w:line="256" w:lineRule="auto"/>
              <w:rPr>
                <w:b/>
                <w:lang w:eastAsia="en-US"/>
              </w:rPr>
            </w:pPr>
            <w:r>
              <w:rPr>
                <w:lang w:eastAsia="en-US"/>
              </w:rPr>
              <w:t>v tom: ze státního rozpočtu</w:t>
            </w:r>
          </w:p>
        </w:tc>
        <w:tc>
          <w:tcPr>
            <w:tcW w:w="3509" w:type="dxa"/>
            <w:hideMark/>
          </w:tcPr>
          <w:p w14:paraId="3E87BCDD" w14:textId="77777777" w:rsidR="008678CF" w:rsidRDefault="008678CF">
            <w:pPr>
              <w:spacing w:line="256" w:lineRule="auto"/>
              <w:jc w:val="right"/>
              <w:rPr>
                <w:b/>
                <w:lang w:eastAsia="en-US"/>
              </w:rPr>
            </w:pPr>
            <w:r>
              <w:rPr>
                <w:lang w:eastAsia="en-US"/>
              </w:rPr>
              <w:t xml:space="preserve">1 247 965 437 Kč   </w:t>
            </w:r>
          </w:p>
        </w:tc>
      </w:tr>
      <w:tr w:rsidR="008678CF" w:rsidRPr="00443B09" w14:paraId="4ED8E616" w14:textId="77777777" w:rsidTr="008678CF">
        <w:trPr>
          <w:jc w:val="center"/>
        </w:trPr>
        <w:tc>
          <w:tcPr>
            <w:tcW w:w="4643" w:type="dxa"/>
            <w:hideMark/>
          </w:tcPr>
          <w:p w14:paraId="5F6397C3" w14:textId="77777777" w:rsidR="008678CF" w:rsidRPr="00443B09" w:rsidRDefault="008678CF">
            <w:pPr>
              <w:spacing w:line="256" w:lineRule="auto"/>
              <w:ind w:left="709"/>
              <w:rPr>
                <w:b/>
                <w:lang w:eastAsia="en-US"/>
              </w:rPr>
            </w:pPr>
            <w:r w:rsidRPr="00443B09">
              <w:rPr>
                <w:lang w:eastAsia="en-US"/>
              </w:rPr>
              <w:t>kryté příjmem z rozpočtu EU</w:t>
            </w:r>
          </w:p>
        </w:tc>
        <w:tc>
          <w:tcPr>
            <w:tcW w:w="3509" w:type="dxa"/>
            <w:hideMark/>
          </w:tcPr>
          <w:p w14:paraId="0AC1FB78" w14:textId="77777777" w:rsidR="008678CF" w:rsidRPr="00443B09" w:rsidRDefault="008678CF">
            <w:pPr>
              <w:spacing w:line="256" w:lineRule="auto"/>
              <w:jc w:val="right"/>
              <w:rPr>
                <w:b/>
                <w:lang w:eastAsia="en-US"/>
              </w:rPr>
            </w:pPr>
            <w:r w:rsidRPr="00443B09">
              <w:rPr>
                <w:lang w:eastAsia="en-US"/>
              </w:rPr>
              <w:t>5 110 000 000 Kč</w:t>
            </w:r>
          </w:p>
        </w:tc>
      </w:tr>
      <w:tr w:rsidR="008678CF" w:rsidRPr="00443B09" w14:paraId="0FA327A7" w14:textId="77777777" w:rsidTr="008678CF">
        <w:trPr>
          <w:jc w:val="center"/>
        </w:trPr>
        <w:tc>
          <w:tcPr>
            <w:tcW w:w="4643" w:type="dxa"/>
          </w:tcPr>
          <w:p w14:paraId="71FFBC5F" w14:textId="77777777" w:rsidR="008678CF" w:rsidRPr="00443B09" w:rsidRDefault="008678CF">
            <w:pPr>
              <w:spacing w:line="256" w:lineRule="auto"/>
              <w:rPr>
                <w:b/>
                <w:lang w:eastAsia="en-US"/>
              </w:rPr>
            </w:pPr>
            <w:r w:rsidRPr="00443B09">
              <w:rPr>
                <w:b/>
                <w:lang w:eastAsia="en-US"/>
              </w:rPr>
              <w:t>Rozpočet kapitálových výdajů činí</w:t>
            </w:r>
          </w:p>
        </w:tc>
        <w:tc>
          <w:tcPr>
            <w:tcW w:w="3509" w:type="dxa"/>
          </w:tcPr>
          <w:p w14:paraId="7AEA754E" w14:textId="77777777" w:rsidR="008678CF" w:rsidRPr="00443B09" w:rsidRDefault="008678CF">
            <w:pPr>
              <w:spacing w:line="256" w:lineRule="auto"/>
              <w:jc w:val="right"/>
              <w:rPr>
                <w:b/>
                <w:lang w:eastAsia="en-US"/>
              </w:rPr>
            </w:pPr>
            <w:r w:rsidRPr="00443B09">
              <w:rPr>
                <w:b/>
                <w:lang w:eastAsia="en-US"/>
              </w:rPr>
              <w:t>2 408 934 757 Kč</w:t>
            </w:r>
          </w:p>
        </w:tc>
      </w:tr>
      <w:tr w:rsidR="008678CF" w:rsidRPr="00443B09" w14:paraId="2ABC126C" w14:textId="77777777" w:rsidTr="008678CF">
        <w:trPr>
          <w:jc w:val="center"/>
        </w:trPr>
        <w:tc>
          <w:tcPr>
            <w:tcW w:w="4643" w:type="dxa"/>
            <w:hideMark/>
          </w:tcPr>
          <w:p w14:paraId="0134DDF4" w14:textId="77777777" w:rsidR="008678CF" w:rsidRPr="00443B09" w:rsidRDefault="008678CF">
            <w:pPr>
              <w:spacing w:line="256" w:lineRule="auto"/>
              <w:rPr>
                <w:b/>
                <w:lang w:eastAsia="en-US"/>
              </w:rPr>
            </w:pPr>
            <w:r w:rsidRPr="00443B09">
              <w:rPr>
                <w:lang w:eastAsia="en-US"/>
              </w:rPr>
              <w:t>v tom: ze státního rozpočtu</w:t>
            </w:r>
          </w:p>
        </w:tc>
        <w:tc>
          <w:tcPr>
            <w:tcW w:w="3509" w:type="dxa"/>
            <w:hideMark/>
          </w:tcPr>
          <w:p w14:paraId="64339A87" w14:textId="77777777" w:rsidR="008678CF" w:rsidRPr="00443B09" w:rsidRDefault="008678CF">
            <w:pPr>
              <w:spacing w:line="256" w:lineRule="auto"/>
              <w:ind w:left="1134"/>
              <w:jc w:val="right"/>
              <w:rPr>
                <w:b/>
                <w:lang w:eastAsia="en-US"/>
              </w:rPr>
            </w:pPr>
            <w:r w:rsidRPr="00443B09">
              <w:rPr>
                <w:lang w:eastAsia="en-US"/>
              </w:rPr>
              <w:t>478 478 000 Kč</w:t>
            </w:r>
          </w:p>
        </w:tc>
      </w:tr>
      <w:tr w:rsidR="008678CF" w:rsidRPr="00443B09" w14:paraId="397D7683" w14:textId="77777777" w:rsidTr="008678CF">
        <w:trPr>
          <w:jc w:val="center"/>
        </w:trPr>
        <w:tc>
          <w:tcPr>
            <w:tcW w:w="4643" w:type="dxa"/>
            <w:hideMark/>
          </w:tcPr>
          <w:p w14:paraId="0C1B9553" w14:textId="77777777" w:rsidR="008678CF" w:rsidRPr="00443B09" w:rsidRDefault="008678CF">
            <w:pPr>
              <w:spacing w:line="256" w:lineRule="auto"/>
              <w:ind w:left="709"/>
              <w:rPr>
                <w:b/>
                <w:lang w:eastAsia="en-US"/>
              </w:rPr>
            </w:pPr>
            <w:r w:rsidRPr="00443B09">
              <w:rPr>
                <w:lang w:eastAsia="en-US"/>
              </w:rPr>
              <w:t>kryté příjmem z rozpočtu EU</w:t>
            </w:r>
          </w:p>
        </w:tc>
        <w:tc>
          <w:tcPr>
            <w:tcW w:w="3509" w:type="dxa"/>
            <w:hideMark/>
          </w:tcPr>
          <w:p w14:paraId="193C4DB2" w14:textId="77777777" w:rsidR="008678CF" w:rsidRPr="00443B09" w:rsidRDefault="008678CF">
            <w:pPr>
              <w:spacing w:line="256" w:lineRule="auto"/>
              <w:ind w:left="360"/>
              <w:jc w:val="right"/>
              <w:rPr>
                <w:b/>
                <w:lang w:eastAsia="en-US"/>
              </w:rPr>
            </w:pPr>
            <w:r w:rsidRPr="00443B09">
              <w:rPr>
                <w:lang w:eastAsia="en-US"/>
              </w:rPr>
              <w:t>1 930 456 757 Kč</w:t>
            </w:r>
          </w:p>
        </w:tc>
      </w:tr>
    </w:tbl>
    <w:p w14:paraId="1D38590F" w14:textId="77777777" w:rsidR="00C452EF" w:rsidRPr="00443B09" w:rsidRDefault="00C452EF" w:rsidP="0031482F">
      <w:pPr>
        <w:pStyle w:val="Nadpis4"/>
        <w:numPr>
          <w:ilvl w:val="0"/>
          <w:numId w:val="0"/>
        </w:numPr>
        <w:ind w:left="864"/>
      </w:pPr>
    </w:p>
    <w:p w14:paraId="15BD4348" w14:textId="53C90E2C" w:rsidR="008678CF" w:rsidRPr="00443B09" w:rsidRDefault="0065362A" w:rsidP="0031482F">
      <w:pPr>
        <w:pStyle w:val="Nadpis4"/>
      </w:pPr>
      <w:r w:rsidRPr="00443B09">
        <w:t xml:space="preserve"> </w:t>
      </w:r>
      <w:bookmarkStart w:id="91" w:name="_Toc447780938"/>
      <w:bookmarkStart w:id="92" w:name="_Toc5968840"/>
      <w:r w:rsidR="008678CF" w:rsidRPr="00443B09">
        <w:t>Rozpočet výdajů na EUROSTARS</w:t>
      </w:r>
      <w:r w:rsidR="001D5F79">
        <w:t>-2</w:t>
      </w:r>
      <w:r w:rsidR="008678CF" w:rsidRPr="00443B09">
        <w:t xml:space="preserve"> v roce 201</w:t>
      </w:r>
      <w:bookmarkEnd w:id="91"/>
      <w:r w:rsidR="008678CF" w:rsidRPr="00443B09">
        <w:t>9</w:t>
      </w:r>
      <w:bookmarkEnd w:id="92"/>
      <w:r w:rsidR="008678CF" w:rsidRPr="00443B09">
        <w:t xml:space="preserve"> </w:t>
      </w:r>
    </w:p>
    <w:tbl>
      <w:tblPr>
        <w:tblW w:w="0" w:type="auto"/>
        <w:tblInd w:w="1276" w:type="dxa"/>
        <w:tblLook w:val="04A0" w:firstRow="1" w:lastRow="0" w:firstColumn="1" w:lastColumn="0" w:noHBand="0" w:noVBand="1"/>
      </w:tblPr>
      <w:tblGrid>
        <w:gridCol w:w="4083"/>
        <w:gridCol w:w="3396"/>
      </w:tblGrid>
      <w:tr w:rsidR="008678CF" w14:paraId="05BB6338" w14:textId="77777777" w:rsidTr="008678CF">
        <w:tc>
          <w:tcPr>
            <w:tcW w:w="4083" w:type="dxa"/>
          </w:tcPr>
          <w:p w14:paraId="18CAE8CA" w14:textId="77777777" w:rsidR="008678CF" w:rsidRPr="00443B09" w:rsidRDefault="008678CF">
            <w:pPr>
              <w:rPr>
                <w:b/>
              </w:rPr>
            </w:pPr>
          </w:p>
          <w:p w14:paraId="3B5159BC" w14:textId="77777777" w:rsidR="008678CF" w:rsidRPr="00443B09" w:rsidRDefault="008678CF">
            <w:pPr>
              <w:rPr>
                <w:b/>
              </w:rPr>
            </w:pPr>
            <w:r w:rsidRPr="00443B09">
              <w:rPr>
                <w:b/>
              </w:rPr>
              <w:t>Rozpočet výdajů celkem činí</w:t>
            </w:r>
          </w:p>
        </w:tc>
        <w:tc>
          <w:tcPr>
            <w:tcW w:w="3396" w:type="dxa"/>
            <w:hideMark/>
          </w:tcPr>
          <w:p w14:paraId="3AEC5EA8" w14:textId="77777777" w:rsidR="008678CF" w:rsidRPr="00443B09" w:rsidRDefault="008678CF">
            <w:pPr>
              <w:jc w:val="right"/>
              <w:rPr>
                <w:b/>
              </w:rPr>
            </w:pPr>
            <w:r w:rsidRPr="00443B09">
              <w:rPr>
                <w:b/>
              </w:rPr>
              <w:t xml:space="preserve">                        </w:t>
            </w:r>
          </w:p>
          <w:p w14:paraId="18F83950" w14:textId="77777777" w:rsidR="008678CF" w:rsidRDefault="008678CF">
            <w:pPr>
              <w:jc w:val="right"/>
              <w:rPr>
                <w:b/>
              </w:rPr>
            </w:pPr>
            <w:r w:rsidRPr="00443B09">
              <w:rPr>
                <w:b/>
              </w:rPr>
              <w:t>49 407 500 Kč</w:t>
            </w:r>
          </w:p>
        </w:tc>
      </w:tr>
      <w:tr w:rsidR="008678CF" w14:paraId="1CAA5103" w14:textId="77777777" w:rsidTr="008678CF">
        <w:tc>
          <w:tcPr>
            <w:tcW w:w="4083" w:type="dxa"/>
            <w:hideMark/>
          </w:tcPr>
          <w:p w14:paraId="00DA14D1" w14:textId="77777777" w:rsidR="008678CF" w:rsidRDefault="008678CF">
            <w:pPr>
              <w:rPr>
                <w:b/>
              </w:rPr>
            </w:pPr>
            <w:r>
              <w:t>v tom: ze státního rozpočtu</w:t>
            </w:r>
          </w:p>
        </w:tc>
        <w:tc>
          <w:tcPr>
            <w:tcW w:w="3396" w:type="dxa"/>
            <w:hideMark/>
          </w:tcPr>
          <w:p w14:paraId="495D559D" w14:textId="77777777" w:rsidR="008678CF" w:rsidRDefault="008678CF">
            <w:pPr>
              <w:jc w:val="right"/>
            </w:pPr>
            <w:r>
              <w:t>39 526 000 Kč</w:t>
            </w:r>
          </w:p>
        </w:tc>
      </w:tr>
      <w:tr w:rsidR="008678CF" w14:paraId="36E41735" w14:textId="77777777" w:rsidTr="008678CF">
        <w:tc>
          <w:tcPr>
            <w:tcW w:w="4083" w:type="dxa"/>
            <w:hideMark/>
          </w:tcPr>
          <w:p w14:paraId="4CF2B163" w14:textId="77777777" w:rsidR="008678CF" w:rsidRDefault="008678CF">
            <w:pPr>
              <w:rPr>
                <w:b/>
              </w:rPr>
            </w:pPr>
            <w:r>
              <w:t>kryté příjmem z rozpočtu EU</w:t>
            </w:r>
          </w:p>
        </w:tc>
        <w:tc>
          <w:tcPr>
            <w:tcW w:w="3396" w:type="dxa"/>
            <w:hideMark/>
          </w:tcPr>
          <w:p w14:paraId="158BFFE1" w14:textId="77777777" w:rsidR="008678CF" w:rsidRDefault="008678CF">
            <w:pPr>
              <w:ind w:left="1701"/>
              <w:jc w:val="right"/>
              <w:rPr>
                <w:b/>
              </w:rPr>
            </w:pPr>
            <w:r>
              <w:t>9 881 500 Kč</w:t>
            </w:r>
          </w:p>
        </w:tc>
      </w:tr>
    </w:tbl>
    <w:p w14:paraId="675B1622" w14:textId="77777777" w:rsidR="008678CF" w:rsidRDefault="008678CF" w:rsidP="008678CF">
      <w:pPr>
        <w:ind w:left="426" w:firstLine="654"/>
        <w:rPr>
          <w:szCs w:val="24"/>
          <w:highlight w:val="cyan"/>
        </w:rPr>
      </w:pPr>
    </w:p>
    <w:p w14:paraId="2C6CF3F0" w14:textId="77777777" w:rsidR="008678CF" w:rsidRDefault="008678CF" w:rsidP="008678CF">
      <w:pPr>
        <w:pStyle w:val="Text"/>
      </w:pPr>
      <w:r>
        <w:t>Pokračující program EUROSTARS-2 navazuje na předchozí program EUROSTARS. Jedná se o evropský program výzkumu, vývoje a inovací, který poskytuje možnost spolufinancování z rozpočtu Evropského společenství. Podpora projektů je založena na principech programu EUREKA a Horizont 2020 pro plánovací období 2014 až 2020. Program Eurostars-2 je zaměřen na podporu malých a středních podniků podle definice Rámce společenství pro státní podporu výzkumu, vývoje a inovací, které vedle své výrobní nebo servisní činnosti provádějí vlastní činnost ve výzkumu a vývoji v objemu nejméně 10 % ročního obratu nebo vykazují v této činnosti nejméně 10 % zaměstnanců. Příspěvek EU na řešení projektů činí cca 25 % vynaložených nákladů veřejné podpory. V roce 2019 se jedná o vyhlášení 11. a 12. výzvy.</w:t>
      </w:r>
    </w:p>
    <w:p w14:paraId="6AD71301" w14:textId="77777777" w:rsidR="008678CF" w:rsidRDefault="008678CF" w:rsidP="008678CF">
      <w:pPr>
        <w:pStyle w:val="Text"/>
      </w:pPr>
    </w:p>
    <w:p w14:paraId="5800FEE1" w14:textId="77777777" w:rsidR="008678CF" w:rsidRDefault="008678CF" w:rsidP="0031482F">
      <w:pPr>
        <w:pStyle w:val="Nadpis4"/>
      </w:pPr>
      <w:bookmarkStart w:id="93" w:name="_Toc5968841"/>
      <w:r>
        <w:t>Rozpočet výdajů na HORIZONT 2020 v roce 2019</w:t>
      </w:r>
      <w:bookmarkEnd w:id="93"/>
    </w:p>
    <w:p w14:paraId="393EDEC5" w14:textId="77777777" w:rsidR="008678CF" w:rsidRDefault="008678CF" w:rsidP="008678CF">
      <w:pPr>
        <w:pStyle w:val="Text"/>
        <w:rPr>
          <w:highlight w:val="yellow"/>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14"/>
      </w:tblGrid>
      <w:tr w:rsidR="008678CF" w14:paraId="686D24F4" w14:textId="77777777" w:rsidTr="008678CF">
        <w:tc>
          <w:tcPr>
            <w:tcW w:w="5812" w:type="dxa"/>
            <w:tcBorders>
              <w:top w:val="nil"/>
              <w:left w:val="nil"/>
              <w:bottom w:val="nil"/>
              <w:right w:val="nil"/>
            </w:tcBorders>
            <w:hideMark/>
          </w:tcPr>
          <w:p w14:paraId="3BF50E06" w14:textId="77777777" w:rsidR="008678CF" w:rsidRDefault="008678CF">
            <w:pPr>
              <w:rPr>
                <w:b/>
              </w:rPr>
            </w:pPr>
            <w:r>
              <w:rPr>
                <w:b/>
              </w:rPr>
              <w:t>Rozpočet výdajů celkem činí</w:t>
            </w:r>
          </w:p>
        </w:tc>
        <w:tc>
          <w:tcPr>
            <w:tcW w:w="2014" w:type="dxa"/>
            <w:tcBorders>
              <w:top w:val="nil"/>
              <w:left w:val="nil"/>
              <w:bottom w:val="nil"/>
              <w:right w:val="nil"/>
            </w:tcBorders>
            <w:hideMark/>
          </w:tcPr>
          <w:p w14:paraId="4327C995" w14:textId="77777777" w:rsidR="008678CF" w:rsidRDefault="008678CF">
            <w:pPr>
              <w:rPr>
                <w:b/>
              </w:rPr>
            </w:pPr>
            <w:r>
              <w:rPr>
                <w:b/>
              </w:rPr>
              <w:t>4 570 000 Kč</w:t>
            </w:r>
          </w:p>
        </w:tc>
      </w:tr>
      <w:tr w:rsidR="008678CF" w14:paraId="69CA6486" w14:textId="77777777" w:rsidTr="008678CF">
        <w:tc>
          <w:tcPr>
            <w:tcW w:w="5812" w:type="dxa"/>
            <w:tcBorders>
              <w:top w:val="nil"/>
              <w:left w:val="nil"/>
              <w:bottom w:val="nil"/>
              <w:right w:val="nil"/>
            </w:tcBorders>
            <w:hideMark/>
          </w:tcPr>
          <w:p w14:paraId="3E2F9DF3" w14:textId="77777777" w:rsidR="008678CF" w:rsidRDefault="008678CF">
            <w:r>
              <w:t>v tom: ze státního rozpočtu</w:t>
            </w:r>
          </w:p>
        </w:tc>
        <w:tc>
          <w:tcPr>
            <w:tcW w:w="2014" w:type="dxa"/>
            <w:tcBorders>
              <w:top w:val="nil"/>
              <w:left w:val="nil"/>
              <w:bottom w:val="nil"/>
              <w:right w:val="nil"/>
            </w:tcBorders>
            <w:hideMark/>
          </w:tcPr>
          <w:p w14:paraId="43CB500A" w14:textId="77777777" w:rsidR="008678CF" w:rsidRDefault="008678CF">
            <w:r>
              <w:t>3 986 000 Kč</w:t>
            </w:r>
          </w:p>
        </w:tc>
      </w:tr>
      <w:tr w:rsidR="008678CF" w14:paraId="4A962595" w14:textId="77777777" w:rsidTr="008678CF">
        <w:tc>
          <w:tcPr>
            <w:tcW w:w="5812" w:type="dxa"/>
            <w:tcBorders>
              <w:top w:val="nil"/>
              <w:left w:val="nil"/>
              <w:bottom w:val="nil"/>
              <w:right w:val="nil"/>
            </w:tcBorders>
            <w:hideMark/>
          </w:tcPr>
          <w:p w14:paraId="147F612B" w14:textId="77777777" w:rsidR="008678CF" w:rsidRDefault="008678CF">
            <w:r>
              <w:t>kryté příjmem z rozpočtu EU</w:t>
            </w:r>
          </w:p>
        </w:tc>
        <w:tc>
          <w:tcPr>
            <w:tcW w:w="2014" w:type="dxa"/>
            <w:tcBorders>
              <w:top w:val="nil"/>
              <w:left w:val="nil"/>
              <w:bottom w:val="nil"/>
              <w:right w:val="nil"/>
            </w:tcBorders>
            <w:hideMark/>
          </w:tcPr>
          <w:p w14:paraId="75BF6517" w14:textId="77777777" w:rsidR="008678CF" w:rsidRDefault="008678CF">
            <w:r>
              <w:t xml:space="preserve">   584 000 Kč</w:t>
            </w:r>
          </w:p>
        </w:tc>
      </w:tr>
    </w:tbl>
    <w:p w14:paraId="7D2C9347" w14:textId="77777777" w:rsidR="008678CF" w:rsidRDefault="008678CF" w:rsidP="008678CF">
      <w:pPr>
        <w:pStyle w:val="Text"/>
        <w:ind w:firstLine="0"/>
      </w:pPr>
    </w:p>
    <w:p w14:paraId="321AF5F1" w14:textId="6CB49CA7" w:rsidR="008678CF" w:rsidRDefault="008678CF" w:rsidP="005C65AD">
      <w:pPr>
        <w:pStyle w:val="Text"/>
      </w:pPr>
      <w:r>
        <w:t xml:space="preserve">V rámci </w:t>
      </w:r>
      <w:r w:rsidR="001D5F79">
        <w:t>Horizont 2020</w:t>
      </w:r>
      <w:r>
        <w:t xml:space="preserve"> budou ze strany MŠMT mj. financovány i náklady účastníků mezinárodních projektů výzkumu, vývoje a inovací řešených v rámci implementačních schémat rámcového programu EU pro výzkum a inovace Horizontu 2020 (2014-2020), která vyžadují přímou finanční participaci ze strany zúčastněných států na principu tzv. „Co-Fund Action“. Jednat se bude o podporu účasti subjektů ČR ve schématu „QuantERA ERA-NET Cofund in Quantum Technologies“. </w:t>
      </w:r>
    </w:p>
    <w:p w14:paraId="4F59EECC" w14:textId="77777777" w:rsidR="008678CF" w:rsidRDefault="008678CF" w:rsidP="005C65AD">
      <w:pPr>
        <w:pStyle w:val="Text"/>
      </w:pPr>
      <w:r>
        <w:t xml:space="preserve">Údaje o veškeré poskytované podpoře výzkumu, experimentálního vývoje a inovací jsou v souladu se zákonem o podpoře VVI zveřejňovány v Informačním systému výzkumu, experimentálního vývoje a inovací přístupném na internetové stránce </w:t>
      </w:r>
      <w:hyperlink r:id="rId11" w:history="1">
        <w:r>
          <w:rPr>
            <w:rStyle w:val="Hypertextovodkaz"/>
          </w:rPr>
          <w:t>https://www.rvvi.cz/</w:t>
        </w:r>
      </w:hyperlink>
      <w:r>
        <w:t>.</w:t>
      </w:r>
    </w:p>
    <w:p w14:paraId="33417563" w14:textId="77777777" w:rsidR="00C069EF" w:rsidRPr="0043025F" w:rsidRDefault="00C069EF" w:rsidP="0031482F">
      <w:pPr>
        <w:pStyle w:val="Nadpis4"/>
        <w:numPr>
          <w:ilvl w:val="0"/>
          <w:numId w:val="0"/>
        </w:numPr>
        <w:ind w:left="864"/>
      </w:pPr>
    </w:p>
    <w:p w14:paraId="71411B99" w14:textId="77777777" w:rsidR="00503E04" w:rsidRPr="0043025F" w:rsidRDefault="00503E04" w:rsidP="00503E04">
      <w:pPr>
        <w:rPr>
          <w:b/>
          <w:i/>
          <w:sz w:val="20"/>
        </w:rPr>
      </w:pPr>
      <w:r w:rsidRPr="0043025F">
        <w:rPr>
          <w:b/>
          <w:i/>
          <w:sz w:val="20"/>
        </w:rPr>
        <w:t>Tabulkové přílohy ke kapitole C.I.2.:</w:t>
      </w:r>
    </w:p>
    <w:p w14:paraId="69CCA51B" w14:textId="77777777" w:rsidR="00503E04" w:rsidRPr="0043025F" w:rsidRDefault="00503E04" w:rsidP="00503E04">
      <w:pPr>
        <w:rPr>
          <w:sz w:val="20"/>
        </w:rPr>
      </w:pPr>
    </w:p>
    <w:p w14:paraId="748DC33D" w14:textId="77777777" w:rsidR="003D012B" w:rsidRDefault="00A33D15" w:rsidP="00526028">
      <w:pPr>
        <w:ind w:left="1418" w:hanging="1418"/>
        <w:rPr>
          <w:sz w:val="20"/>
        </w:rPr>
      </w:pPr>
      <w:r w:rsidRPr="0043025F">
        <w:rPr>
          <w:sz w:val="20"/>
        </w:rPr>
        <w:t>Tabulka č. 1</w:t>
      </w:r>
      <w:r w:rsidRPr="0043025F">
        <w:rPr>
          <w:sz w:val="20"/>
        </w:rPr>
        <w:tab/>
        <w:t>Rozpočet Výz</w:t>
      </w:r>
      <w:r w:rsidR="00960E28" w:rsidRPr="0043025F">
        <w:rPr>
          <w:sz w:val="20"/>
        </w:rPr>
        <w:t>kumu a vývoje celkem na rok 201</w:t>
      </w:r>
      <w:r w:rsidR="0043025F" w:rsidRPr="0043025F">
        <w:rPr>
          <w:sz w:val="20"/>
        </w:rPr>
        <w:t>9</w:t>
      </w:r>
      <w:r w:rsidRPr="0043025F">
        <w:rPr>
          <w:sz w:val="20"/>
        </w:rPr>
        <w:t xml:space="preserve"> (včetně programů spolufinancovaných s EU a FM)</w:t>
      </w:r>
    </w:p>
    <w:p w14:paraId="6AE6E5A2" w14:textId="7D87F058" w:rsidR="005119C4" w:rsidRPr="00853611" w:rsidRDefault="005119C4" w:rsidP="00526028">
      <w:pPr>
        <w:ind w:left="1418" w:hanging="1418"/>
        <w:rPr>
          <w:b/>
          <w:sz w:val="28"/>
          <w:highlight w:val="yellow"/>
          <w:lang w:eastAsia="en-US"/>
        </w:rPr>
      </w:pPr>
      <w:r w:rsidRPr="00853611">
        <w:rPr>
          <w:highlight w:val="yellow"/>
        </w:rPr>
        <w:br w:type="page"/>
      </w:r>
    </w:p>
    <w:p w14:paraId="3704561D" w14:textId="77777777" w:rsidR="0070585C" w:rsidRPr="002554C9" w:rsidRDefault="0070585C" w:rsidP="00F94A17">
      <w:pPr>
        <w:pStyle w:val="Nadpis2"/>
      </w:pPr>
      <w:bookmarkStart w:id="94" w:name="_Toc5968842"/>
      <w:bookmarkEnd w:id="56"/>
      <w:bookmarkEnd w:id="57"/>
      <w:r w:rsidRPr="002554C9">
        <w:lastRenderedPageBreak/>
        <w:t>RgŠ včetně PŘO celkem</w:t>
      </w:r>
      <w:bookmarkEnd w:id="94"/>
      <w:r w:rsidRPr="002554C9">
        <w:t xml:space="preserve"> </w:t>
      </w:r>
    </w:p>
    <w:p w14:paraId="3C685D7E" w14:textId="77777777" w:rsidR="0070585C" w:rsidRPr="005C65AD" w:rsidRDefault="0070585C" w:rsidP="0070585C">
      <w:pPr>
        <w:spacing w:before="120"/>
      </w:pPr>
      <w:r w:rsidRPr="005C65AD">
        <w:t>(bez projektů spolufinancovaných z rozpočtu EU – blíže v kapitole C.V.)</w:t>
      </w:r>
    </w:p>
    <w:p w14:paraId="0AD78524" w14:textId="77777777" w:rsidR="0070585C" w:rsidRPr="005C65AD" w:rsidRDefault="0070585C" w:rsidP="0070585C">
      <w:pPr>
        <w:pStyle w:val="Titulek"/>
        <w:keepNext/>
      </w:pPr>
    </w:p>
    <w:tbl>
      <w:tblPr>
        <w:tblW w:w="9159" w:type="dxa"/>
        <w:tblInd w:w="55" w:type="dxa"/>
        <w:tblLayout w:type="fixed"/>
        <w:tblCellMar>
          <w:left w:w="70" w:type="dxa"/>
          <w:right w:w="70" w:type="dxa"/>
        </w:tblCellMar>
        <w:tblLook w:val="04A0" w:firstRow="1" w:lastRow="0" w:firstColumn="1" w:lastColumn="0" w:noHBand="0" w:noVBand="1"/>
      </w:tblPr>
      <w:tblGrid>
        <w:gridCol w:w="6819"/>
        <w:gridCol w:w="2340"/>
      </w:tblGrid>
      <w:tr w:rsidR="005C65AD" w:rsidRPr="005C65AD" w14:paraId="2C7AAC16" w14:textId="77777777" w:rsidTr="005C65AD">
        <w:trPr>
          <w:trHeight w:val="275"/>
        </w:trPr>
        <w:tc>
          <w:tcPr>
            <w:tcW w:w="6819" w:type="dxa"/>
            <w:shd w:val="clear" w:color="auto" w:fill="auto"/>
            <w:vAlign w:val="bottom"/>
            <w:hideMark/>
          </w:tcPr>
          <w:p w14:paraId="091B6BCE" w14:textId="77777777" w:rsidR="005C65AD" w:rsidRPr="005C65AD" w:rsidRDefault="005C65AD" w:rsidP="00936F9F">
            <w:pPr>
              <w:rPr>
                <w:b/>
                <w:szCs w:val="24"/>
              </w:rPr>
            </w:pPr>
            <w:r w:rsidRPr="005C65AD">
              <w:rPr>
                <w:b/>
                <w:szCs w:val="24"/>
              </w:rPr>
              <w:t>výdaje regionálního školství a přímo řízených organizací</w:t>
            </w:r>
          </w:p>
        </w:tc>
        <w:tc>
          <w:tcPr>
            <w:tcW w:w="2340" w:type="dxa"/>
          </w:tcPr>
          <w:p w14:paraId="7C037A60" w14:textId="77777777" w:rsidR="005C65AD" w:rsidRPr="005C65AD" w:rsidRDefault="005C65AD" w:rsidP="005C65AD">
            <w:pPr>
              <w:jc w:val="right"/>
            </w:pPr>
            <w:r w:rsidRPr="005C65AD">
              <w:t xml:space="preserve">143 723 127 562 </w:t>
            </w:r>
            <w:r w:rsidRPr="005C65AD">
              <w:rPr>
                <w:szCs w:val="24"/>
              </w:rPr>
              <w:t>Kč</w:t>
            </w:r>
          </w:p>
        </w:tc>
      </w:tr>
      <w:tr w:rsidR="005C65AD" w:rsidRPr="00B83EC6" w14:paraId="240736B4" w14:textId="77777777" w:rsidTr="005C65AD">
        <w:trPr>
          <w:trHeight w:val="275"/>
        </w:trPr>
        <w:tc>
          <w:tcPr>
            <w:tcW w:w="6819" w:type="dxa"/>
            <w:shd w:val="clear" w:color="auto" w:fill="auto"/>
            <w:vAlign w:val="bottom"/>
            <w:hideMark/>
          </w:tcPr>
          <w:p w14:paraId="7928A187" w14:textId="77777777" w:rsidR="005C65AD" w:rsidRPr="00B83EC6" w:rsidRDefault="005C65AD" w:rsidP="00936F9F">
            <w:pPr>
              <w:rPr>
                <w:szCs w:val="24"/>
              </w:rPr>
            </w:pPr>
            <w:r w:rsidRPr="00B83EC6">
              <w:rPr>
                <w:szCs w:val="24"/>
              </w:rPr>
              <w:t>výdaje regionálního školství</w:t>
            </w:r>
          </w:p>
        </w:tc>
        <w:tc>
          <w:tcPr>
            <w:tcW w:w="2340" w:type="dxa"/>
          </w:tcPr>
          <w:p w14:paraId="26C9BA92" w14:textId="77777777" w:rsidR="005C65AD" w:rsidRPr="00B83EC6" w:rsidRDefault="005C65AD" w:rsidP="005C65AD">
            <w:pPr>
              <w:jc w:val="right"/>
            </w:pPr>
            <w:r w:rsidRPr="00B83EC6">
              <w:t xml:space="preserve">140 607 789 718 </w:t>
            </w:r>
            <w:r w:rsidRPr="00B83EC6">
              <w:rPr>
                <w:szCs w:val="24"/>
              </w:rPr>
              <w:t>Kč</w:t>
            </w:r>
          </w:p>
        </w:tc>
      </w:tr>
      <w:tr w:rsidR="0070585C" w:rsidRPr="00B83EC6" w14:paraId="5797C7FA" w14:textId="77777777" w:rsidTr="00936F9F">
        <w:trPr>
          <w:trHeight w:val="275"/>
        </w:trPr>
        <w:tc>
          <w:tcPr>
            <w:tcW w:w="6819" w:type="dxa"/>
            <w:shd w:val="clear" w:color="auto" w:fill="auto"/>
            <w:vAlign w:val="bottom"/>
            <w:hideMark/>
          </w:tcPr>
          <w:p w14:paraId="43CA4BB1" w14:textId="77777777" w:rsidR="0070585C" w:rsidRPr="00B83EC6" w:rsidRDefault="0070585C" w:rsidP="00936F9F">
            <w:pPr>
              <w:rPr>
                <w:szCs w:val="24"/>
              </w:rPr>
            </w:pPr>
            <w:r w:rsidRPr="00B83EC6">
              <w:rPr>
                <w:szCs w:val="24"/>
              </w:rPr>
              <w:t xml:space="preserve">                výdaje RgŠ - rozvojové programy</w:t>
            </w:r>
          </w:p>
        </w:tc>
        <w:tc>
          <w:tcPr>
            <w:tcW w:w="2340" w:type="dxa"/>
            <w:vAlign w:val="bottom"/>
          </w:tcPr>
          <w:p w14:paraId="42C696E6" w14:textId="77777777" w:rsidR="0070585C" w:rsidRPr="00B83EC6" w:rsidRDefault="0070585C" w:rsidP="00936F9F">
            <w:pPr>
              <w:jc w:val="right"/>
              <w:rPr>
                <w:szCs w:val="24"/>
              </w:rPr>
            </w:pPr>
            <w:r w:rsidRPr="00B83EC6">
              <w:rPr>
                <w:szCs w:val="24"/>
              </w:rPr>
              <w:t>4 074 171 595 Kč</w:t>
            </w:r>
          </w:p>
        </w:tc>
      </w:tr>
      <w:tr w:rsidR="0070585C" w:rsidRPr="00B83EC6" w14:paraId="0BE72CA7" w14:textId="77777777" w:rsidTr="00936F9F">
        <w:trPr>
          <w:trHeight w:val="275"/>
        </w:trPr>
        <w:tc>
          <w:tcPr>
            <w:tcW w:w="6819" w:type="dxa"/>
            <w:shd w:val="clear" w:color="auto" w:fill="auto"/>
            <w:vAlign w:val="bottom"/>
            <w:hideMark/>
          </w:tcPr>
          <w:p w14:paraId="74DF942A" w14:textId="77777777" w:rsidR="0070585C" w:rsidRPr="00B83EC6" w:rsidRDefault="0070585C" w:rsidP="00936F9F">
            <w:pPr>
              <w:rPr>
                <w:szCs w:val="24"/>
              </w:rPr>
            </w:pPr>
            <w:r w:rsidRPr="00B83EC6">
              <w:rPr>
                <w:szCs w:val="24"/>
              </w:rPr>
              <w:t xml:space="preserve">                výdaje RgŠ - výkonové financování</w:t>
            </w:r>
          </w:p>
        </w:tc>
        <w:tc>
          <w:tcPr>
            <w:tcW w:w="2340" w:type="dxa"/>
            <w:vAlign w:val="bottom"/>
          </w:tcPr>
          <w:p w14:paraId="40440100" w14:textId="77777777" w:rsidR="0070585C" w:rsidRPr="00B83EC6" w:rsidRDefault="0070585C" w:rsidP="00936F9F">
            <w:pPr>
              <w:jc w:val="right"/>
              <w:rPr>
                <w:szCs w:val="24"/>
              </w:rPr>
            </w:pPr>
            <w:r w:rsidRPr="00B83EC6">
              <w:rPr>
                <w:szCs w:val="24"/>
              </w:rPr>
              <w:t>135 895 311 423 Kč</w:t>
            </w:r>
          </w:p>
        </w:tc>
      </w:tr>
      <w:tr w:rsidR="005C65AD" w:rsidRPr="00B83EC6" w14:paraId="3B33AA39" w14:textId="77777777" w:rsidTr="005C65AD">
        <w:trPr>
          <w:trHeight w:val="275"/>
        </w:trPr>
        <w:tc>
          <w:tcPr>
            <w:tcW w:w="6819" w:type="dxa"/>
            <w:shd w:val="clear" w:color="auto" w:fill="auto"/>
            <w:vAlign w:val="bottom"/>
            <w:hideMark/>
          </w:tcPr>
          <w:p w14:paraId="3EA8B95E" w14:textId="77777777" w:rsidR="005C65AD" w:rsidRPr="00B83EC6" w:rsidRDefault="005C65AD" w:rsidP="00936F9F">
            <w:pPr>
              <w:rPr>
                <w:szCs w:val="24"/>
              </w:rPr>
            </w:pPr>
            <w:r w:rsidRPr="00B83EC6">
              <w:rPr>
                <w:szCs w:val="24"/>
              </w:rPr>
              <w:t xml:space="preserve">                výdaje RgŠ - ostatní dotační tituly (vč. EDS/SMVS)</w:t>
            </w:r>
          </w:p>
        </w:tc>
        <w:tc>
          <w:tcPr>
            <w:tcW w:w="2340" w:type="dxa"/>
          </w:tcPr>
          <w:p w14:paraId="69DC158D" w14:textId="77777777" w:rsidR="005C65AD" w:rsidRPr="00B83EC6" w:rsidRDefault="005C65AD" w:rsidP="00B83EC6">
            <w:pPr>
              <w:jc w:val="right"/>
            </w:pPr>
            <w:r w:rsidRPr="00B83EC6">
              <w:t>638 306 700 Kč</w:t>
            </w:r>
          </w:p>
        </w:tc>
      </w:tr>
      <w:tr w:rsidR="005C65AD" w:rsidRPr="00B83EC6" w14:paraId="20A2FE3D" w14:textId="77777777" w:rsidTr="005C65AD">
        <w:trPr>
          <w:trHeight w:val="275"/>
        </w:trPr>
        <w:tc>
          <w:tcPr>
            <w:tcW w:w="6819" w:type="dxa"/>
            <w:shd w:val="clear" w:color="auto" w:fill="auto"/>
            <w:vAlign w:val="bottom"/>
            <w:hideMark/>
          </w:tcPr>
          <w:p w14:paraId="48162B0B" w14:textId="77777777" w:rsidR="005C65AD" w:rsidRPr="00B83EC6" w:rsidRDefault="005C65AD" w:rsidP="00936F9F">
            <w:pPr>
              <w:rPr>
                <w:szCs w:val="24"/>
              </w:rPr>
            </w:pPr>
            <w:r w:rsidRPr="00B83EC6">
              <w:rPr>
                <w:szCs w:val="24"/>
              </w:rPr>
              <w:t>výdaje PŘO</w:t>
            </w:r>
          </w:p>
        </w:tc>
        <w:tc>
          <w:tcPr>
            <w:tcW w:w="2340" w:type="dxa"/>
          </w:tcPr>
          <w:p w14:paraId="157E12C6" w14:textId="77777777" w:rsidR="005C65AD" w:rsidRPr="00B83EC6" w:rsidRDefault="005C65AD" w:rsidP="00B83EC6">
            <w:pPr>
              <w:jc w:val="right"/>
            </w:pPr>
            <w:r w:rsidRPr="00B83EC6">
              <w:t>3 115 337</w:t>
            </w:r>
            <w:r w:rsidR="00B83EC6" w:rsidRPr="00B83EC6">
              <w:t> </w:t>
            </w:r>
            <w:r w:rsidRPr="00B83EC6">
              <w:t>844</w:t>
            </w:r>
            <w:r w:rsidR="00B83EC6" w:rsidRPr="00B83EC6">
              <w:t xml:space="preserve"> Kč</w:t>
            </w:r>
          </w:p>
        </w:tc>
      </w:tr>
      <w:tr w:rsidR="0070585C" w:rsidRPr="00B83EC6" w14:paraId="154C2301" w14:textId="77777777" w:rsidTr="00936F9F">
        <w:trPr>
          <w:trHeight w:val="275"/>
        </w:trPr>
        <w:tc>
          <w:tcPr>
            <w:tcW w:w="6819" w:type="dxa"/>
            <w:shd w:val="clear" w:color="auto" w:fill="auto"/>
            <w:vAlign w:val="bottom"/>
            <w:hideMark/>
          </w:tcPr>
          <w:p w14:paraId="28002881" w14:textId="77777777" w:rsidR="0070585C" w:rsidRPr="00B83EC6" w:rsidRDefault="0070585C" w:rsidP="00936F9F">
            <w:pPr>
              <w:rPr>
                <w:szCs w:val="24"/>
              </w:rPr>
            </w:pPr>
            <w:r w:rsidRPr="00B83EC6">
              <w:rPr>
                <w:szCs w:val="24"/>
              </w:rPr>
              <w:t xml:space="preserve">                výdaje PŘO - příspěvek</w:t>
            </w:r>
          </w:p>
        </w:tc>
        <w:tc>
          <w:tcPr>
            <w:tcW w:w="2340" w:type="dxa"/>
            <w:vAlign w:val="bottom"/>
          </w:tcPr>
          <w:p w14:paraId="291E9523" w14:textId="77777777" w:rsidR="0070585C" w:rsidRPr="00B83EC6" w:rsidRDefault="0070585C" w:rsidP="00936F9F">
            <w:pPr>
              <w:jc w:val="right"/>
              <w:rPr>
                <w:szCs w:val="24"/>
              </w:rPr>
            </w:pPr>
            <w:r w:rsidRPr="00B83EC6">
              <w:rPr>
                <w:szCs w:val="24"/>
              </w:rPr>
              <w:t>3 050 337 844 Kč</w:t>
            </w:r>
          </w:p>
        </w:tc>
      </w:tr>
      <w:tr w:rsidR="0070585C" w:rsidRPr="002554C9" w14:paraId="04F0FE58" w14:textId="77777777" w:rsidTr="00936F9F">
        <w:trPr>
          <w:trHeight w:val="275"/>
        </w:trPr>
        <w:tc>
          <w:tcPr>
            <w:tcW w:w="6819" w:type="dxa"/>
            <w:shd w:val="clear" w:color="auto" w:fill="auto"/>
          </w:tcPr>
          <w:p w14:paraId="24E79530" w14:textId="77777777" w:rsidR="0070585C" w:rsidRPr="00B83EC6" w:rsidRDefault="0070585C" w:rsidP="00936F9F">
            <w:r w:rsidRPr="00B83EC6">
              <w:t xml:space="preserve">                výdaje PŘO - ostatní dotační tituly (vč. EDS/SMVS)</w:t>
            </w:r>
          </w:p>
        </w:tc>
        <w:tc>
          <w:tcPr>
            <w:tcW w:w="2340" w:type="dxa"/>
            <w:vAlign w:val="bottom"/>
          </w:tcPr>
          <w:p w14:paraId="63531246" w14:textId="77777777" w:rsidR="0070585C" w:rsidRPr="00B83EC6" w:rsidRDefault="00B83EC6" w:rsidP="00936F9F">
            <w:pPr>
              <w:jc w:val="right"/>
              <w:rPr>
                <w:szCs w:val="24"/>
              </w:rPr>
            </w:pPr>
            <w:r w:rsidRPr="00B83EC6">
              <w:rPr>
                <w:szCs w:val="24"/>
              </w:rPr>
              <w:t>65 000 000</w:t>
            </w:r>
            <w:r w:rsidR="0070585C" w:rsidRPr="00B83EC6">
              <w:rPr>
                <w:szCs w:val="24"/>
              </w:rPr>
              <w:t xml:space="preserve"> Kč</w:t>
            </w:r>
          </w:p>
        </w:tc>
      </w:tr>
    </w:tbl>
    <w:p w14:paraId="2C5A3390" w14:textId="77777777" w:rsidR="0070585C" w:rsidRPr="002554C9" w:rsidRDefault="0070585C" w:rsidP="0070585C">
      <w:pPr>
        <w:spacing w:before="120"/>
        <w:rPr>
          <w:b/>
          <w:szCs w:val="24"/>
        </w:rPr>
      </w:pPr>
    </w:p>
    <w:p w14:paraId="1B78DAA1" w14:textId="77777777" w:rsidR="0070585C" w:rsidRPr="002554C9" w:rsidRDefault="0070585C" w:rsidP="00B26388">
      <w:pPr>
        <w:pStyle w:val="Nadpis3"/>
      </w:pPr>
      <w:bookmarkStart w:id="95" w:name="_Toc5968843"/>
      <w:r w:rsidRPr="002554C9">
        <w:t>RgŠ včetně PŘO bez ostatních dotačních titulů</w:t>
      </w:r>
      <w:bookmarkEnd w:id="95"/>
    </w:p>
    <w:p w14:paraId="066818A0" w14:textId="77777777" w:rsidR="0070585C" w:rsidRPr="002554C9" w:rsidRDefault="0070585C" w:rsidP="0070585C">
      <w:pPr>
        <w:rPr>
          <w:b/>
        </w:rPr>
      </w:pPr>
    </w:p>
    <w:p w14:paraId="62856633" w14:textId="77777777" w:rsidR="0070585C" w:rsidRPr="005803D7" w:rsidRDefault="0070585C" w:rsidP="0070585C">
      <w:pPr>
        <w:rPr>
          <w:b/>
          <w:highlight w:val="yellow"/>
        </w:rPr>
      </w:pPr>
    </w:p>
    <w:tbl>
      <w:tblPr>
        <w:tblpPr w:leftFromText="141" w:rightFromText="141" w:vertAnchor="text" w:horzAnchor="margin" w:tblpXSpec="center" w:tblpY="-44"/>
        <w:tblW w:w="9368" w:type="dxa"/>
        <w:tblLayout w:type="fixed"/>
        <w:tblCellMar>
          <w:left w:w="70" w:type="dxa"/>
          <w:right w:w="70" w:type="dxa"/>
        </w:tblCellMar>
        <w:tblLook w:val="04A0" w:firstRow="1" w:lastRow="0" w:firstColumn="1" w:lastColumn="0" w:noHBand="0" w:noVBand="1"/>
      </w:tblPr>
      <w:tblGrid>
        <w:gridCol w:w="6832"/>
        <w:gridCol w:w="2536"/>
      </w:tblGrid>
      <w:tr w:rsidR="0070585C" w:rsidRPr="005803D7" w14:paraId="0A79093C" w14:textId="77777777" w:rsidTr="00936F9F">
        <w:trPr>
          <w:trHeight w:val="264"/>
        </w:trPr>
        <w:tc>
          <w:tcPr>
            <w:tcW w:w="6832" w:type="dxa"/>
            <w:shd w:val="clear" w:color="auto" w:fill="auto"/>
            <w:vAlign w:val="bottom"/>
            <w:hideMark/>
          </w:tcPr>
          <w:p w14:paraId="32AE9595" w14:textId="77777777" w:rsidR="0070585C" w:rsidRPr="00C515DF" w:rsidRDefault="0070585C" w:rsidP="00936F9F">
            <w:pPr>
              <w:ind w:left="84"/>
              <w:jc w:val="left"/>
              <w:rPr>
                <w:b/>
              </w:rPr>
            </w:pPr>
            <w:r w:rsidRPr="00C515DF">
              <w:rPr>
                <w:b/>
                <w:szCs w:val="24"/>
              </w:rPr>
              <w:t>Rozpočet celkem činí</w:t>
            </w:r>
          </w:p>
        </w:tc>
        <w:tc>
          <w:tcPr>
            <w:tcW w:w="2536" w:type="dxa"/>
            <w:vAlign w:val="bottom"/>
          </w:tcPr>
          <w:p w14:paraId="6EAD53E9" w14:textId="77777777" w:rsidR="0070585C" w:rsidRPr="00C515DF" w:rsidRDefault="0070585C" w:rsidP="00936F9F">
            <w:pPr>
              <w:jc w:val="right"/>
              <w:rPr>
                <w:szCs w:val="24"/>
              </w:rPr>
            </w:pPr>
            <w:r>
              <w:rPr>
                <w:b/>
              </w:rPr>
              <w:t>143 019 820 862</w:t>
            </w:r>
            <w:r w:rsidRPr="00C515DF">
              <w:rPr>
                <w:b/>
              </w:rPr>
              <w:t xml:space="preserve"> Kč</w:t>
            </w:r>
          </w:p>
        </w:tc>
      </w:tr>
    </w:tbl>
    <w:p w14:paraId="6063F260" w14:textId="77777777" w:rsidR="0070585C" w:rsidRPr="00361286" w:rsidRDefault="0070585C" w:rsidP="0070585C">
      <w:pPr>
        <w:pStyle w:val="Text"/>
      </w:pPr>
      <w:r w:rsidRPr="00361286">
        <w:t>Pro rok 201</w:t>
      </w:r>
      <w:r>
        <w:t>9</w:t>
      </w:r>
      <w:r w:rsidRPr="00361286">
        <w:t xml:space="preserve"> je jako závazný ukazatel stanoven výdajový blok „Výdaje RgŠ“, který v sobě zahrnuje jak tzv. přímé výdaje RgŠ - právnické osoby vykonávající činnost škol a školských zařízení (dále jen „školy a školská zařízení“), které nezřizuje stát (tj. krajské, obecní, soukromé a církevní školství), tak i neinvestiční výdaje PŘO – školy a školská zařízení zřizované MŠMT. </w:t>
      </w:r>
    </w:p>
    <w:p w14:paraId="755633D3" w14:textId="77777777" w:rsidR="0070585C" w:rsidRDefault="0070585C" w:rsidP="0070585C">
      <w:pPr>
        <w:pStyle w:val="Text"/>
      </w:pPr>
      <w:r w:rsidRPr="00C515DF">
        <w:t>Z tohoto výdajového bloku jsou poskytovány finanční prostředky státního rozpočtu podle ustanovení §§ 160 až 163 zákona č. 561/2004 Sb., o předškolním, základním, středním, vyšším odborném a jiném vzdělávání (dále jen „školský zákon“), ve znění pozdějších předpisů a podle zákona č. 306/1999 Sb., o poskytování dotací soukromým školám, předškolním a školským zařízením, ve znění pozdějších předpisů.</w:t>
      </w:r>
    </w:p>
    <w:p w14:paraId="10C40AC7" w14:textId="3296197F" w:rsidR="006F1BB8" w:rsidRPr="001F0754" w:rsidRDefault="006F1BB8" w:rsidP="006F1BB8">
      <w:pPr>
        <w:pStyle w:val="Text"/>
      </w:pPr>
      <w:r w:rsidRPr="001F0754">
        <w:t xml:space="preserve">V souvislosti se změnou systému financování škol a školských zařízení zřizovaných kraji, </w:t>
      </w:r>
      <w:r w:rsidRPr="006231B3">
        <w:t>obcemi nebo dobrovolnými svazky obcí ze státního rozpočtu (od 1. ledna 2020) lze již nyní avizovat tyto navazující kroky týkající se normativů pro soukromé</w:t>
      </w:r>
      <w:r>
        <w:t xml:space="preserve"> a církevní</w:t>
      </w:r>
      <w:r w:rsidRPr="006231B3">
        <w:t xml:space="preserve"> školst</w:t>
      </w:r>
      <w:r w:rsidR="00B302E0">
        <w:t>ví na </w:t>
      </w:r>
      <w:r w:rsidRPr="006231B3">
        <w:t>rok 2020 (při zachování principu ročního odstupu promítání zvyšování normativů oproti veřejným školám – vyplývá z § 4 odst. 1, 2 a 4 zákona č. 306/1999 Sb.):</w:t>
      </w:r>
    </w:p>
    <w:p w14:paraId="678A98E7" w14:textId="6F6FD861" w:rsidR="00672B96" w:rsidRPr="00672B96" w:rsidRDefault="00672B96" w:rsidP="00672B96">
      <w:pPr>
        <w:pStyle w:val="Odstavecseseznamem"/>
        <w:numPr>
          <w:ilvl w:val="0"/>
          <w:numId w:val="56"/>
        </w:numPr>
        <w:ind w:left="426" w:hanging="426"/>
      </w:pPr>
      <w:r w:rsidRPr="00672B96">
        <w:t xml:space="preserve">v průběhu roku 2019 budou na základě provedené analýzy krajských normativů pro jednotlivé obory vzdělání vyšších odborných škol stanoveny centrální (jednotné pro celou ČR) normativy na 1 studenta daného vzdělávacího programu vyšší odborné školy zřizované krajem. Tyto normativy budou shodně využity při stanovení normativů soukromého a církevního vyššího odborného školství pro rok 2020 (v jejich mzdové části, části odvodů a té části ONIV zohledňující výdaje uvedené v § 160 odst. 1 písm. d) školského zákona), obdobně bude postupováno v oblasti normativů pro základní umělecké školy; </w:t>
      </w:r>
    </w:p>
    <w:p w14:paraId="4B18B4ED" w14:textId="3FCCE101" w:rsidR="00672B96" w:rsidRPr="00672B96" w:rsidRDefault="00672B96" w:rsidP="00672B96">
      <w:pPr>
        <w:pStyle w:val="Odstavecseseznamem"/>
        <w:numPr>
          <w:ilvl w:val="0"/>
          <w:numId w:val="56"/>
        </w:numPr>
        <w:ind w:left="426" w:hanging="426"/>
      </w:pPr>
      <w:r w:rsidRPr="00672B96">
        <w:t>v první polovině roku 2019 bude navržena nová struktura normativů pro soukromé základní školy pro rok 2020 zohledňující změnu princip</w:t>
      </w:r>
      <w:r w:rsidR="00B302E0">
        <w:t>u financování přímých výdajů na </w:t>
      </w:r>
      <w:r w:rsidRPr="00672B96">
        <w:t xml:space="preserve">vzdělávání v základních školách (opuštění principu </w:t>
      </w:r>
      <w:r w:rsidR="00B302E0">
        <w:t>lineární funkce v závislosti na </w:t>
      </w:r>
      <w:r w:rsidRPr="00672B96">
        <w:t>velikosti základní školy a přiblížení konceptu naplněnostních kategorií třídy pro účely stanovení PH</w:t>
      </w:r>
      <w:r w:rsidRPr="00672B96">
        <w:rPr>
          <w:vertAlign w:val="subscript"/>
        </w:rPr>
        <w:t>max</w:t>
      </w:r>
      <w:r w:rsidRPr="00672B96">
        <w:t xml:space="preserve"> a opravného koeficientu k normativu na nenárokové složky platu); nová struktura normativů pro soukromé základní školy pro rok 2020 bude zveřejněna nejpozději v srpnu 2019, aby se na ní mohly soukromé a církevní školy připravit.</w:t>
      </w:r>
    </w:p>
    <w:p w14:paraId="73119BAD" w14:textId="77777777" w:rsidR="00F70545" w:rsidRPr="00C515DF" w:rsidRDefault="00F70545" w:rsidP="0070585C">
      <w:pPr>
        <w:pStyle w:val="Text"/>
      </w:pPr>
    </w:p>
    <w:p w14:paraId="68B9707F" w14:textId="10989031" w:rsidR="0070585C" w:rsidRPr="004D09BB" w:rsidRDefault="0070585C" w:rsidP="0070585C">
      <w:pPr>
        <w:pStyle w:val="Text"/>
      </w:pPr>
      <w:r w:rsidRPr="004D09BB">
        <w:lastRenderedPageBreak/>
        <w:t xml:space="preserve">Rozpočet běžných výdajů (bez výdajů na </w:t>
      </w:r>
      <w:r w:rsidR="00960EC8">
        <w:t>programové financování</w:t>
      </w:r>
      <w:r w:rsidRPr="004D09BB">
        <w:t>) RgŠ činí celkem pro rok 201</w:t>
      </w:r>
      <w:r>
        <w:t>9</w:t>
      </w:r>
      <w:r w:rsidRPr="004D09BB">
        <w:t xml:space="preserve">:  </w:t>
      </w:r>
      <w:r w:rsidRPr="004D09BB">
        <w:tab/>
      </w:r>
      <w:r>
        <w:tab/>
      </w:r>
      <w:r w:rsidRPr="00A176BD">
        <w:rPr>
          <w:b/>
        </w:rPr>
        <w:t>143 019 820 862 Kč</w:t>
      </w:r>
    </w:p>
    <w:tbl>
      <w:tblPr>
        <w:tblW w:w="0" w:type="auto"/>
        <w:tblInd w:w="709" w:type="dxa"/>
        <w:tblLook w:val="04A0" w:firstRow="1" w:lastRow="0" w:firstColumn="1" w:lastColumn="0" w:noHBand="0" w:noVBand="1"/>
      </w:tblPr>
      <w:tblGrid>
        <w:gridCol w:w="675"/>
        <w:gridCol w:w="875"/>
        <w:gridCol w:w="4305"/>
        <w:gridCol w:w="2722"/>
      </w:tblGrid>
      <w:tr w:rsidR="0070585C" w:rsidRPr="004D09BB" w14:paraId="3B94B284" w14:textId="77777777" w:rsidTr="00936F9F">
        <w:tc>
          <w:tcPr>
            <w:tcW w:w="1550" w:type="dxa"/>
            <w:gridSpan w:val="2"/>
            <w:shd w:val="clear" w:color="auto" w:fill="auto"/>
          </w:tcPr>
          <w:p w14:paraId="2D1DA888" w14:textId="77777777" w:rsidR="0070585C" w:rsidRPr="004D09BB" w:rsidRDefault="0070585C" w:rsidP="00936F9F">
            <w:r w:rsidRPr="004D09BB">
              <w:t>v tom činí:</w:t>
            </w:r>
          </w:p>
        </w:tc>
        <w:tc>
          <w:tcPr>
            <w:tcW w:w="4305" w:type="dxa"/>
            <w:shd w:val="clear" w:color="auto" w:fill="auto"/>
          </w:tcPr>
          <w:p w14:paraId="65D72E90" w14:textId="77777777" w:rsidR="0070585C" w:rsidRPr="004D09BB" w:rsidRDefault="0070585C" w:rsidP="00936F9F"/>
        </w:tc>
        <w:tc>
          <w:tcPr>
            <w:tcW w:w="2722" w:type="dxa"/>
            <w:shd w:val="clear" w:color="auto" w:fill="auto"/>
          </w:tcPr>
          <w:p w14:paraId="0B223D42" w14:textId="77777777" w:rsidR="0070585C" w:rsidRPr="004D09BB" w:rsidRDefault="0070585C" w:rsidP="00936F9F"/>
        </w:tc>
      </w:tr>
      <w:tr w:rsidR="0070585C" w:rsidRPr="004D09BB" w14:paraId="75D79EC4" w14:textId="77777777" w:rsidTr="00936F9F">
        <w:tc>
          <w:tcPr>
            <w:tcW w:w="675" w:type="dxa"/>
            <w:shd w:val="clear" w:color="auto" w:fill="auto"/>
          </w:tcPr>
          <w:p w14:paraId="52914BDE" w14:textId="77777777" w:rsidR="0070585C" w:rsidRPr="004D09BB" w:rsidRDefault="0070585C" w:rsidP="00936F9F"/>
        </w:tc>
        <w:tc>
          <w:tcPr>
            <w:tcW w:w="5180" w:type="dxa"/>
            <w:gridSpan w:val="2"/>
            <w:shd w:val="clear" w:color="auto" w:fill="auto"/>
          </w:tcPr>
          <w:p w14:paraId="2B185C4A" w14:textId="77777777" w:rsidR="0070585C" w:rsidRPr="004D09BB" w:rsidRDefault="0070585C" w:rsidP="00936F9F">
            <w:r w:rsidRPr="004D09BB">
              <w:t>mzdové prostředky</w:t>
            </w:r>
          </w:p>
        </w:tc>
        <w:tc>
          <w:tcPr>
            <w:tcW w:w="2722" w:type="dxa"/>
            <w:shd w:val="clear" w:color="auto" w:fill="auto"/>
          </w:tcPr>
          <w:p w14:paraId="60995826" w14:textId="77777777" w:rsidR="0070585C" w:rsidRPr="004D09BB" w:rsidRDefault="0070585C" w:rsidP="00936F9F">
            <w:pPr>
              <w:jc w:val="right"/>
            </w:pPr>
            <w:r>
              <w:t>97 846 637 213</w:t>
            </w:r>
            <w:r w:rsidRPr="004D09BB">
              <w:t xml:space="preserve"> Kč</w:t>
            </w:r>
          </w:p>
        </w:tc>
      </w:tr>
      <w:tr w:rsidR="0070585C" w:rsidRPr="004D09BB" w14:paraId="29D196DB" w14:textId="77777777" w:rsidTr="00936F9F">
        <w:tc>
          <w:tcPr>
            <w:tcW w:w="675" w:type="dxa"/>
            <w:shd w:val="clear" w:color="auto" w:fill="auto"/>
          </w:tcPr>
          <w:p w14:paraId="6BF2B3CC" w14:textId="77777777" w:rsidR="0070585C" w:rsidRPr="004D09BB" w:rsidRDefault="0070585C" w:rsidP="00936F9F"/>
        </w:tc>
        <w:tc>
          <w:tcPr>
            <w:tcW w:w="5180" w:type="dxa"/>
            <w:gridSpan w:val="2"/>
            <w:shd w:val="clear" w:color="auto" w:fill="auto"/>
          </w:tcPr>
          <w:p w14:paraId="58E876D8" w14:textId="77777777" w:rsidR="0070585C" w:rsidRPr="004D09BB" w:rsidRDefault="0070585C" w:rsidP="00936F9F">
            <w:r w:rsidRPr="004D09BB">
              <w:t>zákonné odvody do fondů</w:t>
            </w:r>
          </w:p>
        </w:tc>
        <w:tc>
          <w:tcPr>
            <w:tcW w:w="2722" w:type="dxa"/>
            <w:shd w:val="clear" w:color="auto" w:fill="auto"/>
          </w:tcPr>
          <w:p w14:paraId="69241F4C" w14:textId="77777777" w:rsidR="0070585C" w:rsidRPr="004D09BB" w:rsidRDefault="0070585C" w:rsidP="00936F9F">
            <w:pPr>
              <w:jc w:val="right"/>
            </w:pPr>
            <w:r>
              <w:t>35 208 789 543</w:t>
            </w:r>
            <w:r w:rsidRPr="004D09BB">
              <w:t xml:space="preserve"> Kč</w:t>
            </w:r>
          </w:p>
        </w:tc>
      </w:tr>
      <w:tr w:rsidR="0070585C" w:rsidRPr="004D09BB" w14:paraId="5CC7FCEA" w14:textId="77777777" w:rsidTr="00936F9F">
        <w:tc>
          <w:tcPr>
            <w:tcW w:w="675" w:type="dxa"/>
            <w:shd w:val="clear" w:color="auto" w:fill="auto"/>
          </w:tcPr>
          <w:p w14:paraId="689506C7" w14:textId="77777777" w:rsidR="0070585C" w:rsidRPr="004D09BB" w:rsidRDefault="0070585C" w:rsidP="00936F9F"/>
        </w:tc>
        <w:tc>
          <w:tcPr>
            <w:tcW w:w="5180" w:type="dxa"/>
            <w:gridSpan w:val="2"/>
            <w:shd w:val="clear" w:color="auto" w:fill="auto"/>
          </w:tcPr>
          <w:p w14:paraId="3831FB7A" w14:textId="77777777" w:rsidR="0070585C" w:rsidRPr="004D09BB" w:rsidRDefault="0070585C" w:rsidP="00936F9F">
            <w:r w:rsidRPr="004D09BB">
              <w:t>OBV celkem</w:t>
            </w:r>
          </w:p>
        </w:tc>
        <w:tc>
          <w:tcPr>
            <w:tcW w:w="2722" w:type="dxa"/>
            <w:shd w:val="clear" w:color="auto" w:fill="auto"/>
          </w:tcPr>
          <w:p w14:paraId="70894279" w14:textId="77777777" w:rsidR="0070585C" w:rsidRPr="004D09BB" w:rsidRDefault="0070585C" w:rsidP="00936F9F">
            <w:pPr>
              <w:jc w:val="right"/>
            </w:pPr>
            <w:r w:rsidRPr="004D09BB">
              <w:t>9</w:t>
            </w:r>
            <w:r>
              <w:t> 964 394 106</w:t>
            </w:r>
            <w:r w:rsidRPr="004D09BB">
              <w:t xml:space="preserve"> Kč</w:t>
            </w:r>
          </w:p>
        </w:tc>
      </w:tr>
      <w:tr w:rsidR="0070585C" w:rsidRPr="004D09BB" w14:paraId="1B1EFFC8" w14:textId="77777777" w:rsidTr="00936F9F">
        <w:tc>
          <w:tcPr>
            <w:tcW w:w="5855" w:type="dxa"/>
            <w:gridSpan w:val="3"/>
            <w:shd w:val="clear" w:color="auto" w:fill="auto"/>
          </w:tcPr>
          <w:p w14:paraId="7F3E78A4" w14:textId="77777777" w:rsidR="0070585C" w:rsidRPr="004D09BB" w:rsidRDefault="0070585C" w:rsidP="00936F9F">
            <w:r w:rsidRPr="004D09BB">
              <w:t>a limit počtu zaměstnanců</w:t>
            </w:r>
          </w:p>
        </w:tc>
        <w:tc>
          <w:tcPr>
            <w:tcW w:w="2722" w:type="dxa"/>
            <w:shd w:val="clear" w:color="auto" w:fill="auto"/>
          </w:tcPr>
          <w:p w14:paraId="1AA73167" w14:textId="77777777" w:rsidR="0070585C" w:rsidRPr="004D09BB" w:rsidRDefault="0070585C" w:rsidP="00936F9F">
            <w:pPr>
              <w:jc w:val="right"/>
            </w:pPr>
            <w:r w:rsidRPr="004D09BB">
              <w:t>2</w:t>
            </w:r>
            <w:r>
              <w:t>46 892</w:t>
            </w:r>
            <w:r w:rsidRPr="004D09BB">
              <w:t>,0</w:t>
            </w:r>
          </w:p>
        </w:tc>
      </w:tr>
    </w:tbl>
    <w:p w14:paraId="0F475A73" w14:textId="77777777" w:rsidR="0070585C" w:rsidRPr="00C26D6B" w:rsidRDefault="0070585C" w:rsidP="0070585C">
      <w:pPr>
        <w:pStyle w:val="Text"/>
      </w:pPr>
      <w:r w:rsidRPr="00C26D6B">
        <w:t xml:space="preserve">Podle PVS je objem rozpočtu běžných výdajů RgŠ na rok </w:t>
      </w:r>
      <w:r>
        <w:t>2019</w:t>
      </w:r>
      <w:r w:rsidRPr="00C26D6B">
        <w:t xml:space="preserve"> členěn na:</w:t>
      </w:r>
    </w:p>
    <w:p w14:paraId="3F65A97F" w14:textId="77777777" w:rsidR="0070585C" w:rsidRPr="00D8549A" w:rsidRDefault="0070585C" w:rsidP="0070585C">
      <w:pPr>
        <w:tabs>
          <w:tab w:val="right" w:pos="9072"/>
        </w:tabs>
        <w:spacing w:before="120"/>
        <w:ind w:left="425" w:hanging="425"/>
      </w:pPr>
      <w:r w:rsidRPr="00C26D6B">
        <w:t xml:space="preserve">PVS 5020010011 – výdaje RgŠ – rozvojové programy </w:t>
      </w:r>
      <w:r w:rsidRPr="00C26D6B">
        <w:tab/>
      </w:r>
      <w:r w:rsidRPr="00E331A3">
        <w:rPr>
          <w:bCs/>
          <w:szCs w:val="24"/>
        </w:rPr>
        <w:t xml:space="preserve">4 074 171 </w:t>
      </w:r>
      <w:r w:rsidRPr="00D8549A">
        <w:rPr>
          <w:bCs/>
          <w:szCs w:val="24"/>
        </w:rPr>
        <w:t>595</w:t>
      </w:r>
      <w:r w:rsidRPr="00D8549A">
        <w:rPr>
          <w:szCs w:val="24"/>
        </w:rPr>
        <w:t xml:space="preserve"> </w:t>
      </w:r>
      <w:r w:rsidRPr="00D8549A">
        <w:t>Kč</w:t>
      </w:r>
    </w:p>
    <w:p w14:paraId="3A243E0F" w14:textId="77777777" w:rsidR="0070585C" w:rsidRPr="00CA511B" w:rsidRDefault="0070585C" w:rsidP="0070585C">
      <w:pPr>
        <w:tabs>
          <w:tab w:val="right" w:pos="9072"/>
        </w:tabs>
        <w:ind w:left="426" w:hanging="425"/>
      </w:pPr>
      <w:r w:rsidRPr="00D8549A">
        <w:t xml:space="preserve">PVS 5020010012 – výdaje RgŠ – výkonové financování    </w:t>
      </w:r>
      <w:r w:rsidRPr="00D8549A">
        <w:tab/>
        <w:t>1</w:t>
      </w:r>
      <w:r>
        <w:t>35 895 311 423</w:t>
      </w:r>
      <w:r w:rsidRPr="00D8549A">
        <w:t xml:space="preserve"> Kč</w:t>
      </w:r>
    </w:p>
    <w:p w14:paraId="1B6DA5E2" w14:textId="77777777" w:rsidR="0070585C" w:rsidRPr="00C26D6B" w:rsidRDefault="0070585C" w:rsidP="0070585C">
      <w:pPr>
        <w:tabs>
          <w:tab w:val="right" w:pos="9072"/>
        </w:tabs>
        <w:ind w:left="426" w:hanging="425"/>
        <w:rPr>
          <w:szCs w:val="24"/>
        </w:rPr>
      </w:pPr>
      <w:r w:rsidRPr="00C26D6B">
        <w:t xml:space="preserve">PVS 5020010022 – výdaje PŘO – příspěvek       </w:t>
      </w:r>
      <w:r w:rsidRPr="00C26D6B">
        <w:tab/>
      </w:r>
      <w:r>
        <w:t>3 050 337 844</w:t>
      </w:r>
      <w:r w:rsidRPr="00C26D6B">
        <w:rPr>
          <w:szCs w:val="24"/>
        </w:rPr>
        <w:t xml:space="preserve"> Kč </w:t>
      </w:r>
    </w:p>
    <w:p w14:paraId="630B602C" w14:textId="77777777" w:rsidR="0070585C" w:rsidRPr="00E80E49" w:rsidRDefault="0070585C" w:rsidP="0070585C">
      <w:pPr>
        <w:pStyle w:val="Text"/>
      </w:pPr>
      <w:r w:rsidRPr="00E80E49">
        <w:t>Kvantifikace a podrobná struktura rozpočtu běžných výdajů RgŠ včetně běžných výdajů na PŘO na rok 201</w:t>
      </w:r>
      <w:r>
        <w:t>9</w:t>
      </w:r>
      <w:r w:rsidRPr="00E80E49">
        <w:t xml:space="preserve"> je uvedena v následující tabulce:</w:t>
      </w:r>
    </w:p>
    <w:p w14:paraId="467555A5" w14:textId="77777777" w:rsidR="0070585C" w:rsidRDefault="0070585C" w:rsidP="0070585C">
      <w:pPr>
        <w:pStyle w:val="Titulek"/>
        <w:keepNext/>
      </w:pPr>
      <w:bookmarkStart w:id="96" w:name="_Toc398898227"/>
      <w:bookmarkStart w:id="97" w:name="_Toc478632328"/>
    </w:p>
    <w:p w14:paraId="1E6376BB" w14:textId="77777777" w:rsidR="0070585C" w:rsidRDefault="0070585C" w:rsidP="0070585C">
      <w:pPr>
        <w:pStyle w:val="Titulek"/>
        <w:keepNext/>
      </w:pPr>
      <w:bookmarkStart w:id="98" w:name="_Toc5965629"/>
      <w:r w:rsidRPr="00E80E49">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8</w:t>
      </w:r>
      <w:r w:rsidR="005F53B0">
        <w:rPr>
          <w:noProof/>
        </w:rPr>
        <w:fldChar w:fldCharType="end"/>
      </w:r>
      <w:bookmarkEnd w:id="96"/>
      <w:r w:rsidRPr="00E80E49">
        <w:t>: Podrobná struktura rozpočtu RgŠ</w:t>
      </w:r>
      <w:bookmarkEnd w:id="97"/>
      <w:bookmarkEnd w:id="98"/>
    </w:p>
    <w:tbl>
      <w:tblPr>
        <w:tblW w:w="90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43"/>
        <w:gridCol w:w="1417"/>
        <w:gridCol w:w="1418"/>
        <w:gridCol w:w="1417"/>
        <w:gridCol w:w="1418"/>
        <w:gridCol w:w="1417"/>
      </w:tblGrid>
      <w:tr w:rsidR="0070585C" w:rsidRPr="007E642D" w14:paraId="14BA09D1" w14:textId="77777777" w:rsidTr="00936F9F">
        <w:tc>
          <w:tcPr>
            <w:tcW w:w="1943" w:type="dxa"/>
            <w:vMerge w:val="restart"/>
          </w:tcPr>
          <w:p w14:paraId="68CEAAF7" w14:textId="77777777" w:rsidR="0070585C" w:rsidRPr="007E642D" w:rsidRDefault="0070585C" w:rsidP="00936F9F">
            <w:pPr>
              <w:jc w:val="left"/>
              <w:rPr>
                <w:i/>
                <w:sz w:val="20"/>
              </w:rPr>
            </w:pPr>
            <w:r w:rsidRPr="007E642D">
              <w:rPr>
                <w:i/>
                <w:sz w:val="20"/>
              </w:rPr>
              <w:br w:type="page"/>
            </w:r>
          </w:p>
        </w:tc>
        <w:tc>
          <w:tcPr>
            <w:tcW w:w="1417" w:type="dxa"/>
          </w:tcPr>
          <w:p w14:paraId="5B81A710" w14:textId="77777777" w:rsidR="0070585C" w:rsidRPr="007E642D" w:rsidRDefault="0070585C" w:rsidP="00936F9F">
            <w:pPr>
              <w:jc w:val="center"/>
            </w:pPr>
            <w:r w:rsidRPr="007E642D">
              <w:t>Běžné výdaje celkem</w:t>
            </w:r>
          </w:p>
        </w:tc>
        <w:tc>
          <w:tcPr>
            <w:tcW w:w="1418" w:type="dxa"/>
          </w:tcPr>
          <w:p w14:paraId="17F2E8C8" w14:textId="77777777" w:rsidR="0070585C" w:rsidRPr="007E642D" w:rsidRDefault="0070585C" w:rsidP="00936F9F">
            <w:pPr>
              <w:jc w:val="center"/>
            </w:pPr>
            <w:r w:rsidRPr="007E642D">
              <w:t>Mzdové prostředky</w:t>
            </w:r>
          </w:p>
        </w:tc>
        <w:tc>
          <w:tcPr>
            <w:tcW w:w="1417" w:type="dxa"/>
          </w:tcPr>
          <w:p w14:paraId="5CD8FD92" w14:textId="77777777" w:rsidR="0070585C" w:rsidRPr="007E642D" w:rsidRDefault="0070585C" w:rsidP="00936F9F">
            <w:pPr>
              <w:jc w:val="center"/>
            </w:pPr>
            <w:r w:rsidRPr="007E642D">
              <w:t>Odvody</w:t>
            </w:r>
          </w:p>
        </w:tc>
        <w:tc>
          <w:tcPr>
            <w:tcW w:w="1418" w:type="dxa"/>
          </w:tcPr>
          <w:p w14:paraId="0B84BDBB" w14:textId="77777777" w:rsidR="0070585C" w:rsidRPr="007E642D" w:rsidRDefault="0070585C" w:rsidP="00936F9F">
            <w:pPr>
              <w:jc w:val="center"/>
            </w:pPr>
            <w:r w:rsidRPr="007E642D">
              <w:t>Ostatní běžné výdaje</w:t>
            </w:r>
          </w:p>
        </w:tc>
        <w:tc>
          <w:tcPr>
            <w:tcW w:w="1417" w:type="dxa"/>
          </w:tcPr>
          <w:p w14:paraId="7E6F73CA" w14:textId="77777777" w:rsidR="0070585C" w:rsidRPr="007E642D" w:rsidRDefault="0070585C" w:rsidP="00936F9F">
            <w:pPr>
              <w:jc w:val="center"/>
            </w:pPr>
            <w:r w:rsidRPr="007E642D">
              <w:t>Počet zaměstnanců</w:t>
            </w:r>
          </w:p>
        </w:tc>
      </w:tr>
      <w:tr w:rsidR="0070585C" w:rsidRPr="007E642D" w14:paraId="64FB01DD" w14:textId="77777777" w:rsidTr="00936F9F">
        <w:tc>
          <w:tcPr>
            <w:tcW w:w="1943" w:type="dxa"/>
            <w:vMerge/>
          </w:tcPr>
          <w:p w14:paraId="40174D19" w14:textId="77777777" w:rsidR="0070585C" w:rsidRPr="007E642D" w:rsidRDefault="0070585C" w:rsidP="00936F9F">
            <w:pPr>
              <w:jc w:val="left"/>
              <w:rPr>
                <w:i/>
                <w:sz w:val="20"/>
              </w:rPr>
            </w:pPr>
          </w:p>
        </w:tc>
        <w:tc>
          <w:tcPr>
            <w:tcW w:w="1417" w:type="dxa"/>
          </w:tcPr>
          <w:p w14:paraId="58F59E6F" w14:textId="77777777" w:rsidR="0070585C" w:rsidRPr="007E642D" w:rsidRDefault="0070585C" w:rsidP="00936F9F">
            <w:pPr>
              <w:jc w:val="center"/>
            </w:pPr>
            <w:r w:rsidRPr="007E642D">
              <w:t>v Kč</w:t>
            </w:r>
          </w:p>
        </w:tc>
        <w:tc>
          <w:tcPr>
            <w:tcW w:w="1418" w:type="dxa"/>
          </w:tcPr>
          <w:p w14:paraId="61CBE6CF" w14:textId="77777777" w:rsidR="0070585C" w:rsidRPr="007E642D" w:rsidRDefault="0070585C" w:rsidP="00936F9F">
            <w:pPr>
              <w:jc w:val="center"/>
            </w:pPr>
            <w:r w:rsidRPr="007E642D">
              <w:t>v Kč</w:t>
            </w:r>
          </w:p>
        </w:tc>
        <w:tc>
          <w:tcPr>
            <w:tcW w:w="1417" w:type="dxa"/>
          </w:tcPr>
          <w:p w14:paraId="66626EE9" w14:textId="77777777" w:rsidR="0070585C" w:rsidRPr="007E642D" w:rsidRDefault="0070585C" w:rsidP="00936F9F">
            <w:pPr>
              <w:jc w:val="center"/>
            </w:pPr>
            <w:r w:rsidRPr="007E642D">
              <w:t>v Kč</w:t>
            </w:r>
          </w:p>
        </w:tc>
        <w:tc>
          <w:tcPr>
            <w:tcW w:w="1418" w:type="dxa"/>
          </w:tcPr>
          <w:p w14:paraId="6945C712" w14:textId="77777777" w:rsidR="0070585C" w:rsidRPr="007E642D" w:rsidRDefault="0070585C" w:rsidP="00936F9F">
            <w:pPr>
              <w:jc w:val="center"/>
            </w:pPr>
            <w:r w:rsidRPr="007E642D">
              <w:t>v Kč</w:t>
            </w:r>
          </w:p>
        </w:tc>
        <w:tc>
          <w:tcPr>
            <w:tcW w:w="1417" w:type="dxa"/>
          </w:tcPr>
          <w:p w14:paraId="34F2E2FE" w14:textId="77777777" w:rsidR="0070585C" w:rsidRPr="007E642D" w:rsidRDefault="0070585C" w:rsidP="00936F9F">
            <w:pPr>
              <w:jc w:val="center"/>
            </w:pPr>
          </w:p>
        </w:tc>
      </w:tr>
      <w:tr w:rsidR="0070585C" w:rsidRPr="007E642D" w14:paraId="00763319" w14:textId="77777777" w:rsidTr="00936F9F">
        <w:trPr>
          <w:trHeight w:val="480"/>
        </w:trPr>
        <w:tc>
          <w:tcPr>
            <w:tcW w:w="1943" w:type="dxa"/>
            <w:vAlign w:val="center"/>
          </w:tcPr>
          <w:p w14:paraId="0C836217" w14:textId="77777777" w:rsidR="0070585C" w:rsidRPr="00EC0870" w:rsidRDefault="0070585C" w:rsidP="00936F9F">
            <w:pPr>
              <w:jc w:val="left"/>
              <w:rPr>
                <w:b/>
                <w:sz w:val="20"/>
              </w:rPr>
            </w:pPr>
            <w:r w:rsidRPr="00EC0870">
              <w:rPr>
                <w:b/>
                <w:sz w:val="20"/>
              </w:rPr>
              <w:t>Výdaje  RgŠ celkem:</w:t>
            </w:r>
          </w:p>
        </w:tc>
        <w:tc>
          <w:tcPr>
            <w:tcW w:w="1417" w:type="dxa"/>
            <w:vAlign w:val="center"/>
          </w:tcPr>
          <w:p w14:paraId="2756C7ED" w14:textId="77777777" w:rsidR="0070585C" w:rsidRPr="00D8549A" w:rsidRDefault="0070585C" w:rsidP="00936F9F">
            <w:pPr>
              <w:jc w:val="left"/>
              <w:rPr>
                <w:sz w:val="20"/>
              </w:rPr>
            </w:pPr>
            <w:r w:rsidRPr="00D8549A">
              <w:rPr>
                <w:sz w:val="20"/>
              </w:rPr>
              <w:t>143 019 820 862</w:t>
            </w:r>
          </w:p>
        </w:tc>
        <w:tc>
          <w:tcPr>
            <w:tcW w:w="1418" w:type="dxa"/>
            <w:vAlign w:val="center"/>
          </w:tcPr>
          <w:p w14:paraId="47409215" w14:textId="77777777" w:rsidR="0070585C" w:rsidRPr="00D8549A" w:rsidRDefault="0070585C" w:rsidP="00936F9F">
            <w:pPr>
              <w:jc w:val="left"/>
              <w:rPr>
                <w:sz w:val="20"/>
              </w:rPr>
            </w:pPr>
            <w:r w:rsidRPr="00D8549A">
              <w:rPr>
                <w:sz w:val="20"/>
              </w:rPr>
              <w:t>97 846 637 213</w:t>
            </w:r>
          </w:p>
        </w:tc>
        <w:tc>
          <w:tcPr>
            <w:tcW w:w="1417" w:type="dxa"/>
            <w:vAlign w:val="center"/>
          </w:tcPr>
          <w:p w14:paraId="1331184F" w14:textId="77777777" w:rsidR="0070585C" w:rsidRPr="00D8549A" w:rsidRDefault="0070585C" w:rsidP="00936F9F">
            <w:pPr>
              <w:jc w:val="left"/>
              <w:rPr>
                <w:sz w:val="20"/>
              </w:rPr>
            </w:pPr>
            <w:r w:rsidRPr="00D8549A">
              <w:rPr>
                <w:sz w:val="20"/>
              </w:rPr>
              <w:t>35 208 789 543</w:t>
            </w:r>
          </w:p>
        </w:tc>
        <w:tc>
          <w:tcPr>
            <w:tcW w:w="1418" w:type="dxa"/>
            <w:vAlign w:val="center"/>
          </w:tcPr>
          <w:p w14:paraId="5D7E38A8" w14:textId="77777777" w:rsidR="0070585C" w:rsidRPr="00D8549A" w:rsidRDefault="0070585C" w:rsidP="00936F9F">
            <w:pPr>
              <w:jc w:val="left"/>
              <w:rPr>
                <w:sz w:val="20"/>
              </w:rPr>
            </w:pPr>
            <w:r w:rsidRPr="00D8549A">
              <w:rPr>
                <w:sz w:val="20"/>
              </w:rPr>
              <w:t>9 964 394 106</w:t>
            </w:r>
          </w:p>
        </w:tc>
        <w:tc>
          <w:tcPr>
            <w:tcW w:w="1417" w:type="dxa"/>
            <w:vAlign w:val="center"/>
          </w:tcPr>
          <w:p w14:paraId="4E507A71" w14:textId="77777777" w:rsidR="0070585C" w:rsidRPr="00D8549A" w:rsidRDefault="0070585C" w:rsidP="00936F9F">
            <w:pPr>
              <w:jc w:val="left"/>
              <w:rPr>
                <w:sz w:val="20"/>
              </w:rPr>
            </w:pPr>
            <w:r w:rsidRPr="00D8549A">
              <w:rPr>
                <w:sz w:val="20"/>
              </w:rPr>
              <w:t>246 892,00</w:t>
            </w:r>
          </w:p>
        </w:tc>
      </w:tr>
      <w:tr w:rsidR="0070585C" w:rsidRPr="007E642D" w14:paraId="76D4A3CD" w14:textId="77777777" w:rsidTr="00936F9F">
        <w:tc>
          <w:tcPr>
            <w:tcW w:w="1943" w:type="dxa"/>
            <w:vAlign w:val="center"/>
          </w:tcPr>
          <w:p w14:paraId="5192E4BA" w14:textId="77777777" w:rsidR="0070585C" w:rsidRPr="00EC0870" w:rsidRDefault="0070585C" w:rsidP="00936F9F">
            <w:pPr>
              <w:jc w:val="left"/>
              <w:rPr>
                <w:b/>
                <w:sz w:val="20"/>
              </w:rPr>
            </w:pPr>
            <w:r w:rsidRPr="00EC0870">
              <w:rPr>
                <w:b/>
                <w:sz w:val="20"/>
              </w:rPr>
              <w:t>Přímé výdaje RgŠ:</w:t>
            </w:r>
          </w:p>
        </w:tc>
        <w:tc>
          <w:tcPr>
            <w:tcW w:w="1417" w:type="dxa"/>
            <w:vAlign w:val="center"/>
          </w:tcPr>
          <w:p w14:paraId="0B5D9894" w14:textId="77777777" w:rsidR="0070585C" w:rsidRPr="00D8549A" w:rsidRDefault="0070585C" w:rsidP="00936F9F">
            <w:pPr>
              <w:jc w:val="left"/>
              <w:rPr>
                <w:sz w:val="20"/>
              </w:rPr>
            </w:pPr>
            <w:r w:rsidRPr="00D8549A">
              <w:rPr>
                <w:sz w:val="20"/>
              </w:rPr>
              <w:t>139 969 483 018</w:t>
            </w:r>
          </w:p>
        </w:tc>
        <w:tc>
          <w:tcPr>
            <w:tcW w:w="1418" w:type="dxa"/>
            <w:vAlign w:val="center"/>
          </w:tcPr>
          <w:p w14:paraId="20B31F03" w14:textId="77777777" w:rsidR="0070585C" w:rsidRPr="00D8549A" w:rsidRDefault="0070585C" w:rsidP="00936F9F">
            <w:pPr>
              <w:jc w:val="left"/>
              <w:rPr>
                <w:sz w:val="20"/>
              </w:rPr>
            </w:pPr>
            <w:r w:rsidRPr="00D8549A">
              <w:rPr>
                <w:sz w:val="20"/>
              </w:rPr>
              <w:t>95 842 540 619</w:t>
            </w:r>
          </w:p>
        </w:tc>
        <w:tc>
          <w:tcPr>
            <w:tcW w:w="1417" w:type="dxa"/>
            <w:vAlign w:val="center"/>
          </w:tcPr>
          <w:p w14:paraId="12B9873E" w14:textId="77777777" w:rsidR="0070585C" w:rsidRPr="00D8549A" w:rsidRDefault="0070585C" w:rsidP="00936F9F">
            <w:pPr>
              <w:jc w:val="left"/>
              <w:rPr>
                <w:sz w:val="20"/>
              </w:rPr>
            </w:pPr>
            <w:r w:rsidRPr="00D8549A">
              <w:rPr>
                <w:sz w:val="20"/>
              </w:rPr>
              <w:t>34 487 591 269</w:t>
            </w:r>
          </w:p>
        </w:tc>
        <w:tc>
          <w:tcPr>
            <w:tcW w:w="1418" w:type="dxa"/>
            <w:vAlign w:val="center"/>
          </w:tcPr>
          <w:p w14:paraId="7285FE22" w14:textId="77777777" w:rsidR="0070585C" w:rsidRPr="00D8549A" w:rsidRDefault="0070585C" w:rsidP="00936F9F">
            <w:pPr>
              <w:jc w:val="left"/>
              <w:rPr>
                <w:sz w:val="20"/>
              </w:rPr>
            </w:pPr>
            <w:r w:rsidRPr="00D8549A">
              <w:rPr>
                <w:sz w:val="20"/>
              </w:rPr>
              <w:t>9 639 351 130</w:t>
            </w:r>
          </w:p>
        </w:tc>
        <w:tc>
          <w:tcPr>
            <w:tcW w:w="1417" w:type="dxa"/>
            <w:vAlign w:val="center"/>
          </w:tcPr>
          <w:p w14:paraId="1973496D" w14:textId="77777777" w:rsidR="0070585C" w:rsidRPr="00D8549A" w:rsidRDefault="0070585C" w:rsidP="00936F9F">
            <w:pPr>
              <w:jc w:val="left"/>
              <w:rPr>
                <w:sz w:val="20"/>
              </w:rPr>
            </w:pPr>
            <w:r w:rsidRPr="00D8549A">
              <w:rPr>
                <w:sz w:val="20"/>
              </w:rPr>
              <w:t>242 497,00</w:t>
            </w:r>
          </w:p>
        </w:tc>
      </w:tr>
      <w:tr w:rsidR="0070585C" w:rsidRPr="007E642D" w14:paraId="3BBFFF8E" w14:textId="77777777" w:rsidTr="00936F9F">
        <w:tc>
          <w:tcPr>
            <w:tcW w:w="1943" w:type="dxa"/>
            <w:shd w:val="clear" w:color="auto" w:fill="auto"/>
            <w:vAlign w:val="center"/>
          </w:tcPr>
          <w:p w14:paraId="569CDB12" w14:textId="77777777" w:rsidR="0070585C" w:rsidRPr="00EC0870" w:rsidRDefault="0070585C" w:rsidP="00936F9F">
            <w:pPr>
              <w:jc w:val="left"/>
              <w:rPr>
                <w:sz w:val="20"/>
              </w:rPr>
            </w:pPr>
            <w:r w:rsidRPr="00EC0870">
              <w:rPr>
                <w:sz w:val="20"/>
              </w:rPr>
              <w:t xml:space="preserve">     - zřizované ÚSC </w:t>
            </w:r>
            <w:r w:rsidRPr="00EC0870">
              <w:rPr>
                <w:sz w:val="20"/>
                <w:vertAlign w:val="superscript"/>
              </w:rPr>
              <w:t>1)</w:t>
            </w:r>
          </w:p>
        </w:tc>
        <w:tc>
          <w:tcPr>
            <w:tcW w:w="1417" w:type="dxa"/>
            <w:shd w:val="clear" w:color="auto" w:fill="auto"/>
          </w:tcPr>
          <w:p w14:paraId="5A8D1515" w14:textId="77777777" w:rsidR="0070585C" w:rsidRPr="00D8549A" w:rsidRDefault="0070585C" w:rsidP="00936F9F">
            <w:pPr>
              <w:jc w:val="left"/>
              <w:rPr>
                <w:sz w:val="20"/>
              </w:rPr>
            </w:pPr>
            <w:r w:rsidRPr="00D8549A">
              <w:rPr>
                <w:sz w:val="20"/>
              </w:rPr>
              <w:t>132 315 780 370</w:t>
            </w:r>
          </w:p>
        </w:tc>
        <w:tc>
          <w:tcPr>
            <w:tcW w:w="1418" w:type="dxa"/>
            <w:shd w:val="clear" w:color="auto" w:fill="auto"/>
          </w:tcPr>
          <w:p w14:paraId="716EB4C5" w14:textId="77777777" w:rsidR="0070585C" w:rsidRPr="00D8549A" w:rsidRDefault="0070585C" w:rsidP="00936F9F">
            <w:pPr>
              <w:jc w:val="left"/>
              <w:rPr>
                <w:sz w:val="20"/>
              </w:rPr>
            </w:pPr>
            <w:r w:rsidRPr="00D8549A">
              <w:rPr>
                <w:sz w:val="20"/>
              </w:rPr>
              <w:t>95 842 540 619</w:t>
            </w:r>
          </w:p>
        </w:tc>
        <w:tc>
          <w:tcPr>
            <w:tcW w:w="1417" w:type="dxa"/>
            <w:shd w:val="clear" w:color="auto" w:fill="auto"/>
          </w:tcPr>
          <w:p w14:paraId="3F19EA38" w14:textId="77777777" w:rsidR="0070585C" w:rsidRPr="00D8549A" w:rsidRDefault="0070585C" w:rsidP="00936F9F">
            <w:pPr>
              <w:jc w:val="left"/>
              <w:rPr>
                <w:sz w:val="20"/>
              </w:rPr>
            </w:pPr>
            <w:r w:rsidRPr="00D8549A">
              <w:rPr>
                <w:sz w:val="20"/>
              </w:rPr>
              <w:t>34 487 591 269</w:t>
            </w:r>
          </w:p>
        </w:tc>
        <w:tc>
          <w:tcPr>
            <w:tcW w:w="1418" w:type="dxa"/>
            <w:shd w:val="clear" w:color="auto" w:fill="auto"/>
          </w:tcPr>
          <w:p w14:paraId="603B3B89" w14:textId="77777777" w:rsidR="0070585C" w:rsidRPr="00D8549A" w:rsidRDefault="0070585C" w:rsidP="00936F9F">
            <w:pPr>
              <w:jc w:val="left"/>
              <w:rPr>
                <w:sz w:val="20"/>
              </w:rPr>
            </w:pPr>
            <w:r w:rsidRPr="00D8549A">
              <w:rPr>
                <w:sz w:val="20"/>
              </w:rPr>
              <w:t>1 985 648 482</w:t>
            </w:r>
          </w:p>
        </w:tc>
        <w:tc>
          <w:tcPr>
            <w:tcW w:w="1417" w:type="dxa"/>
            <w:shd w:val="clear" w:color="auto" w:fill="auto"/>
          </w:tcPr>
          <w:p w14:paraId="5B67E4C3" w14:textId="77777777" w:rsidR="0070585C" w:rsidRPr="00D8549A" w:rsidRDefault="0070585C" w:rsidP="00936F9F">
            <w:pPr>
              <w:jc w:val="left"/>
              <w:rPr>
                <w:sz w:val="20"/>
              </w:rPr>
            </w:pPr>
            <w:r w:rsidRPr="00D8549A">
              <w:rPr>
                <w:sz w:val="20"/>
              </w:rPr>
              <w:t>242 497,00</w:t>
            </w:r>
          </w:p>
        </w:tc>
      </w:tr>
      <w:tr w:rsidR="0070585C" w:rsidRPr="007E642D" w14:paraId="74787830" w14:textId="77777777" w:rsidTr="00936F9F">
        <w:tc>
          <w:tcPr>
            <w:tcW w:w="1943" w:type="dxa"/>
            <w:vAlign w:val="center"/>
          </w:tcPr>
          <w:p w14:paraId="4FBBC7F2" w14:textId="77777777" w:rsidR="0070585C" w:rsidRPr="00EC0870" w:rsidRDefault="0070585C" w:rsidP="00936F9F">
            <w:pPr>
              <w:jc w:val="left"/>
              <w:rPr>
                <w:sz w:val="20"/>
              </w:rPr>
            </w:pPr>
            <w:r w:rsidRPr="00EC0870">
              <w:rPr>
                <w:sz w:val="20"/>
              </w:rPr>
              <w:t xml:space="preserve">     - soukromé </w:t>
            </w:r>
            <w:r w:rsidRPr="00EC0870">
              <w:rPr>
                <w:sz w:val="20"/>
                <w:vertAlign w:val="superscript"/>
              </w:rPr>
              <w:t>2)</w:t>
            </w:r>
          </w:p>
        </w:tc>
        <w:tc>
          <w:tcPr>
            <w:tcW w:w="1417" w:type="dxa"/>
          </w:tcPr>
          <w:p w14:paraId="71F27530" w14:textId="77777777" w:rsidR="0070585C" w:rsidRPr="00D8549A" w:rsidRDefault="0070585C" w:rsidP="00936F9F">
            <w:pPr>
              <w:jc w:val="left"/>
              <w:rPr>
                <w:sz w:val="20"/>
              </w:rPr>
            </w:pPr>
            <w:r w:rsidRPr="00D8549A">
              <w:rPr>
                <w:sz w:val="20"/>
              </w:rPr>
              <w:t>5 936 176 527</w:t>
            </w:r>
          </w:p>
        </w:tc>
        <w:tc>
          <w:tcPr>
            <w:tcW w:w="1418" w:type="dxa"/>
          </w:tcPr>
          <w:p w14:paraId="7D86B050" w14:textId="77777777" w:rsidR="0070585C" w:rsidRPr="00D8549A" w:rsidRDefault="0070585C" w:rsidP="00936F9F">
            <w:pPr>
              <w:jc w:val="left"/>
              <w:rPr>
                <w:sz w:val="20"/>
              </w:rPr>
            </w:pPr>
          </w:p>
        </w:tc>
        <w:tc>
          <w:tcPr>
            <w:tcW w:w="1417" w:type="dxa"/>
          </w:tcPr>
          <w:p w14:paraId="3326F343" w14:textId="77777777" w:rsidR="0070585C" w:rsidRPr="00D8549A" w:rsidRDefault="0070585C" w:rsidP="00936F9F">
            <w:pPr>
              <w:jc w:val="left"/>
              <w:rPr>
                <w:sz w:val="20"/>
              </w:rPr>
            </w:pPr>
          </w:p>
        </w:tc>
        <w:tc>
          <w:tcPr>
            <w:tcW w:w="1418" w:type="dxa"/>
          </w:tcPr>
          <w:p w14:paraId="784F111A" w14:textId="77777777" w:rsidR="0070585C" w:rsidRPr="00D8549A" w:rsidRDefault="0070585C" w:rsidP="00936F9F">
            <w:pPr>
              <w:jc w:val="left"/>
              <w:rPr>
                <w:sz w:val="20"/>
              </w:rPr>
            </w:pPr>
            <w:r w:rsidRPr="00D8549A">
              <w:rPr>
                <w:sz w:val="20"/>
              </w:rPr>
              <w:t>5 936 176 527</w:t>
            </w:r>
          </w:p>
        </w:tc>
        <w:tc>
          <w:tcPr>
            <w:tcW w:w="1417" w:type="dxa"/>
          </w:tcPr>
          <w:p w14:paraId="0C500264" w14:textId="77777777" w:rsidR="0070585C" w:rsidRPr="00D8549A" w:rsidRDefault="0070585C" w:rsidP="00936F9F">
            <w:pPr>
              <w:jc w:val="left"/>
              <w:rPr>
                <w:sz w:val="20"/>
              </w:rPr>
            </w:pPr>
          </w:p>
        </w:tc>
      </w:tr>
      <w:tr w:rsidR="0070585C" w:rsidRPr="007E642D" w14:paraId="5205A45A" w14:textId="77777777" w:rsidTr="00936F9F">
        <w:tc>
          <w:tcPr>
            <w:tcW w:w="1943" w:type="dxa"/>
            <w:vAlign w:val="center"/>
          </w:tcPr>
          <w:p w14:paraId="4CA7BCAD" w14:textId="77777777" w:rsidR="0070585C" w:rsidRPr="00EC0870" w:rsidRDefault="0070585C" w:rsidP="00936F9F">
            <w:pPr>
              <w:jc w:val="left"/>
              <w:rPr>
                <w:sz w:val="20"/>
              </w:rPr>
            </w:pPr>
            <w:r w:rsidRPr="00EC0870">
              <w:rPr>
                <w:sz w:val="20"/>
              </w:rPr>
              <w:t xml:space="preserve">     - církevní </w:t>
            </w:r>
            <w:r w:rsidRPr="00EC0870">
              <w:rPr>
                <w:sz w:val="20"/>
                <w:vertAlign w:val="superscript"/>
              </w:rPr>
              <w:t>2)</w:t>
            </w:r>
          </w:p>
        </w:tc>
        <w:tc>
          <w:tcPr>
            <w:tcW w:w="1417" w:type="dxa"/>
          </w:tcPr>
          <w:p w14:paraId="59FE20C6" w14:textId="77777777" w:rsidR="0070585C" w:rsidRPr="00D8549A" w:rsidRDefault="0070585C" w:rsidP="00936F9F">
            <w:pPr>
              <w:jc w:val="left"/>
              <w:rPr>
                <w:sz w:val="20"/>
              </w:rPr>
            </w:pPr>
            <w:r w:rsidRPr="00D8549A">
              <w:rPr>
                <w:sz w:val="20"/>
              </w:rPr>
              <w:t>1 717 526 121</w:t>
            </w:r>
          </w:p>
        </w:tc>
        <w:tc>
          <w:tcPr>
            <w:tcW w:w="1418" w:type="dxa"/>
          </w:tcPr>
          <w:p w14:paraId="053C234D" w14:textId="77777777" w:rsidR="0070585C" w:rsidRPr="00D8549A" w:rsidRDefault="0070585C" w:rsidP="00936F9F">
            <w:pPr>
              <w:jc w:val="left"/>
              <w:rPr>
                <w:sz w:val="20"/>
              </w:rPr>
            </w:pPr>
          </w:p>
        </w:tc>
        <w:tc>
          <w:tcPr>
            <w:tcW w:w="1417" w:type="dxa"/>
          </w:tcPr>
          <w:p w14:paraId="6F22EC81" w14:textId="77777777" w:rsidR="0070585C" w:rsidRPr="00D8549A" w:rsidRDefault="0070585C" w:rsidP="00936F9F">
            <w:pPr>
              <w:jc w:val="left"/>
              <w:rPr>
                <w:sz w:val="20"/>
              </w:rPr>
            </w:pPr>
          </w:p>
        </w:tc>
        <w:tc>
          <w:tcPr>
            <w:tcW w:w="1418" w:type="dxa"/>
          </w:tcPr>
          <w:p w14:paraId="29D7FF29" w14:textId="77777777" w:rsidR="0070585C" w:rsidRPr="00D8549A" w:rsidRDefault="0070585C" w:rsidP="00936F9F">
            <w:pPr>
              <w:jc w:val="left"/>
              <w:rPr>
                <w:sz w:val="20"/>
              </w:rPr>
            </w:pPr>
            <w:r w:rsidRPr="00D8549A">
              <w:rPr>
                <w:sz w:val="20"/>
              </w:rPr>
              <w:t>1 717 526 121</w:t>
            </w:r>
          </w:p>
        </w:tc>
        <w:tc>
          <w:tcPr>
            <w:tcW w:w="1417" w:type="dxa"/>
          </w:tcPr>
          <w:p w14:paraId="5E6489C1" w14:textId="77777777" w:rsidR="0070585C" w:rsidRPr="00D8549A" w:rsidRDefault="0070585C" w:rsidP="00936F9F">
            <w:pPr>
              <w:jc w:val="left"/>
              <w:rPr>
                <w:sz w:val="20"/>
              </w:rPr>
            </w:pPr>
          </w:p>
        </w:tc>
      </w:tr>
      <w:tr w:rsidR="0070585C" w:rsidRPr="007E642D" w14:paraId="3E07DC5B" w14:textId="77777777" w:rsidTr="00936F9F">
        <w:tc>
          <w:tcPr>
            <w:tcW w:w="1943" w:type="dxa"/>
            <w:vAlign w:val="center"/>
          </w:tcPr>
          <w:p w14:paraId="3D7EF879" w14:textId="77777777" w:rsidR="0070585C" w:rsidRPr="00EC0870" w:rsidRDefault="0070585C" w:rsidP="00936F9F">
            <w:pPr>
              <w:jc w:val="left"/>
              <w:rPr>
                <w:b/>
                <w:sz w:val="20"/>
              </w:rPr>
            </w:pPr>
            <w:r w:rsidRPr="00EC0870">
              <w:rPr>
                <w:b/>
                <w:sz w:val="20"/>
              </w:rPr>
              <w:t xml:space="preserve">Přímé výdaje PŘO </w:t>
            </w:r>
            <w:r w:rsidRPr="00EC0870">
              <w:rPr>
                <w:sz w:val="20"/>
                <w:vertAlign w:val="superscript"/>
              </w:rPr>
              <w:t>2)</w:t>
            </w:r>
          </w:p>
        </w:tc>
        <w:tc>
          <w:tcPr>
            <w:tcW w:w="1417" w:type="dxa"/>
            <w:vAlign w:val="center"/>
          </w:tcPr>
          <w:p w14:paraId="4B0F0363" w14:textId="77777777" w:rsidR="0070585C" w:rsidRPr="00D8549A" w:rsidRDefault="0070585C" w:rsidP="00936F9F">
            <w:pPr>
              <w:jc w:val="left"/>
              <w:rPr>
                <w:sz w:val="20"/>
              </w:rPr>
            </w:pPr>
            <w:r w:rsidRPr="00D8549A">
              <w:rPr>
                <w:sz w:val="20"/>
              </w:rPr>
              <w:t>3 050 337 844</w:t>
            </w:r>
          </w:p>
        </w:tc>
        <w:tc>
          <w:tcPr>
            <w:tcW w:w="1418" w:type="dxa"/>
            <w:vAlign w:val="center"/>
          </w:tcPr>
          <w:p w14:paraId="1A01C71B" w14:textId="77777777" w:rsidR="0070585C" w:rsidRPr="00D8549A" w:rsidRDefault="0070585C" w:rsidP="00936F9F">
            <w:pPr>
              <w:jc w:val="left"/>
              <w:rPr>
                <w:sz w:val="20"/>
              </w:rPr>
            </w:pPr>
            <w:r w:rsidRPr="00D8549A">
              <w:rPr>
                <w:sz w:val="20"/>
              </w:rPr>
              <w:t>2 004 096 594</w:t>
            </w:r>
          </w:p>
        </w:tc>
        <w:tc>
          <w:tcPr>
            <w:tcW w:w="1417" w:type="dxa"/>
            <w:vAlign w:val="center"/>
          </w:tcPr>
          <w:p w14:paraId="51401DFD" w14:textId="77777777" w:rsidR="0070585C" w:rsidRPr="00D8549A" w:rsidRDefault="0070585C" w:rsidP="00936F9F">
            <w:pPr>
              <w:jc w:val="left"/>
              <w:rPr>
                <w:sz w:val="20"/>
              </w:rPr>
            </w:pPr>
            <w:r w:rsidRPr="00D8549A">
              <w:rPr>
                <w:sz w:val="20"/>
              </w:rPr>
              <w:t>721 198 274</w:t>
            </w:r>
          </w:p>
        </w:tc>
        <w:tc>
          <w:tcPr>
            <w:tcW w:w="1418" w:type="dxa"/>
            <w:vAlign w:val="center"/>
          </w:tcPr>
          <w:p w14:paraId="23CB622E" w14:textId="77777777" w:rsidR="0070585C" w:rsidRPr="00D8549A" w:rsidRDefault="0070585C" w:rsidP="00936F9F">
            <w:pPr>
              <w:jc w:val="left"/>
              <w:rPr>
                <w:sz w:val="20"/>
              </w:rPr>
            </w:pPr>
            <w:r w:rsidRPr="00D8549A">
              <w:rPr>
                <w:sz w:val="20"/>
              </w:rPr>
              <w:t>325 042 976</w:t>
            </w:r>
          </w:p>
        </w:tc>
        <w:tc>
          <w:tcPr>
            <w:tcW w:w="1417" w:type="dxa"/>
            <w:vAlign w:val="center"/>
          </w:tcPr>
          <w:p w14:paraId="4C824E6F" w14:textId="77777777" w:rsidR="0070585C" w:rsidRPr="00D8549A" w:rsidRDefault="0070585C" w:rsidP="00936F9F">
            <w:pPr>
              <w:jc w:val="left"/>
              <w:rPr>
                <w:sz w:val="20"/>
              </w:rPr>
            </w:pPr>
            <w:r w:rsidRPr="00D8549A">
              <w:rPr>
                <w:sz w:val="20"/>
              </w:rPr>
              <w:t>4 395,00</w:t>
            </w:r>
          </w:p>
        </w:tc>
      </w:tr>
    </w:tbl>
    <w:p w14:paraId="4E9D5557" w14:textId="77777777" w:rsidR="0070585C" w:rsidRPr="003449AB" w:rsidRDefault="0070585C" w:rsidP="0070585C">
      <w:pPr>
        <w:ind w:left="142"/>
        <w:rPr>
          <w:i/>
          <w:sz w:val="16"/>
        </w:rPr>
      </w:pPr>
      <w:r w:rsidRPr="003449AB">
        <w:rPr>
          <w:i/>
          <w:sz w:val="18"/>
          <w:vertAlign w:val="superscript"/>
        </w:rPr>
        <w:t xml:space="preserve">1) </w:t>
      </w:r>
      <w:r w:rsidRPr="003449AB">
        <w:rPr>
          <w:i/>
          <w:sz w:val="20"/>
        </w:rPr>
        <w:t>výdaje jsou včetně PVS 5020010011 – výdaje RgŠ – rozvojové programy, a to i rozvojové programy pro soukromé a církevní školy a PŘO</w:t>
      </w:r>
      <w:r w:rsidRPr="003449AB">
        <w:rPr>
          <w:i/>
          <w:sz w:val="16"/>
        </w:rPr>
        <w:t xml:space="preserve"> </w:t>
      </w:r>
    </w:p>
    <w:p w14:paraId="04DFD2FC" w14:textId="77777777" w:rsidR="0070585C" w:rsidRPr="003449AB" w:rsidRDefault="0070585C" w:rsidP="0070585C">
      <w:pPr>
        <w:ind w:left="142"/>
        <w:rPr>
          <w:sz w:val="8"/>
          <w:szCs w:val="12"/>
        </w:rPr>
      </w:pPr>
      <w:r w:rsidRPr="003449AB">
        <w:rPr>
          <w:i/>
          <w:sz w:val="16"/>
          <w:vertAlign w:val="superscript"/>
        </w:rPr>
        <w:t xml:space="preserve">2) </w:t>
      </w:r>
      <w:r w:rsidRPr="003449AB">
        <w:rPr>
          <w:i/>
          <w:sz w:val="20"/>
        </w:rPr>
        <w:t>pouze výdaje PVS 5020010012 a PVS 5020010022 - výkonové financování a příspěvek (bez PVS 5020010011 – rozvojové programy).</w:t>
      </w:r>
    </w:p>
    <w:p w14:paraId="47C5D592" w14:textId="77777777" w:rsidR="005607F5" w:rsidRDefault="005607F5" w:rsidP="000C3BFF">
      <w:pPr>
        <w:pStyle w:val="Text"/>
      </w:pPr>
    </w:p>
    <w:p w14:paraId="19ADC200" w14:textId="77777777" w:rsidR="0070585C" w:rsidRDefault="0070585C" w:rsidP="000C3BFF">
      <w:pPr>
        <w:pStyle w:val="Text"/>
      </w:pPr>
      <w:r>
        <w:t xml:space="preserve">Na počátku roku 2019 bude převedeno rozpočtovým opatřením </w:t>
      </w:r>
      <w:r w:rsidRPr="002E435F">
        <w:t>z nárůstu rozpočtu RgŠ ÚSC na rok 2019 z titulu růstu výkonů, které bylo rozpočtováno v RgŠ ÚSC, ale fakticky b</w:t>
      </w:r>
      <w:r>
        <w:t>ude</w:t>
      </w:r>
      <w:r w:rsidRPr="002E435F">
        <w:t xml:space="preserve"> realizováno v oblasti </w:t>
      </w:r>
      <w:r>
        <w:t xml:space="preserve">církevního a </w:t>
      </w:r>
      <w:r w:rsidRPr="002E435F">
        <w:t>soukromého školství</w:t>
      </w:r>
      <w:r>
        <w:t>, do církevního školství 43 264 797 Kč a do soukromého školství 413 823 473 </w:t>
      </w:r>
      <w:r w:rsidRPr="002E435F">
        <w:t>Kč</w:t>
      </w:r>
      <w:r>
        <w:t>. Po těchto převodech bude k</w:t>
      </w:r>
      <w:r w:rsidRPr="00F205DF">
        <w:t>vantifikace a struktura rozpočtu běžných výdajů ve výdajovém bloku regionálního školství včetně běžných výdajů na PŘO na rok 2019 následující</w:t>
      </w:r>
      <w:r>
        <w:t>:</w:t>
      </w:r>
    </w:p>
    <w:p w14:paraId="73C63E4B" w14:textId="77777777" w:rsidR="00672B96" w:rsidRPr="00636DE9" w:rsidRDefault="00672B96" w:rsidP="00636DE9"/>
    <w:p w14:paraId="01CFE92B" w14:textId="77777777" w:rsidR="00636DE9" w:rsidRDefault="00636DE9" w:rsidP="00636DE9">
      <w:pPr>
        <w:pStyle w:val="Titulek"/>
        <w:keepNext/>
      </w:pPr>
      <w:bookmarkStart w:id="99" w:name="_Toc5965630"/>
      <w:r>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9</w:t>
      </w:r>
      <w:r w:rsidR="005F53B0">
        <w:rPr>
          <w:noProof/>
        </w:rPr>
        <w:fldChar w:fldCharType="end"/>
      </w:r>
      <w:r>
        <w:t xml:space="preserve">: </w:t>
      </w:r>
      <w:r w:rsidRPr="00E80E49">
        <w:t>Podrobná struktura rozpočtu RgŠ</w:t>
      </w:r>
      <w:r>
        <w:t xml:space="preserve"> po úpravě</w:t>
      </w:r>
      <w:bookmarkEnd w:id="99"/>
    </w:p>
    <w:tbl>
      <w:tblPr>
        <w:tblW w:w="90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43"/>
        <w:gridCol w:w="1417"/>
        <w:gridCol w:w="1418"/>
        <w:gridCol w:w="1417"/>
        <w:gridCol w:w="1418"/>
        <w:gridCol w:w="1417"/>
      </w:tblGrid>
      <w:tr w:rsidR="0070585C" w:rsidRPr="008B42CF" w14:paraId="0D5ECD12" w14:textId="77777777" w:rsidTr="00936F9F">
        <w:tc>
          <w:tcPr>
            <w:tcW w:w="1943" w:type="dxa"/>
            <w:vMerge w:val="restart"/>
          </w:tcPr>
          <w:p w14:paraId="2030C35B" w14:textId="77777777" w:rsidR="0070585C" w:rsidRPr="00EC0870" w:rsidRDefault="0070585C" w:rsidP="00936F9F">
            <w:pPr>
              <w:jc w:val="left"/>
              <w:rPr>
                <w:i/>
                <w:sz w:val="20"/>
              </w:rPr>
            </w:pPr>
            <w:r w:rsidRPr="00EC0870">
              <w:rPr>
                <w:i/>
                <w:sz w:val="20"/>
              </w:rPr>
              <w:t xml:space="preserve"> </w:t>
            </w:r>
            <w:r w:rsidRPr="00EC0870">
              <w:rPr>
                <w:i/>
                <w:sz w:val="20"/>
              </w:rPr>
              <w:br w:type="page"/>
            </w:r>
          </w:p>
        </w:tc>
        <w:tc>
          <w:tcPr>
            <w:tcW w:w="1417" w:type="dxa"/>
          </w:tcPr>
          <w:p w14:paraId="09C33E66" w14:textId="77777777" w:rsidR="0070585C" w:rsidRPr="00EC0870" w:rsidRDefault="0070585C" w:rsidP="00936F9F">
            <w:pPr>
              <w:jc w:val="center"/>
            </w:pPr>
            <w:r w:rsidRPr="00EC0870">
              <w:t>Běžné výdaje celkem</w:t>
            </w:r>
          </w:p>
        </w:tc>
        <w:tc>
          <w:tcPr>
            <w:tcW w:w="1418" w:type="dxa"/>
          </w:tcPr>
          <w:p w14:paraId="223D8C59" w14:textId="77777777" w:rsidR="0070585C" w:rsidRPr="00EC0870" w:rsidRDefault="0070585C" w:rsidP="00936F9F">
            <w:pPr>
              <w:jc w:val="center"/>
            </w:pPr>
            <w:r w:rsidRPr="00EC0870">
              <w:t>Mzdové prostředky</w:t>
            </w:r>
          </w:p>
        </w:tc>
        <w:tc>
          <w:tcPr>
            <w:tcW w:w="1417" w:type="dxa"/>
          </w:tcPr>
          <w:p w14:paraId="2E3DFC23" w14:textId="77777777" w:rsidR="0070585C" w:rsidRPr="00EC0870" w:rsidRDefault="0070585C" w:rsidP="00936F9F">
            <w:pPr>
              <w:jc w:val="center"/>
            </w:pPr>
            <w:r w:rsidRPr="00EC0870">
              <w:t>Odvody</w:t>
            </w:r>
          </w:p>
        </w:tc>
        <w:tc>
          <w:tcPr>
            <w:tcW w:w="1418" w:type="dxa"/>
          </w:tcPr>
          <w:p w14:paraId="1AFEA156" w14:textId="77777777" w:rsidR="0070585C" w:rsidRPr="00EC0870" w:rsidRDefault="0070585C" w:rsidP="00936F9F">
            <w:pPr>
              <w:jc w:val="center"/>
            </w:pPr>
            <w:r w:rsidRPr="00EC0870">
              <w:t>Ostatní běžné výdaje</w:t>
            </w:r>
          </w:p>
        </w:tc>
        <w:tc>
          <w:tcPr>
            <w:tcW w:w="1417" w:type="dxa"/>
          </w:tcPr>
          <w:p w14:paraId="358012D2" w14:textId="77777777" w:rsidR="0070585C" w:rsidRPr="00EC0870" w:rsidRDefault="0070585C" w:rsidP="00936F9F">
            <w:pPr>
              <w:jc w:val="center"/>
            </w:pPr>
            <w:r w:rsidRPr="00EC0870">
              <w:t>Počet zaměstnanců</w:t>
            </w:r>
          </w:p>
        </w:tc>
      </w:tr>
      <w:tr w:rsidR="0070585C" w:rsidRPr="008B42CF" w14:paraId="22D7A592" w14:textId="77777777" w:rsidTr="00936F9F">
        <w:tc>
          <w:tcPr>
            <w:tcW w:w="1943" w:type="dxa"/>
            <w:vMerge/>
          </w:tcPr>
          <w:p w14:paraId="08EDE9A9" w14:textId="77777777" w:rsidR="0070585C" w:rsidRPr="00EC0870" w:rsidRDefault="0070585C" w:rsidP="00936F9F">
            <w:pPr>
              <w:jc w:val="left"/>
              <w:rPr>
                <w:i/>
                <w:sz w:val="20"/>
              </w:rPr>
            </w:pPr>
          </w:p>
        </w:tc>
        <w:tc>
          <w:tcPr>
            <w:tcW w:w="1417" w:type="dxa"/>
          </w:tcPr>
          <w:p w14:paraId="2A299BC3" w14:textId="77777777" w:rsidR="0070585C" w:rsidRPr="00EC0870" w:rsidRDefault="0070585C" w:rsidP="00936F9F">
            <w:pPr>
              <w:jc w:val="center"/>
            </w:pPr>
            <w:r w:rsidRPr="00EC0870">
              <w:t>v Kč</w:t>
            </w:r>
          </w:p>
        </w:tc>
        <w:tc>
          <w:tcPr>
            <w:tcW w:w="1418" w:type="dxa"/>
          </w:tcPr>
          <w:p w14:paraId="1949577E" w14:textId="77777777" w:rsidR="0070585C" w:rsidRPr="00EC0870" w:rsidRDefault="0070585C" w:rsidP="00936F9F">
            <w:pPr>
              <w:jc w:val="center"/>
            </w:pPr>
            <w:r w:rsidRPr="00EC0870">
              <w:t>v Kč</w:t>
            </w:r>
          </w:p>
        </w:tc>
        <w:tc>
          <w:tcPr>
            <w:tcW w:w="1417" w:type="dxa"/>
          </w:tcPr>
          <w:p w14:paraId="2DAE3379" w14:textId="77777777" w:rsidR="0070585C" w:rsidRPr="00EC0870" w:rsidRDefault="0070585C" w:rsidP="00936F9F">
            <w:pPr>
              <w:jc w:val="center"/>
            </w:pPr>
            <w:r w:rsidRPr="00EC0870">
              <w:t>v Kč</w:t>
            </w:r>
          </w:p>
        </w:tc>
        <w:tc>
          <w:tcPr>
            <w:tcW w:w="1418" w:type="dxa"/>
          </w:tcPr>
          <w:p w14:paraId="0EF9735D" w14:textId="77777777" w:rsidR="0070585C" w:rsidRPr="00EC0870" w:rsidRDefault="0070585C" w:rsidP="00936F9F">
            <w:pPr>
              <w:jc w:val="center"/>
            </w:pPr>
            <w:r w:rsidRPr="00EC0870">
              <w:t>v Kč</w:t>
            </w:r>
          </w:p>
        </w:tc>
        <w:tc>
          <w:tcPr>
            <w:tcW w:w="1417" w:type="dxa"/>
          </w:tcPr>
          <w:p w14:paraId="12CB786D" w14:textId="77777777" w:rsidR="0070585C" w:rsidRPr="00EC0870" w:rsidRDefault="0070585C" w:rsidP="00936F9F">
            <w:pPr>
              <w:jc w:val="center"/>
            </w:pPr>
          </w:p>
        </w:tc>
      </w:tr>
      <w:tr w:rsidR="0070585C" w:rsidRPr="008B42CF" w14:paraId="6C81C859" w14:textId="77777777" w:rsidTr="00936F9F">
        <w:trPr>
          <w:trHeight w:val="480"/>
        </w:trPr>
        <w:tc>
          <w:tcPr>
            <w:tcW w:w="1943" w:type="dxa"/>
            <w:vAlign w:val="center"/>
          </w:tcPr>
          <w:p w14:paraId="45F79FD1" w14:textId="77777777" w:rsidR="0070585C" w:rsidRPr="00EC0870" w:rsidRDefault="0070585C" w:rsidP="00936F9F">
            <w:pPr>
              <w:jc w:val="left"/>
              <w:rPr>
                <w:b/>
                <w:sz w:val="20"/>
              </w:rPr>
            </w:pPr>
            <w:r w:rsidRPr="00EC0870">
              <w:rPr>
                <w:b/>
                <w:sz w:val="20"/>
              </w:rPr>
              <w:t>Výdaje  RgŠ celkem:</w:t>
            </w:r>
          </w:p>
        </w:tc>
        <w:tc>
          <w:tcPr>
            <w:tcW w:w="1417" w:type="dxa"/>
            <w:vAlign w:val="center"/>
          </w:tcPr>
          <w:p w14:paraId="47BADD3B" w14:textId="77777777" w:rsidR="0070585C" w:rsidRPr="00D8549A" w:rsidRDefault="0070585C" w:rsidP="00936F9F">
            <w:pPr>
              <w:jc w:val="left"/>
              <w:rPr>
                <w:sz w:val="20"/>
              </w:rPr>
            </w:pPr>
            <w:r w:rsidRPr="00D8549A">
              <w:rPr>
                <w:sz w:val="20"/>
              </w:rPr>
              <w:t>143 019 820 862</w:t>
            </w:r>
          </w:p>
        </w:tc>
        <w:tc>
          <w:tcPr>
            <w:tcW w:w="1418" w:type="dxa"/>
            <w:vAlign w:val="center"/>
          </w:tcPr>
          <w:p w14:paraId="66C60523" w14:textId="77777777" w:rsidR="0070585C" w:rsidRPr="00D8549A" w:rsidRDefault="0070585C" w:rsidP="00936F9F">
            <w:pPr>
              <w:jc w:val="left"/>
              <w:rPr>
                <w:sz w:val="20"/>
              </w:rPr>
            </w:pPr>
            <w:r w:rsidRPr="00D8549A">
              <w:rPr>
                <w:sz w:val="20"/>
              </w:rPr>
              <w:t>97 542 472 895</w:t>
            </w:r>
          </w:p>
        </w:tc>
        <w:tc>
          <w:tcPr>
            <w:tcW w:w="1417" w:type="dxa"/>
            <w:vAlign w:val="center"/>
          </w:tcPr>
          <w:p w14:paraId="55BFEE59" w14:textId="77777777" w:rsidR="0070585C" w:rsidRPr="00D8549A" w:rsidRDefault="0070585C" w:rsidP="00936F9F">
            <w:pPr>
              <w:jc w:val="left"/>
              <w:rPr>
                <w:sz w:val="20"/>
              </w:rPr>
            </w:pPr>
            <w:r w:rsidRPr="00D8549A">
              <w:rPr>
                <w:sz w:val="20"/>
              </w:rPr>
              <w:t>35 099 130 388</w:t>
            </w:r>
          </w:p>
        </w:tc>
        <w:tc>
          <w:tcPr>
            <w:tcW w:w="1418" w:type="dxa"/>
            <w:vAlign w:val="center"/>
          </w:tcPr>
          <w:p w14:paraId="3F27B5FB" w14:textId="77777777" w:rsidR="0070585C" w:rsidRPr="00D8549A" w:rsidRDefault="0070585C" w:rsidP="00936F9F">
            <w:pPr>
              <w:jc w:val="left"/>
              <w:rPr>
                <w:sz w:val="20"/>
              </w:rPr>
            </w:pPr>
            <w:r w:rsidRPr="00D8549A">
              <w:rPr>
                <w:sz w:val="20"/>
              </w:rPr>
              <w:t>10 378 217 579</w:t>
            </w:r>
          </w:p>
        </w:tc>
        <w:tc>
          <w:tcPr>
            <w:tcW w:w="1417" w:type="dxa"/>
            <w:vAlign w:val="center"/>
          </w:tcPr>
          <w:p w14:paraId="717D3C5E" w14:textId="77777777" w:rsidR="0070585C" w:rsidRPr="00D8549A" w:rsidRDefault="0070585C" w:rsidP="00936F9F">
            <w:pPr>
              <w:jc w:val="left"/>
              <w:rPr>
                <w:sz w:val="20"/>
              </w:rPr>
            </w:pPr>
            <w:r w:rsidRPr="00D8549A">
              <w:rPr>
                <w:sz w:val="20"/>
              </w:rPr>
              <w:t>245 845,00</w:t>
            </w:r>
          </w:p>
        </w:tc>
      </w:tr>
      <w:tr w:rsidR="0070585C" w:rsidRPr="008B42CF" w14:paraId="76986360" w14:textId="77777777" w:rsidTr="00936F9F">
        <w:tc>
          <w:tcPr>
            <w:tcW w:w="1943" w:type="dxa"/>
            <w:vAlign w:val="center"/>
          </w:tcPr>
          <w:p w14:paraId="49EFF53E" w14:textId="77777777" w:rsidR="0070585C" w:rsidRPr="00EC0870" w:rsidRDefault="0070585C" w:rsidP="00936F9F">
            <w:pPr>
              <w:jc w:val="left"/>
              <w:rPr>
                <w:b/>
                <w:sz w:val="20"/>
              </w:rPr>
            </w:pPr>
            <w:r w:rsidRPr="00EC0870">
              <w:rPr>
                <w:b/>
                <w:sz w:val="20"/>
              </w:rPr>
              <w:t>Přímé výdaje RgŠ:</w:t>
            </w:r>
          </w:p>
        </w:tc>
        <w:tc>
          <w:tcPr>
            <w:tcW w:w="1417" w:type="dxa"/>
            <w:vAlign w:val="center"/>
          </w:tcPr>
          <w:p w14:paraId="15A02F8E" w14:textId="77777777" w:rsidR="0070585C" w:rsidRPr="00D8549A" w:rsidRDefault="0070585C" w:rsidP="00936F9F">
            <w:pPr>
              <w:jc w:val="left"/>
              <w:rPr>
                <w:sz w:val="20"/>
              </w:rPr>
            </w:pPr>
            <w:r w:rsidRPr="00D8549A">
              <w:rPr>
                <w:sz w:val="20"/>
              </w:rPr>
              <w:t>139 969 483 018</w:t>
            </w:r>
          </w:p>
        </w:tc>
        <w:tc>
          <w:tcPr>
            <w:tcW w:w="1418" w:type="dxa"/>
            <w:vAlign w:val="center"/>
          </w:tcPr>
          <w:p w14:paraId="3D4D20DF" w14:textId="77777777" w:rsidR="0070585C" w:rsidRPr="00D8549A" w:rsidRDefault="0070585C" w:rsidP="00936F9F">
            <w:pPr>
              <w:jc w:val="left"/>
              <w:rPr>
                <w:sz w:val="20"/>
              </w:rPr>
            </w:pPr>
            <w:r w:rsidRPr="00D8549A">
              <w:rPr>
                <w:sz w:val="20"/>
              </w:rPr>
              <w:t>95 538 376 301</w:t>
            </w:r>
          </w:p>
        </w:tc>
        <w:tc>
          <w:tcPr>
            <w:tcW w:w="1417" w:type="dxa"/>
            <w:vAlign w:val="center"/>
          </w:tcPr>
          <w:p w14:paraId="52F2CD06" w14:textId="77777777" w:rsidR="0070585C" w:rsidRPr="00D8549A" w:rsidRDefault="0070585C" w:rsidP="00936F9F">
            <w:pPr>
              <w:jc w:val="left"/>
              <w:rPr>
                <w:sz w:val="20"/>
              </w:rPr>
            </w:pPr>
            <w:r w:rsidRPr="00D8549A">
              <w:rPr>
                <w:sz w:val="20"/>
              </w:rPr>
              <w:t>34 377 932 114</w:t>
            </w:r>
          </w:p>
        </w:tc>
        <w:tc>
          <w:tcPr>
            <w:tcW w:w="1418" w:type="dxa"/>
            <w:vAlign w:val="center"/>
          </w:tcPr>
          <w:p w14:paraId="47B039FE" w14:textId="77777777" w:rsidR="0070585C" w:rsidRPr="00D8549A" w:rsidRDefault="0070585C" w:rsidP="00936F9F">
            <w:pPr>
              <w:jc w:val="left"/>
              <w:rPr>
                <w:sz w:val="20"/>
              </w:rPr>
            </w:pPr>
            <w:r w:rsidRPr="00D8549A">
              <w:rPr>
                <w:sz w:val="20"/>
              </w:rPr>
              <w:t>10 053 174 603</w:t>
            </w:r>
          </w:p>
        </w:tc>
        <w:tc>
          <w:tcPr>
            <w:tcW w:w="1417" w:type="dxa"/>
            <w:vAlign w:val="center"/>
          </w:tcPr>
          <w:p w14:paraId="4EADA4CE" w14:textId="77777777" w:rsidR="0070585C" w:rsidRPr="00D8549A" w:rsidRDefault="0070585C" w:rsidP="00936F9F">
            <w:pPr>
              <w:jc w:val="left"/>
              <w:rPr>
                <w:sz w:val="20"/>
              </w:rPr>
            </w:pPr>
            <w:r w:rsidRPr="00D8549A">
              <w:rPr>
                <w:sz w:val="20"/>
              </w:rPr>
              <w:t>241 727,00</w:t>
            </w:r>
          </w:p>
        </w:tc>
      </w:tr>
      <w:tr w:rsidR="0070585C" w:rsidRPr="008B42CF" w14:paraId="3F8BC934" w14:textId="77777777" w:rsidTr="00936F9F">
        <w:tc>
          <w:tcPr>
            <w:tcW w:w="1943" w:type="dxa"/>
            <w:shd w:val="clear" w:color="auto" w:fill="auto"/>
            <w:vAlign w:val="center"/>
          </w:tcPr>
          <w:p w14:paraId="4F295355" w14:textId="77777777" w:rsidR="0070585C" w:rsidRPr="00EC0870" w:rsidRDefault="0070585C" w:rsidP="00936F9F">
            <w:pPr>
              <w:jc w:val="left"/>
              <w:rPr>
                <w:sz w:val="20"/>
              </w:rPr>
            </w:pPr>
            <w:r w:rsidRPr="00EC0870">
              <w:rPr>
                <w:sz w:val="20"/>
              </w:rPr>
              <w:t xml:space="preserve">     - zřizované ÚSC </w:t>
            </w:r>
            <w:r w:rsidRPr="00EC0870">
              <w:rPr>
                <w:sz w:val="20"/>
                <w:vertAlign w:val="superscript"/>
              </w:rPr>
              <w:t>1)</w:t>
            </w:r>
          </w:p>
        </w:tc>
        <w:tc>
          <w:tcPr>
            <w:tcW w:w="1417" w:type="dxa"/>
            <w:shd w:val="clear" w:color="auto" w:fill="auto"/>
            <w:vAlign w:val="center"/>
          </w:tcPr>
          <w:p w14:paraId="7F6ECEA6" w14:textId="77777777" w:rsidR="0070585C" w:rsidRPr="00D8549A" w:rsidRDefault="0070585C" w:rsidP="00936F9F">
            <w:pPr>
              <w:jc w:val="left"/>
              <w:rPr>
                <w:sz w:val="20"/>
              </w:rPr>
            </w:pPr>
            <w:r w:rsidRPr="00D8549A">
              <w:rPr>
                <w:sz w:val="20"/>
              </w:rPr>
              <w:t>131 858 692 100</w:t>
            </w:r>
          </w:p>
        </w:tc>
        <w:tc>
          <w:tcPr>
            <w:tcW w:w="1418" w:type="dxa"/>
            <w:shd w:val="clear" w:color="auto" w:fill="auto"/>
            <w:vAlign w:val="center"/>
          </w:tcPr>
          <w:p w14:paraId="58FAB049" w14:textId="77777777" w:rsidR="0070585C" w:rsidRPr="00D8549A" w:rsidRDefault="0070585C" w:rsidP="00936F9F">
            <w:pPr>
              <w:jc w:val="left"/>
              <w:rPr>
                <w:sz w:val="20"/>
              </w:rPr>
            </w:pPr>
            <w:r w:rsidRPr="00D8549A">
              <w:rPr>
                <w:sz w:val="20"/>
              </w:rPr>
              <w:t>95 538 376 301</w:t>
            </w:r>
          </w:p>
        </w:tc>
        <w:tc>
          <w:tcPr>
            <w:tcW w:w="1417" w:type="dxa"/>
            <w:shd w:val="clear" w:color="auto" w:fill="auto"/>
            <w:vAlign w:val="center"/>
          </w:tcPr>
          <w:p w14:paraId="2449D5A2" w14:textId="77777777" w:rsidR="0070585C" w:rsidRPr="00D8549A" w:rsidRDefault="0070585C" w:rsidP="00936F9F">
            <w:pPr>
              <w:jc w:val="left"/>
              <w:rPr>
                <w:sz w:val="20"/>
              </w:rPr>
            </w:pPr>
            <w:r w:rsidRPr="00D8549A">
              <w:rPr>
                <w:sz w:val="20"/>
              </w:rPr>
              <w:t>34 377 932 114</w:t>
            </w:r>
          </w:p>
        </w:tc>
        <w:tc>
          <w:tcPr>
            <w:tcW w:w="1418" w:type="dxa"/>
            <w:shd w:val="clear" w:color="auto" w:fill="auto"/>
            <w:vAlign w:val="center"/>
          </w:tcPr>
          <w:p w14:paraId="3F957E05" w14:textId="77777777" w:rsidR="0070585C" w:rsidRPr="00D8549A" w:rsidRDefault="0070585C" w:rsidP="00936F9F">
            <w:pPr>
              <w:jc w:val="left"/>
              <w:rPr>
                <w:sz w:val="20"/>
              </w:rPr>
            </w:pPr>
            <w:r w:rsidRPr="00D8549A">
              <w:rPr>
                <w:sz w:val="20"/>
              </w:rPr>
              <w:t>1 942 383 685</w:t>
            </w:r>
          </w:p>
        </w:tc>
        <w:tc>
          <w:tcPr>
            <w:tcW w:w="1417" w:type="dxa"/>
            <w:shd w:val="clear" w:color="auto" w:fill="auto"/>
            <w:vAlign w:val="center"/>
          </w:tcPr>
          <w:p w14:paraId="65105B4F" w14:textId="77777777" w:rsidR="0070585C" w:rsidRPr="00D8549A" w:rsidRDefault="0070585C" w:rsidP="00936F9F">
            <w:pPr>
              <w:jc w:val="left"/>
              <w:rPr>
                <w:sz w:val="20"/>
              </w:rPr>
            </w:pPr>
            <w:r w:rsidRPr="00D8549A">
              <w:rPr>
                <w:sz w:val="20"/>
              </w:rPr>
              <w:t>241 727,00</w:t>
            </w:r>
          </w:p>
        </w:tc>
      </w:tr>
      <w:tr w:rsidR="0070585C" w:rsidRPr="008B42CF" w14:paraId="6FAA4B8B" w14:textId="77777777" w:rsidTr="00936F9F">
        <w:tc>
          <w:tcPr>
            <w:tcW w:w="1943" w:type="dxa"/>
            <w:vAlign w:val="center"/>
          </w:tcPr>
          <w:p w14:paraId="70B2B21E" w14:textId="77777777" w:rsidR="0070585C" w:rsidRPr="00EC0870" w:rsidRDefault="0070585C" w:rsidP="00936F9F">
            <w:pPr>
              <w:jc w:val="left"/>
              <w:rPr>
                <w:sz w:val="20"/>
              </w:rPr>
            </w:pPr>
            <w:r w:rsidRPr="00EC0870">
              <w:rPr>
                <w:sz w:val="20"/>
              </w:rPr>
              <w:t xml:space="preserve">     - soukromé </w:t>
            </w:r>
            <w:r w:rsidRPr="00EC0870">
              <w:rPr>
                <w:sz w:val="20"/>
                <w:vertAlign w:val="superscript"/>
              </w:rPr>
              <w:t>2)</w:t>
            </w:r>
          </w:p>
        </w:tc>
        <w:tc>
          <w:tcPr>
            <w:tcW w:w="1417" w:type="dxa"/>
            <w:vAlign w:val="center"/>
          </w:tcPr>
          <w:p w14:paraId="12682E20" w14:textId="77777777" w:rsidR="0070585C" w:rsidRPr="00D8549A" w:rsidRDefault="0070585C" w:rsidP="00936F9F">
            <w:pPr>
              <w:jc w:val="left"/>
              <w:rPr>
                <w:sz w:val="20"/>
              </w:rPr>
            </w:pPr>
            <w:r w:rsidRPr="00D8549A">
              <w:rPr>
                <w:sz w:val="20"/>
              </w:rPr>
              <w:t>6 350 000 000</w:t>
            </w:r>
          </w:p>
        </w:tc>
        <w:tc>
          <w:tcPr>
            <w:tcW w:w="1418" w:type="dxa"/>
            <w:vAlign w:val="center"/>
          </w:tcPr>
          <w:p w14:paraId="41BE339A" w14:textId="77777777" w:rsidR="0070585C" w:rsidRPr="00D8549A" w:rsidRDefault="0070585C" w:rsidP="00936F9F">
            <w:pPr>
              <w:jc w:val="left"/>
              <w:rPr>
                <w:sz w:val="20"/>
              </w:rPr>
            </w:pPr>
          </w:p>
        </w:tc>
        <w:tc>
          <w:tcPr>
            <w:tcW w:w="1417" w:type="dxa"/>
            <w:vAlign w:val="center"/>
          </w:tcPr>
          <w:p w14:paraId="38CE7AB4" w14:textId="77777777" w:rsidR="0070585C" w:rsidRPr="00D8549A" w:rsidRDefault="0070585C" w:rsidP="00936F9F">
            <w:pPr>
              <w:jc w:val="left"/>
              <w:rPr>
                <w:sz w:val="20"/>
              </w:rPr>
            </w:pPr>
          </w:p>
        </w:tc>
        <w:tc>
          <w:tcPr>
            <w:tcW w:w="1418" w:type="dxa"/>
            <w:vAlign w:val="center"/>
          </w:tcPr>
          <w:p w14:paraId="64462A79" w14:textId="77777777" w:rsidR="0070585C" w:rsidRPr="00D8549A" w:rsidRDefault="0070585C" w:rsidP="00936F9F">
            <w:pPr>
              <w:jc w:val="left"/>
              <w:rPr>
                <w:sz w:val="20"/>
              </w:rPr>
            </w:pPr>
            <w:r w:rsidRPr="00D8549A">
              <w:rPr>
                <w:sz w:val="20"/>
              </w:rPr>
              <w:t>6 350 000 000</w:t>
            </w:r>
          </w:p>
        </w:tc>
        <w:tc>
          <w:tcPr>
            <w:tcW w:w="1417" w:type="dxa"/>
            <w:vAlign w:val="center"/>
          </w:tcPr>
          <w:p w14:paraId="72D8510D" w14:textId="77777777" w:rsidR="0070585C" w:rsidRPr="00D8549A" w:rsidRDefault="0070585C" w:rsidP="00936F9F">
            <w:pPr>
              <w:jc w:val="left"/>
              <w:rPr>
                <w:sz w:val="20"/>
              </w:rPr>
            </w:pPr>
          </w:p>
        </w:tc>
      </w:tr>
      <w:tr w:rsidR="0070585C" w:rsidRPr="008B42CF" w14:paraId="0B784E32" w14:textId="77777777" w:rsidTr="00936F9F">
        <w:tc>
          <w:tcPr>
            <w:tcW w:w="1943" w:type="dxa"/>
            <w:vAlign w:val="center"/>
          </w:tcPr>
          <w:p w14:paraId="7320FC05" w14:textId="77777777" w:rsidR="0070585C" w:rsidRPr="00EC0870" w:rsidRDefault="0070585C" w:rsidP="00936F9F">
            <w:pPr>
              <w:jc w:val="left"/>
              <w:rPr>
                <w:sz w:val="20"/>
              </w:rPr>
            </w:pPr>
            <w:r w:rsidRPr="00EC0870">
              <w:rPr>
                <w:sz w:val="20"/>
              </w:rPr>
              <w:t xml:space="preserve">     - církevní </w:t>
            </w:r>
            <w:r w:rsidRPr="00EC0870">
              <w:rPr>
                <w:sz w:val="20"/>
                <w:vertAlign w:val="superscript"/>
              </w:rPr>
              <w:t>2)</w:t>
            </w:r>
          </w:p>
        </w:tc>
        <w:tc>
          <w:tcPr>
            <w:tcW w:w="1417" w:type="dxa"/>
            <w:vAlign w:val="center"/>
          </w:tcPr>
          <w:p w14:paraId="537134A4" w14:textId="77777777" w:rsidR="0070585C" w:rsidRPr="00D8549A" w:rsidRDefault="0070585C" w:rsidP="00936F9F">
            <w:pPr>
              <w:jc w:val="left"/>
              <w:rPr>
                <w:sz w:val="20"/>
              </w:rPr>
            </w:pPr>
            <w:r w:rsidRPr="00D8549A">
              <w:rPr>
                <w:sz w:val="20"/>
              </w:rPr>
              <w:t>1 760 790 918</w:t>
            </w:r>
          </w:p>
        </w:tc>
        <w:tc>
          <w:tcPr>
            <w:tcW w:w="1418" w:type="dxa"/>
            <w:vAlign w:val="center"/>
          </w:tcPr>
          <w:p w14:paraId="38FD55EA" w14:textId="77777777" w:rsidR="0070585C" w:rsidRPr="00D8549A" w:rsidRDefault="0070585C" w:rsidP="00936F9F">
            <w:pPr>
              <w:jc w:val="left"/>
              <w:rPr>
                <w:sz w:val="20"/>
              </w:rPr>
            </w:pPr>
          </w:p>
        </w:tc>
        <w:tc>
          <w:tcPr>
            <w:tcW w:w="1417" w:type="dxa"/>
            <w:vAlign w:val="center"/>
          </w:tcPr>
          <w:p w14:paraId="69D5BFC8" w14:textId="77777777" w:rsidR="0070585C" w:rsidRPr="00D8549A" w:rsidRDefault="0070585C" w:rsidP="00936F9F">
            <w:pPr>
              <w:jc w:val="left"/>
              <w:rPr>
                <w:sz w:val="20"/>
              </w:rPr>
            </w:pPr>
          </w:p>
        </w:tc>
        <w:tc>
          <w:tcPr>
            <w:tcW w:w="1418" w:type="dxa"/>
            <w:vAlign w:val="center"/>
          </w:tcPr>
          <w:p w14:paraId="482B4A53" w14:textId="77777777" w:rsidR="0070585C" w:rsidRPr="00D8549A" w:rsidRDefault="0070585C" w:rsidP="00936F9F">
            <w:pPr>
              <w:jc w:val="left"/>
              <w:rPr>
                <w:sz w:val="20"/>
              </w:rPr>
            </w:pPr>
            <w:r w:rsidRPr="00D8549A">
              <w:rPr>
                <w:sz w:val="20"/>
              </w:rPr>
              <w:t>1 760 790 918</w:t>
            </w:r>
          </w:p>
        </w:tc>
        <w:tc>
          <w:tcPr>
            <w:tcW w:w="1417" w:type="dxa"/>
            <w:vAlign w:val="center"/>
          </w:tcPr>
          <w:p w14:paraId="3FCF36DB" w14:textId="77777777" w:rsidR="0070585C" w:rsidRPr="00D8549A" w:rsidRDefault="0070585C" w:rsidP="00936F9F">
            <w:pPr>
              <w:jc w:val="left"/>
              <w:rPr>
                <w:sz w:val="20"/>
              </w:rPr>
            </w:pPr>
          </w:p>
        </w:tc>
      </w:tr>
      <w:tr w:rsidR="0070585C" w:rsidRPr="008B42CF" w14:paraId="3665A798" w14:textId="77777777" w:rsidTr="00936F9F">
        <w:tc>
          <w:tcPr>
            <w:tcW w:w="1943" w:type="dxa"/>
            <w:vAlign w:val="center"/>
          </w:tcPr>
          <w:p w14:paraId="215C9774" w14:textId="77777777" w:rsidR="0070585C" w:rsidRPr="00EC0870" w:rsidRDefault="0070585C" w:rsidP="00936F9F">
            <w:pPr>
              <w:jc w:val="left"/>
              <w:rPr>
                <w:b/>
                <w:sz w:val="20"/>
              </w:rPr>
            </w:pPr>
            <w:r w:rsidRPr="00EC0870">
              <w:rPr>
                <w:b/>
                <w:sz w:val="20"/>
              </w:rPr>
              <w:t xml:space="preserve">Přímé výdaje PŘO </w:t>
            </w:r>
            <w:r w:rsidRPr="00EC0870">
              <w:rPr>
                <w:sz w:val="20"/>
                <w:vertAlign w:val="superscript"/>
              </w:rPr>
              <w:t>2)</w:t>
            </w:r>
          </w:p>
        </w:tc>
        <w:tc>
          <w:tcPr>
            <w:tcW w:w="1417" w:type="dxa"/>
            <w:vAlign w:val="center"/>
          </w:tcPr>
          <w:p w14:paraId="782AF4F6" w14:textId="77777777" w:rsidR="0070585C" w:rsidRPr="00D8549A" w:rsidRDefault="0070585C" w:rsidP="00936F9F">
            <w:pPr>
              <w:jc w:val="left"/>
              <w:rPr>
                <w:sz w:val="20"/>
              </w:rPr>
            </w:pPr>
            <w:r w:rsidRPr="00D8549A">
              <w:rPr>
                <w:sz w:val="20"/>
              </w:rPr>
              <w:t>3 050 337 844</w:t>
            </w:r>
          </w:p>
        </w:tc>
        <w:tc>
          <w:tcPr>
            <w:tcW w:w="1418" w:type="dxa"/>
            <w:vAlign w:val="center"/>
          </w:tcPr>
          <w:p w14:paraId="23046792" w14:textId="77777777" w:rsidR="0070585C" w:rsidRPr="00D8549A" w:rsidRDefault="0070585C" w:rsidP="00936F9F">
            <w:pPr>
              <w:jc w:val="left"/>
              <w:rPr>
                <w:sz w:val="20"/>
              </w:rPr>
            </w:pPr>
            <w:r w:rsidRPr="00D8549A">
              <w:rPr>
                <w:sz w:val="20"/>
              </w:rPr>
              <w:t>2 004 096 594</w:t>
            </w:r>
          </w:p>
        </w:tc>
        <w:tc>
          <w:tcPr>
            <w:tcW w:w="1417" w:type="dxa"/>
            <w:vAlign w:val="center"/>
          </w:tcPr>
          <w:p w14:paraId="7B061C95" w14:textId="77777777" w:rsidR="0070585C" w:rsidRPr="00D8549A" w:rsidRDefault="0070585C" w:rsidP="00936F9F">
            <w:pPr>
              <w:jc w:val="left"/>
              <w:rPr>
                <w:sz w:val="20"/>
              </w:rPr>
            </w:pPr>
            <w:r w:rsidRPr="00D8549A">
              <w:rPr>
                <w:sz w:val="20"/>
              </w:rPr>
              <w:t>721 198 274</w:t>
            </w:r>
          </w:p>
        </w:tc>
        <w:tc>
          <w:tcPr>
            <w:tcW w:w="1418" w:type="dxa"/>
            <w:vAlign w:val="center"/>
          </w:tcPr>
          <w:p w14:paraId="34838A73" w14:textId="77777777" w:rsidR="0070585C" w:rsidRPr="00D8549A" w:rsidRDefault="0070585C" w:rsidP="00936F9F">
            <w:pPr>
              <w:jc w:val="left"/>
              <w:rPr>
                <w:sz w:val="20"/>
              </w:rPr>
            </w:pPr>
            <w:r w:rsidRPr="00D8549A">
              <w:rPr>
                <w:sz w:val="20"/>
              </w:rPr>
              <w:t>325 042 976</w:t>
            </w:r>
          </w:p>
        </w:tc>
        <w:tc>
          <w:tcPr>
            <w:tcW w:w="1417" w:type="dxa"/>
            <w:vAlign w:val="center"/>
          </w:tcPr>
          <w:p w14:paraId="35631D3E" w14:textId="77777777" w:rsidR="0070585C" w:rsidRPr="00D8549A" w:rsidRDefault="0070585C" w:rsidP="00936F9F">
            <w:pPr>
              <w:jc w:val="left"/>
              <w:rPr>
                <w:sz w:val="20"/>
              </w:rPr>
            </w:pPr>
            <w:r w:rsidRPr="00D8549A">
              <w:rPr>
                <w:sz w:val="20"/>
              </w:rPr>
              <w:t>4 395,00</w:t>
            </w:r>
          </w:p>
        </w:tc>
      </w:tr>
    </w:tbl>
    <w:p w14:paraId="74DB446A" w14:textId="77777777" w:rsidR="0070585C" w:rsidRDefault="0070585C" w:rsidP="0070585C">
      <w:pPr>
        <w:pStyle w:val="Text"/>
      </w:pPr>
    </w:p>
    <w:p w14:paraId="1ADC7A51" w14:textId="77777777" w:rsidR="0070585C" w:rsidRPr="006E0CEC" w:rsidRDefault="0070585C" w:rsidP="0070585C">
      <w:pPr>
        <w:pStyle w:val="Text"/>
      </w:pPr>
      <w:r w:rsidRPr="006E0CEC">
        <w:lastRenderedPageBreak/>
        <w:t>Ve srovnání se schváleným rozpočtem výdajového bloku RgŠ celkem v roce 2018 je rozpočet běžných výdajů pro rok 2019 vyšší o 23,072 mld. Kč (tj. o cca 19,23 %), z toho v oblasti mzdových prostředků a odvodů o 22,475 mld. Kč (tj. o cca 20,33 %), (z toho růst mzdových prostředků činí 16,526 mld. Kč, tj. o 20,32 %).</w:t>
      </w:r>
    </w:p>
    <w:p w14:paraId="174D26CE" w14:textId="77777777" w:rsidR="0070585C" w:rsidRDefault="0070585C" w:rsidP="00911311">
      <w:pPr>
        <w:pStyle w:val="Text"/>
        <w:rPr>
          <w:b/>
        </w:rPr>
      </w:pPr>
      <w:r w:rsidRPr="006E0CEC">
        <w:t xml:space="preserve">Principy normativního rozpisu rozpočtu RgŠ vyčleněného pro školy a školská zařízení zřizované krajem, obcí a svazkem obcí na rok 2019 </w:t>
      </w:r>
      <w:r w:rsidRPr="006E0CEC">
        <w:rPr>
          <w:b/>
        </w:rPr>
        <w:t>jsou zásadně ovlivněny těmito hlavními faktory:</w:t>
      </w:r>
    </w:p>
    <w:p w14:paraId="05D67B37" w14:textId="77777777" w:rsidR="0070585C" w:rsidRPr="00702514" w:rsidRDefault="0070585C" w:rsidP="005B6E93">
      <w:pPr>
        <w:pStyle w:val="Zkladntext"/>
        <w:numPr>
          <w:ilvl w:val="0"/>
          <w:numId w:val="29"/>
        </w:numPr>
        <w:tabs>
          <w:tab w:val="left" w:pos="567"/>
        </w:tabs>
        <w:spacing w:after="0"/>
        <w:ind w:left="567"/>
        <w:rPr>
          <w:szCs w:val="24"/>
        </w:rPr>
      </w:pPr>
      <w:r w:rsidRPr="00350270">
        <w:rPr>
          <w:szCs w:val="24"/>
        </w:rPr>
        <w:t>posílením rozpočtu RgŠ ÚSC na rok 2019</w:t>
      </w:r>
      <w:r w:rsidRPr="005F5066">
        <w:rPr>
          <w:szCs w:val="24"/>
        </w:rPr>
        <w:t xml:space="preserve"> oproti schválenému rozpočtu roku 2018 o částku </w:t>
      </w:r>
      <w:r w:rsidRPr="00702514">
        <w:rPr>
          <w:szCs w:val="24"/>
        </w:rPr>
        <w:t>21,698 mld. Kč</w:t>
      </w:r>
      <w:r w:rsidRPr="005F5066">
        <w:rPr>
          <w:szCs w:val="24"/>
        </w:rPr>
        <w:t xml:space="preserve"> a meziročním zvýšením limitu počtu zaměstnanců </w:t>
      </w:r>
      <w:r w:rsidRPr="00350270">
        <w:rPr>
          <w:szCs w:val="24"/>
        </w:rPr>
        <w:t>o 1</w:t>
      </w:r>
      <w:r>
        <w:rPr>
          <w:szCs w:val="24"/>
        </w:rPr>
        <w:t>5 062,</w:t>
      </w:r>
      <w:r w:rsidRPr="00350270">
        <w:rPr>
          <w:szCs w:val="24"/>
        </w:rPr>
        <w:t xml:space="preserve"> </w:t>
      </w:r>
    </w:p>
    <w:p w14:paraId="1041A04F" w14:textId="77777777" w:rsidR="0070585C" w:rsidRPr="005F5066" w:rsidRDefault="0070585C" w:rsidP="005B6E93">
      <w:pPr>
        <w:pStyle w:val="Zkladntext"/>
        <w:numPr>
          <w:ilvl w:val="0"/>
          <w:numId w:val="29"/>
        </w:numPr>
        <w:tabs>
          <w:tab w:val="left" w:pos="567"/>
        </w:tabs>
        <w:spacing w:after="0"/>
        <w:ind w:left="567"/>
        <w:rPr>
          <w:szCs w:val="24"/>
        </w:rPr>
      </w:pPr>
      <w:r w:rsidRPr="005F5066">
        <w:rPr>
          <w:szCs w:val="24"/>
        </w:rPr>
        <w:t xml:space="preserve">meziročním </w:t>
      </w:r>
      <w:r w:rsidRPr="0040046F">
        <w:rPr>
          <w:szCs w:val="24"/>
        </w:rPr>
        <w:t>zvýšením počtu výkonů</w:t>
      </w:r>
      <w:r w:rsidRPr="005F5066">
        <w:rPr>
          <w:szCs w:val="24"/>
        </w:rPr>
        <w:t xml:space="preserve"> RgŠ ÚSC od školního roku 201</w:t>
      </w:r>
      <w:r>
        <w:rPr>
          <w:szCs w:val="24"/>
        </w:rPr>
        <w:t>8</w:t>
      </w:r>
      <w:r w:rsidRPr="005F5066">
        <w:rPr>
          <w:szCs w:val="24"/>
        </w:rPr>
        <w:t>/1</w:t>
      </w:r>
      <w:r>
        <w:rPr>
          <w:szCs w:val="24"/>
        </w:rPr>
        <w:t>9</w:t>
      </w:r>
      <w:r w:rsidRPr="005F5066">
        <w:rPr>
          <w:szCs w:val="24"/>
        </w:rPr>
        <w:t xml:space="preserve"> v celkové výši 11</w:t>
      </w:r>
      <w:r>
        <w:rPr>
          <w:szCs w:val="24"/>
        </w:rPr>
        <w:t> </w:t>
      </w:r>
      <w:r w:rsidRPr="005F5066">
        <w:rPr>
          <w:szCs w:val="24"/>
        </w:rPr>
        <w:t>85</w:t>
      </w:r>
      <w:r>
        <w:rPr>
          <w:szCs w:val="24"/>
        </w:rPr>
        <w:t>7</w:t>
      </w:r>
      <w:r w:rsidRPr="005F5066">
        <w:rPr>
          <w:szCs w:val="24"/>
        </w:rPr>
        <w:t xml:space="preserve"> jednotek a dalším růstem výkonů v oblasti církevního i soukromého školství</w:t>
      </w:r>
      <w:r>
        <w:rPr>
          <w:szCs w:val="24"/>
        </w:rPr>
        <w:t>,</w:t>
      </w:r>
    </w:p>
    <w:p w14:paraId="40AFBA6F" w14:textId="77777777" w:rsidR="0070585C" w:rsidRDefault="0070585C" w:rsidP="005B6E93">
      <w:pPr>
        <w:pStyle w:val="Zkladntext"/>
        <w:numPr>
          <w:ilvl w:val="0"/>
          <w:numId w:val="29"/>
        </w:numPr>
        <w:tabs>
          <w:tab w:val="left" w:pos="567"/>
        </w:tabs>
        <w:spacing w:after="0"/>
        <w:ind w:left="567"/>
        <w:rPr>
          <w:szCs w:val="24"/>
        </w:rPr>
      </w:pPr>
      <w:r w:rsidRPr="00724F52">
        <w:rPr>
          <w:szCs w:val="24"/>
        </w:rPr>
        <w:t>meziročním zvýšením potřeby zdrojů pro financování soukromého školství</w:t>
      </w:r>
      <w:r>
        <w:rPr>
          <w:szCs w:val="24"/>
        </w:rPr>
        <w:t>.</w:t>
      </w:r>
    </w:p>
    <w:p w14:paraId="309015F5" w14:textId="77777777" w:rsidR="0070585C" w:rsidRPr="00E508BB" w:rsidRDefault="0070585C" w:rsidP="00B83EC6">
      <w:pPr>
        <w:pStyle w:val="Text"/>
      </w:pPr>
      <w:r w:rsidRPr="00E508BB">
        <w:t>S ohledem na vzájemné působení uvedených faktorů je základní bilance rozpočtu RgŠ ÚSC pro rok 201</w:t>
      </w:r>
      <w:r>
        <w:t xml:space="preserve">9 </w:t>
      </w:r>
      <w:r w:rsidRPr="00E508BB">
        <w:t>ta</w:t>
      </w:r>
      <w:r>
        <w:t>to</w:t>
      </w:r>
      <w:r w:rsidRPr="00E508BB">
        <w:t>:</w:t>
      </w:r>
    </w:p>
    <w:p w14:paraId="22A7257B" w14:textId="088631ED" w:rsidR="0070585C" w:rsidRPr="00C9484E" w:rsidRDefault="0070585C" w:rsidP="005B6E93">
      <w:pPr>
        <w:pStyle w:val="Zkladntext"/>
        <w:numPr>
          <w:ilvl w:val="0"/>
          <w:numId w:val="30"/>
        </w:numPr>
        <w:tabs>
          <w:tab w:val="left" w:pos="567"/>
        </w:tabs>
        <w:spacing w:after="0"/>
        <w:ind w:left="567"/>
        <w:rPr>
          <w:szCs w:val="24"/>
        </w:rPr>
      </w:pPr>
      <w:r w:rsidRPr="00C9484E">
        <w:rPr>
          <w:szCs w:val="24"/>
        </w:rPr>
        <w:t xml:space="preserve">do výše republikových normativů </w:t>
      </w:r>
      <w:r w:rsidR="00A839F5">
        <w:rPr>
          <w:szCs w:val="24"/>
        </w:rPr>
        <w:t xml:space="preserve">(dále jen „RN“) </w:t>
      </w:r>
      <w:r w:rsidRPr="00C9484E">
        <w:rPr>
          <w:szCs w:val="24"/>
        </w:rPr>
        <w:t>201</w:t>
      </w:r>
      <w:r>
        <w:rPr>
          <w:szCs w:val="24"/>
        </w:rPr>
        <w:t>9</w:t>
      </w:r>
      <w:r w:rsidRPr="00C9484E">
        <w:rPr>
          <w:szCs w:val="24"/>
        </w:rPr>
        <w:t xml:space="preserve"> je oproti </w:t>
      </w:r>
      <w:r w:rsidR="00A839F5">
        <w:rPr>
          <w:szCs w:val="24"/>
        </w:rPr>
        <w:t>RN</w:t>
      </w:r>
      <w:r w:rsidRPr="00C9484E">
        <w:rPr>
          <w:szCs w:val="24"/>
        </w:rPr>
        <w:t xml:space="preserve"> 201</w:t>
      </w:r>
      <w:r>
        <w:rPr>
          <w:szCs w:val="24"/>
        </w:rPr>
        <w:t>8</w:t>
      </w:r>
      <w:r w:rsidRPr="00C9484E">
        <w:rPr>
          <w:szCs w:val="24"/>
        </w:rPr>
        <w:t xml:space="preserve"> promítnuto:</w:t>
      </w:r>
    </w:p>
    <w:p w14:paraId="0155B27C" w14:textId="77777777" w:rsidR="0070585C" w:rsidRPr="00350270" w:rsidRDefault="0070585C" w:rsidP="005B6E93">
      <w:pPr>
        <w:numPr>
          <w:ilvl w:val="1"/>
          <w:numId w:val="61"/>
        </w:numPr>
        <w:tabs>
          <w:tab w:val="left" w:pos="993"/>
        </w:tabs>
        <w:ind w:left="993"/>
        <w:rPr>
          <w:color w:val="000000"/>
          <w:szCs w:val="24"/>
        </w:rPr>
      </w:pPr>
      <w:r w:rsidRPr="00350270">
        <w:rPr>
          <w:color w:val="000000"/>
          <w:szCs w:val="24"/>
        </w:rPr>
        <w:t>posílení financování vzdělávání dětí a žáků se speciálními vzdělávacími potřebami</w:t>
      </w:r>
      <w:r>
        <w:rPr>
          <w:color w:val="000000"/>
          <w:szCs w:val="24"/>
        </w:rPr>
        <w:t>,</w:t>
      </w:r>
    </w:p>
    <w:p w14:paraId="4FACE782" w14:textId="20433AEB" w:rsidR="0070585C" w:rsidRPr="00724F52" w:rsidRDefault="0070585C" w:rsidP="005B6E93">
      <w:pPr>
        <w:numPr>
          <w:ilvl w:val="1"/>
          <w:numId w:val="61"/>
        </w:numPr>
        <w:tabs>
          <w:tab w:val="left" w:pos="993"/>
        </w:tabs>
        <w:ind w:left="993"/>
        <w:rPr>
          <w:color w:val="000000"/>
          <w:szCs w:val="24"/>
        </w:rPr>
      </w:pPr>
      <w:r w:rsidRPr="007F7330">
        <w:rPr>
          <w:color w:val="000000"/>
          <w:szCs w:val="24"/>
        </w:rPr>
        <w:t>zvýš</w:t>
      </w:r>
      <w:r w:rsidR="00A839F5">
        <w:rPr>
          <w:color w:val="000000"/>
          <w:szCs w:val="24"/>
        </w:rPr>
        <w:t>ení platů pedagogických pracovníků o 14 % a nepedagogických zaměstnanců</w:t>
      </w:r>
      <w:r w:rsidRPr="007F7330">
        <w:rPr>
          <w:color w:val="000000"/>
          <w:szCs w:val="24"/>
        </w:rPr>
        <w:t xml:space="preserve"> o</w:t>
      </w:r>
      <w:r w:rsidR="00A839F5">
        <w:rPr>
          <w:color w:val="000000"/>
          <w:szCs w:val="24"/>
        </w:rPr>
        <w:t> </w:t>
      </w:r>
      <w:r w:rsidRPr="007F7330">
        <w:rPr>
          <w:color w:val="000000"/>
          <w:szCs w:val="24"/>
        </w:rPr>
        <w:t>10 % (od 1. 1. 2019</w:t>
      </w:r>
      <w:r>
        <w:rPr>
          <w:color w:val="000000"/>
          <w:szCs w:val="24"/>
        </w:rPr>
        <w:t>); dále pak bude řešeno zvýšení odměňování pedagogických pracovníků prostřednictvím rozvojového programu, a to zvýšení o 1 %,</w:t>
      </w:r>
    </w:p>
    <w:p w14:paraId="373A435D" w14:textId="77777777" w:rsidR="0070585C" w:rsidRPr="00350270" w:rsidRDefault="0070585C" w:rsidP="005B6E93">
      <w:pPr>
        <w:numPr>
          <w:ilvl w:val="1"/>
          <w:numId w:val="61"/>
        </w:numPr>
        <w:tabs>
          <w:tab w:val="left" w:pos="993"/>
        </w:tabs>
        <w:ind w:left="993"/>
        <w:rPr>
          <w:color w:val="000000"/>
          <w:szCs w:val="24"/>
        </w:rPr>
      </w:pPr>
      <w:r w:rsidRPr="00350270">
        <w:rPr>
          <w:color w:val="000000"/>
          <w:szCs w:val="24"/>
        </w:rPr>
        <w:t xml:space="preserve">zvýšení ostatních neinvestičních výdajů pro školy a třídy zřízené podle § 16 </w:t>
      </w:r>
      <w:r>
        <w:rPr>
          <w:color w:val="000000"/>
          <w:szCs w:val="24"/>
        </w:rPr>
        <w:t xml:space="preserve">odst. 9 </w:t>
      </w:r>
      <w:r w:rsidRPr="00350270">
        <w:rPr>
          <w:color w:val="000000"/>
          <w:szCs w:val="24"/>
        </w:rPr>
        <w:t>školského zákona,</w:t>
      </w:r>
    </w:p>
    <w:p w14:paraId="5137239F" w14:textId="77777777" w:rsidR="0070585C" w:rsidRPr="00350270" w:rsidRDefault="0070585C" w:rsidP="005B6E93">
      <w:pPr>
        <w:numPr>
          <w:ilvl w:val="1"/>
          <w:numId w:val="61"/>
        </w:numPr>
        <w:tabs>
          <w:tab w:val="left" w:pos="993"/>
        </w:tabs>
        <w:ind w:left="993"/>
        <w:rPr>
          <w:color w:val="000000"/>
          <w:szCs w:val="24"/>
        </w:rPr>
      </w:pPr>
      <w:r w:rsidRPr="00350270">
        <w:rPr>
          <w:color w:val="000000"/>
          <w:szCs w:val="24"/>
        </w:rPr>
        <w:t>zvýšení limitu počtu zaměstnanců</w:t>
      </w:r>
      <w:r>
        <w:rPr>
          <w:color w:val="000000"/>
          <w:szCs w:val="24"/>
        </w:rPr>
        <w:t>;</w:t>
      </w:r>
    </w:p>
    <w:p w14:paraId="4B5E66A0" w14:textId="77777777" w:rsidR="0070585C" w:rsidRDefault="0070585C" w:rsidP="005B6E93">
      <w:pPr>
        <w:pStyle w:val="Zkladntext"/>
        <w:numPr>
          <w:ilvl w:val="0"/>
          <w:numId w:val="30"/>
        </w:numPr>
        <w:tabs>
          <w:tab w:val="left" w:pos="567"/>
        </w:tabs>
        <w:spacing w:after="0"/>
        <w:ind w:left="567"/>
        <w:rPr>
          <w:szCs w:val="24"/>
        </w:rPr>
      </w:pPr>
      <w:r w:rsidRPr="00724F52">
        <w:rPr>
          <w:szCs w:val="24"/>
        </w:rPr>
        <w:t>financování potřeb soukromého</w:t>
      </w:r>
      <w:r>
        <w:rPr>
          <w:szCs w:val="24"/>
        </w:rPr>
        <w:t xml:space="preserve"> a církevního</w:t>
      </w:r>
      <w:r w:rsidRPr="00724F52">
        <w:rPr>
          <w:szCs w:val="24"/>
        </w:rPr>
        <w:t xml:space="preserve"> školství nad směrná čísla návrhu rozpočtu 201</w:t>
      </w:r>
      <w:r>
        <w:rPr>
          <w:szCs w:val="24"/>
        </w:rPr>
        <w:t>9</w:t>
      </w:r>
      <w:r w:rsidRPr="00724F52">
        <w:rPr>
          <w:szCs w:val="24"/>
        </w:rPr>
        <w:t xml:space="preserve"> bude zabezpečeno z nárůstu rozpočtu RgŠ ÚSC na rok 201</w:t>
      </w:r>
      <w:r>
        <w:rPr>
          <w:szCs w:val="24"/>
        </w:rPr>
        <w:t>9</w:t>
      </w:r>
      <w:r w:rsidRPr="00724F52">
        <w:rPr>
          <w:szCs w:val="24"/>
        </w:rPr>
        <w:t xml:space="preserve"> z titulu růstu výkonů, které bylo rozpočtováno v RgŠ ÚSC, ale fakticky bylo realizováno v oblasti soukromého školství, </w:t>
      </w:r>
      <w:r w:rsidRPr="0040046F">
        <w:rPr>
          <w:szCs w:val="24"/>
        </w:rPr>
        <w:t xml:space="preserve">tudíž převodem z oblasti mzdových prostředků včetně odvodů ve výši </w:t>
      </w:r>
      <w:r w:rsidRPr="007F7330">
        <w:rPr>
          <w:szCs w:val="24"/>
        </w:rPr>
        <w:t>cca 414 mil. Kč</w:t>
      </w:r>
      <w:r>
        <w:rPr>
          <w:szCs w:val="24"/>
        </w:rPr>
        <w:t xml:space="preserve"> u soukromého a ve výši cca 43 mil. Kč u církevního školství;</w:t>
      </w:r>
      <w:r w:rsidRPr="0040046F">
        <w:rPr>
          <w:szCs w:val="24"/>
        </w:rPr>
        <w:t xml:space="preserve"> </w:t>
      </w:r>
    </w:p>
    <w:p w14:paraId="7F93D61F" w14:textId="77777777" w:rsidR="0070585C" w:rsidRPr="0040046F" w:rsidRDefault="0070585C" w:rsidP="005B6E93">
      <w:pPr>
        <w:pStyle w:val="Zkladntext"/>
        <w:numPr>
          <w:ilvl w:val="0"/>
          <w:numId w:val="30"/>
        </w:numPr>
        <w:tabs>
          <w:tab w:val="left" w:pos="567"/>
        </w:tabs>
        <w:spacing w:after="0"/>
        <w:ind w:left="567"/>
        <w:rPr>
          <w:szCs w:val="24"/>
        </w:rPr>
      </w:pPr>
      <w:r>
        <w:rPr>
          <w:szCs w:val="24"/>
        </w:rPr>
        <w:t>f</w:t>
      </w:r>
      <w:r w:rsidRPr="00EE1871">
        <w:rPr>
          <w:szCs w:val="24"/>
        </w:rPr>
        <w:t>inancování podpůrných opatření v roce 2019</w:t>
      </w:r>
      <w:r>
        <w:rPr>
          <w:szCs w:val="24"/>
        </w:rPr>
        <w:t>:</w:t>
      </w:r>
    </w:p>
    <w:p w14:paraId="658A66D5" w14:textId="77777777" w:rsidR="0070585C" w:rsidRPr="00EE1871" w:rsidRDefault="0070585C" w:rsidP="005B6E93">
      <w:pPr>
        <w:numPr>
          <w:ilvl w:val="1"/>
          <w:numId w:val="61"/>
        </w:numPr>
        <w:tabs>
          <w:tab w:val="left" w:pos="993"/>
        </w:tabs>
        <w:ind w:left="993"/>
        <w:rPr>
          <w:color w:val="000000"/>
          <w:szCs w:val="24"/>
        </w:rPr>
      </w:pPr>
      <w:r w:rsidRPr="00EE1871">
        <w:rPr>
          <w:color w:val="000000"/>
          <w:szCs w:val="24"/>
        </w:rPr>
        <w:t xml:space="preserve">podpůrná opatření ve školách a třídách zřizovaných krajem, obcí nebo dobrovolným svazkem obcí poskytovaná k 1. 1. 2019 jsou plně finančně pokryta;        </w:t>
      </w:r>
    </w:p>
    <w:p w14:paraId="0997F816" w14:textId="77777777" w:rsidR="0070585C" w:rsidRPr="00EE1871" w:rsidRDefault="0070585C" w:rsidP="005B6E93">
      <w:pPr>
        <w:numPr>
          <w:ilvl w:val="1"/>
          <w:numId w:val="61"/>
        </w:numPr>
        <w:tabs>
          <w:tab w:val="left" w:pos="993"/>
        </w:tabs>
        <w:ind w:left="993"/>
        <w:rPr>
          <w:color w:val="000000"/>
          <w:szCs w:val="24"/>
        </w:rPr>
      </w:pPr>
      <w:r w:rsidRPr="00EE1871">
        <w:rPr>
          <w:color w:val="000000"/>
          <w:szCs w:val="24"/>
        </w:rPr>
        <w:t>výdaje na podpůrná opatření na církevních školách (cca 165 mil. Kč) jsou rozpočtově nezajištěny – stejně jako v roce 2018 budou financována z nároků z nespotřebovaných neprofilujících výdajů MŠMT, neboť jiné zdroje rozpočet RgŠ na rok 2019 k tomuto účelu nemá;</w:t>
      </w:r>
    </w:p>
    <w:p w14:paraId="26151D64" w14:textId="77777777" w:rsidR="0070585C" w:rsidRPr="00EE1871" w:rsidRDefault="0070585C" w:rsidP="005B6E93">
      <w:pPr>
        <w:numPr>
          <w:ilvl w:val="1"/>
          <w:numId w:val="61"/>
        </w:numPr>
        <w:tabs>
          <w:tab w:val="left" w:pos="993"/>
        </w:tabs>
        <w:ind w:left="993"/>
        <w:rPr>
          <w:color w:val="000000"/>
          <w:szCs w:val="24"/>
        </w:rPr>
      </w:pPr>
      <w:r w:rsidRPr="00EE1871">
        <w:rPr>
          <w:color w:val="000000"/>
          <w:szCs w:val="24"/>
        </w:rPr>
        <w:t>výdaje na podpůrná opatření na soukromých školách (cca 320 mil. Kč) jsou rozpočtově nezajištěny – jako u církevních škol budou financována z nároků z nespotřebovaných neprofilujících výdajů MŠMT, neboť jiné zdroje rozpočet RgŠ na rok 2019 k tomuto účelu nemá</w:t>
      </w:r>
      <w:r>
        <w:rPr>
          <w:color w:val="000000"/>
          <w:szCs w:val="24"/>
        </w:rPr>
        <w:t>;</w:t>
      </w:r>
    </w:p>
    <w:p w14:paraId="13153E0D" w14:textId="77777777" w:rsidR="0070585C" w:rsidRPr="00653009" w:rsidRDefault="0070585C" w:rsidP="005B6E93">
      <w:pPr>
        <w:numPr>
          <w:ilvl w:val="0"/>
          <w:numId w:val="30"/>
        </w:numPr>
        <w:tabs>
          <w:tab w:val="left" w:pos="540"/>
        </w:tabs>
        <w:ind w:left="714" w:hanging="357"/>
        <w:rPr>
          <w:szCs w:val="24"/>
        </w:rPr>
      </w:pPr>
      <w:r w:rsidRPr="00653009">
        <w:rPr>
          <w:szCs w:val="24"/>
        </w:rPr>
        <w:t>financování potřeb soukromého a církevního školství:</w:t>
      </w:r>
    </w:p>
    <w:p w14:paraId="30FA3F75" w14:textId="77777777" w:rsidR="0070585C" w:rsidRPr="00935190" w:rsidRDefault="0070585C" w:rsidP="005B6E93">
      <w:pPr>
        <w:numPr>
          <w:ilvl w:val="1"/>
          <w:numId w:val="61"/>
        </w:numPr>
        <w:tabs>
          <w:tab w:val="left" w:pos="993"/>
        </w:tabs>
        <w:ind w:left="993"/>
        <w:rPr>
          <w:color w:val="000000"/>
          <w:szCs w:val="24"/>
        </w:rPr>
      </w:pPr>
      <w:r w:rsidRPr="00935190">
        <w:rPr>
          <w:color w:val="000000"/>
          <w:szCs w:val="24"/>
        </w:rPr>
        <w:t>zvýšení mzdové části normativů roku 2019 oproti roku 2018 zahrnuje:</w:t>
      </w:r>
    </w:p>
    <w:p w14:paraId="05C4B670" w14:textId="77777777" w:rsidR="00A839F5" w:rsidRPr="00935190" w:rsidRDefault="0070585C" w:rsidP="00A839F5">
      <w:pPr>
        <w:numPr>
          <w:ilvl w:val="1"/>
          <w:numId w:val="63"/>
        </w:numPr>
        <w:tabs>
          <w:tab w:val="left" w:pos="993"/>
        </w:tabs>
        <w:rPr>
          <w:color w:val="000000"/>
          <w:szCs w:val="24"/>
        </w:rPr>
      </w:pPr>
      <w:r w:rsidRPr="00935190">
        <w:rPr>
          <w:color w:val="000000"/>
          <w:szCs w:val="24"/>
        </w:rPr>
        <w:t>zvýšení odměňování ve veřejném škols</w:t>
      </w:r>
      <w:r>
        <w:rPr>
          <w:color w:val="000000"/>
          <w:szCs w:val="24"/>
        </w:rPr>
        <w:t>t</w:t>
      </w:r>
      <w:r w:rsidRPr="00935190">
        <w:rPr>
          <w:color w:val="000000"/>
          <w:szCs w:val="24"/>
        </w:rPr>
        <w:t xml:space="preserve">ví v oblasti mzdových prostředků pro </w:t>
      </w:r>
      <w:r w:rsidR="00A839F5" w:rsidRPr="00935190">
        <w:rPr>
          <w:color w:val="000000"/>
          <w:szCs w:val="24"/>
        </w:rPr>
        <w:t>pedagog</w:t>
      </w:r>
      <w:r w:rsidR="00A839F5">
        <w:rPr>
          <w:color w:val="000000"/>
          <w:szCs w:val="24"/>
        </w:rPr>
        <w:t>ické pracovníky</w:t>
      </w:r>
      <w:r w:rsidR="00A839F5" w:rsidRPr="00935190">
        <w:rPr>
          <w:color w:val="000000"/>
          <w:szCs w:val="24"/>
        </w:rPr>
        <w:t xml:space="preserve"> o 8 % a pro nepedagog</w:t>
      </w:r>
      <w:r w:rsidR="00A839F5">
        <w:rPr>
          <w:color w:val="000000"/>
          <w:szCs w:val="24"/>
        </w:rPr>
        <w:t>ické zaměstnance</w:t>
      </w:r>
      <w:r w:rsidR="00A839F5" w:rsidRPr="00935190">
        <w:rPr>
          <w:color w:val="000000"/>
          <w:szCs w:val="24"/>
        </w:rPr>
        <w:t xml:space="preserve"> o 5 % od 1. 9. 2016, </w:t>
      </w:r>
    </w:p>
    <w:p w14:paraId="66978D80" w14:textId="77777777" w:rsidR="00A839F5" w:rsidRPr="00935190" w:rsidRDefault="00A839F5" w:rsidP="00A839F5">
      <w:pPr>
        <w:numPr>
          <w:ilvl w:val="1"/>
          <w:numId w:val="63"/>
        </w:numPr>
        <w:tabs>
          <w:tab w:val="left" w:pos="993"/>
        </w:tabs>
        <w:rPr>
          <w:color w:val="000000"/>
          <w:szCs w:val="24"/>
        </w:rPr>
      </w:pPr>
      <w:r w:rsidRPr="00935190">
        <w:rPr>
          <w:color w:val="000000"/>
          <w:szCs w:val="24"/>
        </w:rPr>
        <w:t>platových tarifů nepedagog</w:t>
      </w:r>
      <w:r>
        <w:rPr>
          <w:color w:val="000000"/>
          <w:szCs w:val="24"/>
        </w:rPr>
        <w:t>ických zaměstnanců</w:t>
      </w:r>
      <w:r w:rsidRPr="00935190">
        <w:rPr>
          <w:color w:val="000000"/>
          <w:szCs w:val="24"/>
        </w:rPr>
        <w:t xml:space="preserve"> o 10 % od 1. 7. 2017, </w:t>
      </w:r>
    </w:p>
    <w:p w14:paraId="5F1C44C9" w14:textId="77777777" w:rsidR="00A839F5" w:rsidRPr="00935190" w:rsidRDefault="00A839F5" w:rsidP="00A839F5">
      <w:pPr>
        <w:numPr>
          <w:ilvl w:val="1"/>
          <w:numId w:val="63"/>
        </w:numPr>
        <w:tabs>
          <w:tab w:val="left" w:pos="993"/>
        </w:tabs>
        <w:rPr>
          <w:color w:val="000000"/>
          <w:szCs w:val="24"/>
        </w:rPr>
      </w:pPr>
      <w:r w:rsidRPr="00935190">
        <w:rPr>
          <w:color w:val="000000"/>
          <w:szCs w:val="24"/>
        </w:rPr>
        <w:t>platových tarifů pedagog</w:t>
      </w:r>
      <w:r>
        <w:rPr>
          <w:color w:val="000000"/>
          <w:szCs w:val="24"/>
        </w:rPr>
        <w:t>ických pracovníků</w:t>
      </w:r>
      <w:r w:rsidRPr="00935190">
        <w:rPr>
          <w:color w:val="000000"/>
          <w:szCs w:val="24"/>
        </w:rPr>
        <w:t xml:space="preserve"> o 15 % a nepedagog</w:t>
      </w:r>
      <w:r>
        <w:rPr>
          <w:color w:val="000000"/>
          <w:szCs w:val="24"/>
        </w:rPr>
        <w:t>ických zaměstnanců</w:t>
      </w:r>
      <w:r w:rsidRPr="00935190">
        <w:rPr>
          <w:color w:val="000000"/>
          <w:szCs w:val="24"/>
        </w:rPr>
        <w:t xml:space="preserve"> o 10 % od 1. 11. 2017. </w:t>
      </w:r>
    </w:p>
    <w:p w14:paraId="53B31F2A" w14:textId="4728DD75" w:rsidR="0070585C" w:rsidRPr="00A839F5" w:rsidRDefault="0070585C" w:rsidP="00A839F5">
      <w:pPr>
        <w:numPr>
          <w:ilvl w:val="1"/>
          <w:numId w:val="61"/>
        </w:numPr>
        <w:tabs>
          <w:tab w:val="left" w:pos="993"/>
        </w:tabs>
        <w:ind w:left="993"/>
        <w:rPr>
          <w:spacing w:val="-2"/>
          <w:szCs w:val="24"/>
        </w:rPr>
      </w:pPr>
      <w:r>
        <w:rPr>
          <w:spacing w:val="-2"/>
          <w:szCs w:val="24"/>
        </w:rPr>
        <w:t>oblast ONIV byla v roce 2018 ve veřejném školství posílena z důvodu dlouhodobého podfinancování tzv. speciálního školství (</w:t>
      </w:r>
      <w:r w:rsidRPr="00BB445C">
        <w:rPr>
          <w:spacing w:val="-2"/>
          <w:szCs w:val="24"/>
        </w:rPr>
        <w:t xml:space="preserve">školy a třídy zřízené podle § 16 odst. 9 </w:t>
      </w:r>
      <w:r w:rsidRPr="00BB445C">
        <w:rPr>
          <w:spacing w:val="-2"/>
          <w:szCs w:val="24"/>
        </w:rPr>
        <w:lastRenderedPageBreak/>
        <w:t>školského zákona</w:t>
      </w:r>
      <w:r>
        <w:rPr>
          <w:spacing w:val="-2"/>
          <w:szCs w:val="24"/>
        </w:rPr>
        <w:t xml:space="preserve">). Tato skutečnost byla promítnuta do příplatků na speciální vzdělávací potřeby, a to zvýšením o 10 % oproti roku 2018. </w:t>
      </w:r>
    </w:p>
    <w:p w14:paraId="19BF7F2D" w14:textId="77777777" w:rsidR="0070585C" w:rsidRPr="00935190" w:rsidRDefault="0070585C" w:rsidP="005B6E93">
      <w:pPr>
        <w:numPr>
          <w:ilvl w:val="1"/>
          <w:numId w:val="61"/>
        </w:numPr>
        <w:tabs>
          <w:tab w:val="left" w:pos="993"/>
        </w:tabs>
        <w:ind w:left="993"/>
        <w:rPr>
          <w:color w:val="000000"/>
          <w:szCs w:val="24"/>
        </w:rPr>
      </w:pPr>
      <w:r>
        <w:rPr>
          <w:spacing w:val="-2"/>
          <w:szCs w:val="24"/>
        </w:rPr>
        <w:t xml:space="preserve">normativy na </w:t>
      </w:r>
      <w:r w:rsidRPr="004E16B3">
        <w:rPr>
          <w:spacing w:val="-2"/>
          <w:szCs w:val="24"/>
        </w:rPr>
        <w:t>podpůrná opatření</w:t>
      </w:r>
      <w:r>
        <w:rPr>
          <w:spacing w:val="-2"/>
          <w:szCs w:val="24"/>
        </w:rPr>
        <w:t xml:space="preserve"> personálního charakteru </w:t>
      </w:r>
      <w:r w:rsidRPr="004E16B3">
        <w:rPr>
          <w:spacing w:val="-2"/>
          <w:szCs w:val="24"/>
        </w:rPr>
        <w:t>byly upraveny v souvislosti se změnou tarifních tabulek pedagogických pracovníků a nepedagogických</w:t>
      </w:r>
      <w:r>
        <w:rPr>
          <w:spacing w:val="-2"/>
          <w:szCs w:val="24"/>
        </w:rPr>
        <w:t xml:space="preserve"> zaměstnanců</w:t>
      </w:r>
      <w:r w:rsidRPr="004E16B3">
        <w:rPr>
          <w:spacing w:val="-2"/>
          <w:szCs w:val="24"/>
        </w:rPr>
        <w:t xml:space="preserve"> </w:t>
      </w:r>
      <w:r>
        <w:rPr>
          <w:spacing w:val="-2"/>
          <w:szCs w:val="24"/>
        </w:rPr>
        <w:t>po</w:t>
      </w:r>
      <w:r w:rsidRPr="004E16B3">
        <w:rPr>
          <w:spacing w:val="-2"/>
          <w:szCs w:val="24"/>
        </w:rPr>
        <w:t>dle novely nařízení vlády č. 341/2017 Sb., o platových poměrech zaměstnanců ve veřejných službách a správě, účinné od 1.</w:t>
      </w:r>
      <w:r>
        <w:rPr>
          <w:spacing w:val="-2"/>
          <w:szCs w:val="24"/>
        </w:rPr>
        <w:t xml:space="preserve"> ledna </w:t>
      </w:r>
      <w:r w:rsidRPr="004E16B3">
        <w:rPr>
          <w:spacing w:val="-2"/>
          <w:szCs w:val="24"/>
        </w:rPr>
        <w:t>2019</w:t>
      </w:r>
      <w:r>
        <w:rPr>
          <w:spacing w:val="-2"/>
          <w:szCs w:val="24"/>
        </w:rPr>
        <w:t>.</w:t>
      </w:r>
    </w:p>
    <w:p w14:paraId="627EB0EB" w14:textId="77777777" w:rsidR="0070585C" w:rsidRDefault="0070585C" w:rsidP="0070585C">
      <w:pPr>
        <w:pStyle w:val="Text"/>
        <w:rPr>
          <w:highlight w:val="cyan"/>
        </w:rPr>
      </w:pPr>
    </w:p>
    <w:p w14:paraId="315623D4" w14:textId="77F4BE3B" w:rsidR="0070585C" w:rsidRDefault="0070585C" w:rsidP="0070585C">
      <w:pPr>
        <w:pStyle w:val="Text"/>
      </w:pPr>
      <w:r w:rsidRPr="00D775F6">
        <w:t>Celkový počet dětí, žáků a studentů zahrnutý do financování prostřednictvím RN 2019 (tj. včetně žáků denní formy nástavbového studia) se ve školním roce 2018/2019 oproti školnímu roku 2017/2018 zvýšil o 1</w:t>
      </w:r>
      <w:r>
        <w:t>1 857</w:t>
      </w:r>
      <w:r w:rsidRPr="00D775F6">
        <w:t xml:space="preserve"> (z počtu 1</w:t>
      </w:r>
      <w:r>
        <w:t> </w:t>
      </w:r>
      <w:r w:rsidRPr="00D775F6">
        <w:t>6</w:t>
      </w:r>
      <w:r>
        <w:t>22 725</w:t>
      </w:r>
      <w:r w:rsidRPr="00D775F6">
        <w:t xml:space="preserve"> na 1</w:t>
      </w:r>
      <w:r>
        <w:t> </w:t>
      </w:r>
      <w:r w:rsidRPr="00D775F6">
        <w:t>6</w:t>
      </w:r>
      <w:r>
        <w:t>34 582</w:t>
      </w:r>
      <w:r w:rsidRPr="00D775F6">
        <w:t>), tj. o 0,7</w:t>
      </w:r>
      <w:r>
        <w:t>3</w:t>
      </w:r>
      <w:r w:rsidR="002B1F8C">
        <w:t xml:space="preserve"> %. V </w:t>
      </w:r>
      <w:r w:rsidRPr="00D775F6">
        <w:t>oblasti základního vzdělávání došlo k nárůstu výkonů o 1</w:t>
      </w:r>
      <w:r>
        <w:t>2 431</w:t>
      </w:r>
      <w:r w:rsidR="002B1F8C">
        <w:t xml:space="preserve"> žáků (meziroční nárůst v </w:t>
      </w:r>
      <w:r w:rsidRPr="00D775F6">
        <w:t xml:space="preserve">minulém roce byl </w:t>
      </w:r>
      <w:r>
        <w:t xml:space="preserve">16 986 </w:t>
      </w:r>
      <w:r w:rsidRPr="00D775F6">
        <w:t xml:space="preserve">žáků). </w:t>
      </w:r>
      <w:r>
        <w:t>K zvýšení došlo i v</w:t>
      </w:r>
      <w:r w:rsidRPr="00D775F6">
        <w:t> oblasti středního vzdělávání</w:t>
      </w:r>
      <w:r>
        <w:t xml:space="preserve">, a to o 309 žáků </w:t>
      </w:r>
      <w:r w:rsidRPr="00D775F6">
        <w:t xml:space="preserve">(v minulém roce byl </w:t>
      </w:r>
      <w:r>
        <w:t xml:space="preserve">pokles ve výši 2 623 žáků) </w:t>
      </w:r>
      <w:r w:rsidRPr="00D775F6">
        <w:t>Ve školním roce 201</w:t>
      </w:r>
      <w:r>
        <w:t>8</w:t>
      </w:r>
      <w:r w:rsidRPr="00D775F6">
        <w:t>/201</w:t>
      </w:r>
      <w:r>
        <w:t>9</w:t>
      </w:r>
      <w:r w:rsidRPr="00D775F6">
        <w:t xml:space="preserve"> došlo </w:t>
      </w:r>
      <w:r>
        <w:t xml:space="preserve">k nárůstu počtu dětí o 486 </w:t>
      </w:r>
      <w:r w:rsidRPr="00D775F6">
        <w:t>k poklesu počtu dětí v</w:t>
      </w:r>
      <w:r>
        <w:t> </w:t>
      </w:r>
      <w:r w:rsidRPr="00D775F6">
        <w:t>MŠ</w:t>
      </w:r>
      <w:r>
        <w:t xml:space="preserve"> </w:t>
      </w:r>
      <w:r w:rsidRPr="00D775F6">
        <w:t xml:space="preserve">(v minulém roce byl </w:t>
      </w:r>
      <w:r>
        <w:t>pokles ve výši 5 355 dětí)</w:t>
      </w:r>
      <w:r w:rsidRPr="00D775F6">
        <w:t xml:space="preserve">. V oblasti vyšších odborných škol došlo k poklesu o 1 </w:t>
      </w:r>
      <w:r>
        <w:t>375</w:t>
      </w:r>
      <w:r w:rsidRPr="00D775F6">
        <w:t xml:space="preserve"> studentů, (v roce 201</w:t>
      </w:r>
      <w:r>
        <w:t>8</w:t>
      </w:r>
      <w:r w:rsidRPr="00D775F6">
        <w:t xml:space="preserve"> to byl pokles o 1 </w:t>
      </w:r>
      <w:r>
        <w:t>493</w:t>
      </w:r>
      <w:r w:rsidRPr="00D775F6">
        <w:t>).</w:t>
      </w:r>
    </w:p>
    <w:p w14:paraId="435CE5E4" w14:textId="77777777" w:rsidR="00B302E0" w:rsidRPr="00D775F6" w:rsidRDefault="00B302E0" w:rsidP="0070585C">
      <w:pPr>
        <w:pStyle w:val="Text"/>
      </w:pPr>
    </w:p>
    <w:p w14:paraId="50A94A8A" w14:textId="77777777" w:rsidR="0070585C" w:rsidRPr="002F54C6" w:rsidRDefault="0070585C" w:rsidP="000502A7">
      <w:pPr>
        <w:keepNext/>
      </w:pPr>
      <w:r w:rsidRPr="002F54C6">
        <w:t>Přehled vývoje výkonů krajského a obecního školství v letech 2014/2015 až 2018/2019:</w:t>
      </w:r>
    </w:p>
    <w:tbl>
      <w:tblPr>
        <w:tblW w:w="873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57" w:type="dxa"/>
        </w:tblCellMar>
        <w:tblLook w:val="0000" w:firstRow="0" w:lastRow="0" w:firstColumn="0" w:lastColumn="0" w:noHBand="0" w:noVBand="0"/>
      </w:tblPr>
      <w:tblGrid>
        <w:gridCol w:w="1504"/>
        <w:gridCol w:w="1126"/>
        <w:gridCol w:w="1127"/>
        <w:gridCol w:w="1127"/>
        <w:gridCol w:w="1127"/>
        <w:gridCol w:w="1127"/>
        <w:gridCol w:w="825"/>
        <w:gridCol w:w="770"/>
      </w:tblGrid>
      <w:tr w:rsidR="0070585C" w:rsidRPr="008B42CF" w14:paraId="7580D519" w14:textId="77777777" w:rsidTr="00C96445">
        <w:trPr>
          <w:trHeight w:val="330"/>
        </w:trPr>
        <w:tc>
          <w:tcPr>
            <w:tcW w:w="1504" w:type="dxa"/>
            <w:vMerge w:val="restart"/>
            <w:tcBorders>
              <w:top w:val="single" w:sz="8" w:space="0" w:color="auto"/>
              <w:bottom w:val="single" w:sz="4" w:space="0" w:color="auto"/>
              <w:right w:val="single" w:sz="8" w:space="0" w:color="auto"/>
            </w:tcBorders>
            <w:vAlign w:val="center"/>
          </w:tcPr>
          <w:p w14:paraId="099D77C3" w14:textId="77777777" w:rsidR="0070585C" w:rsidRPr="002F54C6" w:rsidRDefault="0070585C" w:rsidP="00936F9F">
            <w:pPr>
              <w:jc w:val="center"/>
              <w:rPr>
                <w:b/>
                <w:sz w:val="22"/>
                <w:szCs w:val="22"/>
              </w:rPr>
            </w:pPr>
            <w:r w:rsidRPr="002F54C6">
              <w:rPr>
                <w:b/>
                <w:sz w:val="22"/>
                <w:szCs w:val="22"/>
              </w:rPr>
              <w:t>RgŠ ÚSC</w:t>
            </w:r>
          </w:p>
        </w:tc>
        <w:tc>
          <w:tcPr>
            <w:tcW w:w="1126" w:type="dxa"/>
            <w:vMerge w:val="restart"/>
            <w:tcBorders>
              <w:top w:val="single" w:sz="8" w:space="0" w:color="auto"/>
              <w:left w:val="single" w:sz="8" w:space="0" w:color="auto"/>
              <w:bottom w:val="single" w:sz="4" w:space="0" w:color="auto"/>
              <w:right w:val="single" w:sz="8" w:space="0" w:color="auto"/>
            </w:tcBorders>
            <w:vAlign w:val="center"/>
          </w:tcPr>
          <w:p w14:paraId="79082F54" w14:textId="77777777" w:rsidR="0070585C" w:rsidRPr="005B36C1" w:rsidRDefault="0070585C" w:rsidP="00936F9F">
            <w:pPr>
              <w:jc w:val="center"/>
              <w:rPr>
                <w:b/>
                <w:sz w:val="22"/>
                <w:szCs w:val="22"/>
              </w:rPr>
            </w:pPr>
            <w:r w:rsidRPr="005B36C1">
              <w:rPr>
                <w:b/>
                <w:sz w:val="22"/>
                <w:szCs w:val="22"/>
              </w:rPr>
              <w:t>Výkony 14/15</w:t>
            </w:r>
          </w:p>
          <w:p w14:paraId="4A0CB242" w14:textId="77777777" w:rsidR="0070585C" w:rsidRPr="005B36C1" w:rsidRDefault="0070585C" w:rsidP="00936F9F">
            <w:pPr>
              <w:jc w:val="center"/>
              <w:rPr>
                <w:b/>
                <w:sz w:val="22"/>
                <w:szCs w:val="22"/>
              </w:rPr>
            </w:pPr>
            <w:r w:rsidRPr="005B36C1">
              <w:rPr>
                <w:b/>
                <w:sz w:val="22"/>
                <w:szCs w:val="22"/>
              </w:rPr>
              <w:t>vč. žáků nást.studia</w:t>
            </w:r>
          </w:p>
        </w:tc>
        <w:tc>
          <w:tcPr>
            <w:tcW w:w="1127" w:type="dxa"/>
            <w:vMerge w:val="restart"/>
            <w:tcBorders>
              <w:top w:val="single" w:sz="8" w:space="0" w:color="auto"/>
              <w:left w:val="single" w:sz="8" w:space="0" w:color="auto"/>
              <w:bottom w:val="single" w:sz="4" w:space="0" w:color="auto"/>
              <w:right w:val="single" w:sz="8" w:space="0" w:color="auto"/>
            </w:tcBorders>
            <w:vAlign w:val="center"/>
          </w:tcPr>
          <w:p w14:paraId="641F7AD8" w14:textId="77777777" w:rsidR="0070585C" w:rsidRPr="005B36C1" w:rsidRDefault="0070585C" w:rsidP="00936F9F">
            <w:pPr>
              <w:jc w:val="center"/>
              <w:rPr>
                <w:b/>
                <w:sz w:val="22"/>
                <w:szCs w:val="22"/>
              </w:rPr>
            </w:pPr>
            <w:r w:rsidRPr="005B36C1">
              <w:rPr>
                <w:b/>
                <w:sz w:val="22"/>
                <w:szCs w:val="22"/>
              </w:rPr>
              <w:t>Výkony 15/16</w:t>
            </w:r>
          </w:p>
          <w:p w14:paraId="26B8ADC0" w14:textId="77777777" w:rsidR="0070585C" w:rsidRPr="005B36C1" w:rsidRDefault="0070585C" w:rsidP="00936F9F">
            <w:pPr>
              <w:jc w:val="center"/>
              <w:rPr>
                <w:b/>
                <w:sz w:val="22"/>
                <w:szCs w:val="22"/>
              </w:rPr>
            </w:pPr>
            <w:r w:rsidRPr="005B36C1">
              <w:rPr>
                <w:b/>
                <w:sz w:val="22"/>
                <w:szCs w:val="22"/>
              </w:rPr>
              <w:t>vč. žáků nást.studia</w:t>
            </w:r>
          </w:p>
        </w:tc>
        <w:tc>
          <w:tcPr>
            <w:tcW w:w="1127" w:type="dxa"/>
            <w:vMerge w:val="restart"/>
            <w:tcBorders>
              <w:top w:val="single" w:sz="8" w:space="0" w:color="auto"/>
              <w:left w:val="single" w:sz="8" w:space="0" w:color="auto"/>
              <w:bottom w:val="single" w:sz="4" w:space="0" w:color="auto"/>
              <w:right w:val="single" w:sz="8" w:space="0" w:color="auto"/>
            </w:tcBorders>
            <w:vAlign w:val="center"/>
          </w:tcPr>
          <w:p w14:paraId="15EE6D34" w14:textId="77777777" w:rsidR="0070585C" w:rsidRPr="005B36C1" w:rsidRDefault="0070585C" w:rsidP="00936F9F">
            <w:pPr>
              <w:jc w:val="center"/>
              <w:rPr>
                <w:b/>
                <w:sz w:val="22"/>
                <w:szCs w:val="22"/>
              </w:rPr>
            </w:pPr>
            <w:r w:rsidRPr="005B36C1">
              <w:rPr>
                <w:b/>
                <w:sz w:val="22"/>
                <w:szCs w:val="22"/>
              </w:rPr>
              <w:t>Výkony 16/17</w:t>
            </w:r>
          </w:p>
          <w:p w14:paraId="76E01E2F" w14:textId="77777777" w:rsidR="0070585C" w:rsidRPr="005B36C1" w:rsidRDefault="0070585C" w:rsidP="00936F9F">
            <w:pPr>
              <w:jc w:val="center"/>
              <w:rPr>
                <w:b/>
                <w:sz w:val="22"/>
                <w:szCs w:val="22"/>
              </w:rPr>
            </w:pPr>
            <w:r w:rsidRPr="005B36C1">
              <w:rPr>
                <w:b/>
                <w:sz w:val="22"/>
                <w:szCs w:val="22"/>
              </w:rPr>
              <w:t>vč. žáků nást.studia</w:t>
            </w:r>
          </w:p>
        </w:tc>
        <w:tc>
          <w:tcPr>
            <w:tcW w:w="1127" w:type="dxa"/>
            <w:vMerge w:val="restart"/>
            <w:tcBorders>
              <w:top w:val="single" w:sz="8" w:space="0" w:color="auto"/>
              <w:left w:val="single" w:sz="8" w:space="0" w:color="auto"/>
              <w:bottom w:val="single" w:sz="4" w:space="0" w:color="auto"/>
              <w:right w:val="single" w:sz="8" w:space="0" w:color="auto"/>
            </w:tcBorders>
            <w:vAlign w:val="center"/>
          </w:tcPr>
          <w:p w14:paraId="0EF2D70E" w14:textId="77777777" w:rsidR="0070585C" w:rsidRPr="005B36C1" w:rsidRDefault="0070585C" w:rsidP="00936F9F">
            <w:pPr>
              <w:jc w:val="center"/>
              <w:rPr>
                <w:b/>
                <w:sz w:val="22"/>
                <w:szCs w:val="22"/>
              </w:rPr>
            </w:pPr>
            <w:r w:rsidRPr="005B36C1">
              <w:rPr>
                <w:b/>
                <w:sz w:val="22"/>
                <w:szCs w:val="22"/>
              </w:rPr>
              <w:t>Výkony 17/18</w:t>
            </w:r>
          </w:p>
          <w:p w14:paraId="1530EFCF" w14:textId="77777777" w:rsidR="0070585C" w:rsidRPr="005B36C1" w:rsidRDefault="0070585C" w:rsidP="00936F9F">
            <w:pPr>
              <w:jc w:val="center"/>
              <w:rPr>
                <w:b/>
                <w:sz w:val="22"/>
                <w:szCs w:val="22"/>
              </w:rPr>
            </w:pPr>
            <w:r w:rsidRPr="005B36C1">
              <w:rPr>
                <w:b/>
                <w:sz w:val="22"/>
                <w:szCs w:val="22"/>
              </w:rPr>
              <w:t>vč. žáků nást.studia</w:t>
            </w:r>
          </w:p>
        </w:tc>
        <w:tc>
          <w:tcPr>
            <w:tcW w:w="1127" w:type="dxa"/>
            <w:vMerge w:val="restart"/>
            <w:tcBorders>
              <w:top w:val="single" w:sz="8" w:space="0" w:color="auto"/>
              <w:left w:val="single" w:sz="8" w:space="0" w:color="auto"/>
              <w:bottom w:val="single" w:sz="4" w:space="0" w:color="auto"/>
              <w:right w:val="single" w:sz="8" w:space="0" w:color="auto"/>
            </w:tcBorders>
            <w:vAlign w:val="center"/>
          </w:tcPr>
          <w:p w14:paraId="116C82C3" w14:textId="77777777" w:rsidR="0070585C" w:rsidRPr="005B36C1" w:rsidRDefault="0070585C" w:rsidP="00936F9F">
            <w:pPr>
              <w:jc w:val="center"/>
              <w:rPr>
                <w:b/>
                <w:sz w:val="22"/>
                <w:szCs w:val="22"/>
              </w:rPr>
            </w:pPr>
            <w:r w:rsidRPr="005B36C1">
              <w:rPr>
                <w:b/>
                <w:sz w:val="22"/>
                <w:szCs w:val="22"/>
              </w:rPr>
              <w:t>Výkony 18/19</w:t>
            </w:r>
          </w:p>
          <w:p w14:paraId="0AE12CEA" w14:textId="77777777" w:rsidR="0070585C" w:rsidRPr="008B42CF" w:rsidRDefault="0070585C" w:rsidP="00936F9F">
            <w:pPr>
              <w:jc w:val="center"/>
              <w:rPr>
                <w:b/>
                <w:sz w:val="22"/>
                <w:szCs w:val="22"/>
                <w:highlight w:val="yellow"/>
              </w:rPr>
            </w:pPr>
            <w:r w:rsidRPr="005B36C1">
              <w:rPr>
                <w:b/>
                <w:sz w:val="22"/>
                <w:szCs w:val="22"/>
              </w:rPr>
              <w:t>vč. žáků nást.studia</w:t>
            </w:r>
          </w:p>
        </w:tc>
        <w:tc>
          <w:tcPr>
            <w:tcW w:w="1595" w:type="dxa"/>
            <w:gridSpan w:val="2"/>
            <w:tcBorders>
              <w:top w:val="single" w:sz="8" w:space="0" w:color="auto"/>
              <w:left w:val="single" w:sz="8" w:space="0" w:color="auto"/>
              <w:bottom w:val="single" w:sz="8" w:space="0" w:color="auto"/>
            </w:tcBorders>
            <w:vAlign w:val="center"/>
          </w:tcPr>
          <w:p w14:paraId="7B84B7B7" w14:textId="77777777" w:rsidR="0070585C" w:rsidRPr="005B36C1" w:rsidRDefault="0070585C" w:rsidP="00936F9F">
            <w:pPr>
              <w:jc w:val="center"/>
              <w:rPr>
                <w:b/>
                <w:sz w:val="22"/>
                <w:szCs w:val="22"/>
              </w:rPr>
            </w:pPr>
            <w:r w:rsidRPr="005B36C1">
              <w:rPr>
                <w:b/>
                <w:sz w:val="22"/>
                <w:szCs w:val="22"/>
              </w:rPr>
              <w:t>Změna za rok</w:t>
            </w:r>
          </w:p>
          <w:p w14:paraId="2D88D5DA" w14:textId="77777777" w:rsidR="0070585C" w:rsidRPr="005B36C1" w:rsidRDefault="0070585C" w:rsidP="00936F9F">
            <w:pPr>
              <w:jc w:val="center"/>
              <w:rPr>
                <w:b/>
                <w:sz w:val="22"/>
                <w:szCs w:val="22"/>
              </w:rPr>
            </w:pPr>
            <w:r w:rsidRPr="005B36C1">
              <w:rPr>
                <w:b/>
                <w:sz w:val="22"/>
                <w:szCs w:val="22"/>
              </w:rPr>
              <w:t>(18/19 ku 17/18)</w:t>
            </w:r>
          </w:p>
        </w:tc>
      </w:tr>
      <w:tr w:rsidR="0070585C" w:rsidRPr="008B42CF" w14:paraId="5F5D52FF" w14:textId="77777777" w:rsidTr="00C96445">
        <w:trPr>
          <w:trHeight w:val="580"/>
        </w:trPr>
        <w:tc>
          <w:tcPr>
            <w:tcW w:w="1504" w:type="dxa"/>
            <w:vMerge/>
            <w:tcBorders>
              <w:top w:val="single" w:sz="4" w:space="0" w:color="auto"/>
              <w:bottom w:val="single" w:sz="8" w:space="0" w:color="auto"/>
              <w:right w:val="single" w:sz="8" w:space="0" w:color="auto"/>
            </w:tcBorders>
            <w:vAlign w:val="center"/>
          </w:tcPr>
          <w:p w14:paraId="6A7C162B" w14:textId="77777777" w:rsidR="0070585C" w:rsidRPr="002F54C6" w:rsidRDefault="0070585C" w:rsidP="00936F9F">
            <w:pPr>
              <w:jc w:val="center"/>
              <w:rPr>
                <w:b/>
                <w:sz w:val="22"/>
                <w:szCs w:val="22"/>
              </w:rPr>
            </w:pPr>
          </w:p>
        </w:tc>
        <w:tc>
          <w:tcPr>
            <w:tcW w:w="1126" w:type="dxa"/>
            <w:vMerge/>
            <w:tcBorders>
              <w:top w:val="single" w:sz="4" w:space="0" w:color="auto"/>
              <w:left w:val="single" w:sz="8" w:space="0" w:color="auto"/>
              <w:bottom w:val="single" w:sz="8" w:space="0" w:color="auto"/>
              <w:right w:val="single" w:sz="8" w:space="0" w:color="auto"/>
            </w:tcBorders>
            <w:vAlign w:val="center"/>
          </w:tcPr>
          <w:p w14:paraId="356B53A7" w14:textId="77777777" w:rsidR="0070585C" w:rsidRPr="005B36C1" w:rsidRDefault="0070585C" w:rsidP="00936F9F">
            <w:pPr>
              <w:jc w:val="center"/>
              <w:rPr>
                <w:b/>
                <w:sz w:val="22"/>
                <w:szCs w:val="22"/>
              </w:rPr>
            </w:pPr>
          </w:p>
        </w:tc>
        <w:tc>
          <w:tcPr>
            <w:tcW w:w="1127" w:type="dxa"/>
            <w:vMerge/>
            <w:tcBorders>
              <w:top w:val="single" w:sz="4" w:space="0" w:color="auto"/>
              <w:left w:val="single" w:sz="8" w:space="0" w:color="auto"/>
              <w:bottom w:val="single" w:sz="8" w:space="0" w:color="auto"/>
              <w:right w:val="single" w:sz="8" w:space="0" w:color="auto"/>
            </w:tcBorders>
            <w:vAlign w:val="center"/>
          </w:tcPr>
          <w:p w14:paraId="7174F3F3" w14:textId="77777777" w:rsidR="0070585C" w:rsidRPr="005B36C1" w:rsidRDefault="0070585C" w:rsidP="00936F9F">
            <w:pPr>
              <w:jc w:val="center"/>
              <w:rPr>
                <w:b/>
                <w:sz w:val="22"/>
                <w:szCs w:val="22"/>
              </w:rPr>
            </w:pPr>
          </w:p>
        </w:tc>
        <w:tc>
          <w:tcPr>
            <w:tcW w:w="1127" w:type="dxa"/>
            <w:vMerge/>
            <w:tcBorders>
              <w:top w:val="single" w:sz="4" w:space="0" w:color="auto"/>
              <w:left w:val="single" w:sz="8" w:space="0" w:color="auto"/>
              <w:bottom w:val="single" w:sz="8" w:space="0" w:color="auto"/>
              <w:right w:val="single" w:sz="8" w:space="0" w:color="auto"/>
            </w:tcBorders>
            <w:vAlign w:val="center"/>
          </w:tcPr>
          <w:p w14:paraId="2EBF99A7" w14:textId="77777777" w:rsidR="0070585C" w:rsidRPr="005B36C1" w:rsidRDefault="0070585C" w:rsidP="00936F9F">
            <w:pPr>
              <w:jc w:val="center"/>
              <w:rPr>
                <w:b/>
                <w:sz w:val="22"/>
                <w:szCs w:val="22"/>
              </w:rPr>
            </w:pPr>
          </w:p>
        </w:tc>
        <w:tc>
          <w:tcPr>
            <w:tcW w:w="1127" w:type="dxa"/>
            <w:vMerge/>
            <w:tcBorders>
              <w:top w:val="single" w:sz="4" w:space="0" w:color="auto"/>
              <w:left w:val="single" w:sz="8" w:space="0" w:color="auto"/>
              <w:bottom w:val="single" w:sz="8" w:space="0" w:color="auto"/>
              <w:right w:val="single" w:sz="8" w:space="0" w:color="auto"/>
            </w:tcBorders>
            <w:vAlign w:val="center"/>
          </w:tcPr>
          <w:p w14:paraId="0776768F" w14:textId="77777777" w:rsidR="0070585C" w:rsidRPr="005B36C1" w:rsidRDefault="0070585C" w:rsidP="00936F9F">
            <w:pPr>
              <w:jc w:val="center"/>
              <w:rPr>
                <w:b/>
                <w:sz w:val="22"/>
                <w:szCs w:val="22"/>
              </w:rPr>
            </w:pPr>
          </w:p>
        </w:tc>
        <w:tc>
          <w:tcPr>
            <w:tcW w:w="1127" w:type="dxa"/>
            <w:vMerge/>
            <w:tcBorders>
              <w:top w:val="single" w:sz="4" w:space="0" w:color="auto"/>
              <w:left w:val="single" w:sz="8" w:space="0" w:color="auto"/>
              <w:bottom w:val="single" w:sz="8" w:space="0" w:color="auto"/>
              <w:right w:val="single" w:sz="8" w:space="0" w:color="auto"/>
            </w:tcBorders>
            <w:vAlign w:val="center"/>
          </w:tcPr>
          <w:p w14:paraId="66AF0C16" w14:textId="77777777" w:rsidR="0070585C" w:rsidRPr="008B42CF" w:rsidRDefault="0070585C" w:rsidP="00936F9F">
            <w:pPr>
              <w:jc w:val="center"/>
              <w:rPr>
                <w:b/>
                <w:sz w:val="22"/>
                <w:szCs w:val="22"/>
                <w:highlight w:val="yellow"/>
              </w:rPr>
            </w:pPr>
          </w:p>
        </w:tc>
        <w:tc>
          <w:tcPr>
            <w:tcW w:w="825" w:type="dxa"/>
            <w:tcBorders>
              <w:top w:val="single" w:sz="8" w:space="0" w:color="auto"/>
              <w:left w:val="single" w:sz="8" w:space="0" w:color="auto"/>
              <w:bottom w:val="single" w:sz="8" w:space="0" w:color="auto"/>
              <w:right w:val="single" w:sz="8" w:space="0" w:color="auto"/>
            </w:tcBorders>
            <w:vAlign w:val="center"/>
          </w:tcPr>
          <w:p w14:paraId="646F9469" w14:textId="77777777" w:rsidR="0070585C" w:rsidRPr="005B36C1" w:rsidRDefault="0070585C" w:rsidP="00936F9F">
            <w:pPr>
              <w:jc w:val="center"/>
              <w:rPr>
                <w:b/>
                <w:sz w:val="22"/>
                <w:szCs w:val="22"/>
              </w:rPr>
            </w:pPr>
            <w:r w:rsidRPr="005B36C1">
              <w:rPr>
                <w:b/>
                <w:sz w:val="22"/>
                <w:szCs w:val="22"/>
              </w:rPr>
              <w:t>absol.</w:t>
            </w:r>
          </w:p>
        </w:tc>
        <w:tc>
          <w:tcPr>
            <w:tcW w:w="770" w:type="dxa"/>
            <w:tcBorders>
              <w:top w:val="single" w:sz="8" w:space="0" w:color="auto"/>
              <w:left w:val="single" w:sz="8" w:space="0" w:color="auto"/>
              <w:bottom w:val="single" w:sz="8" w:space="0" w:color="auto"/>
            </w:tcBorders>
            <w:vAlign w:val="center"/>
          </w:tcPr>
          <w:p w14:paraId="279D79FB" w14:textId="77777777" w:rsidR="0070585C" w:rsidRPr="005B36C1" w:rsidRDefault="0070585C" w:rsidP="00936F9F">
            <w:pPr>
              <w:jc w:val="center"/>
              <w:rPr>
                <w:b/>
                <w:sz w:val="22"/>
                <w:szCs w:val="22"/>
              </w:rPr>
            </w:pPr>
            <w:r w:rsidRPr="005B36C1">
              <w:rPr>
                <w:b/>
                <w:sz w:val="22"/>
                <w:szCs w:val="22"/>
              </w:rPr>
              <w:t>relat.</w:t>
            </w:r>
          </w:p>
        </w:tc>
      </w:tr>
      <w:tr w:rsidR="0070585C" w:rsidRPr="008B42CF" w14:paraId="6CDCDCD1" w14:textId="77777777" w:rsidTr="00C96445">
        <w:trPr>
          <w:trHeight w:val="288"/>
        </w:trPr>
        <w:tc>
          <w:tcPr>
            <w:tcW w:w="1504" w:type="dxa"/>
            <w:tcBorders>
              <w:top w:val="single" w:sz="8" w:space="0" w:color="auto"/>
              <w:right w:val="single" w:sz="8" w:space="0" w:color="auto"/>
            </w:tcBorders>
            <w:vAlign w:val="center"/>
          </w:tcPr>
          <w:p w14:paraId="1A45DF0D" w14:textId="77777777" w:rsidR="0070585C" w:rsidRPr="002F54C6" w:rsidRDefault="0070585C" w:rsidP="00936F9F">
            <w:pPr>
              <w:jc w:val="center"/>
              <w:rPr>
                <w:b/>
                <w:sz w:val="22"/>
                <w:szCs w:val="22"/>
              </w:rPr>
            </w:pPr>
            <w:r w:rsidRPr="002F54C6">
              <w:rPr>
                <w:b/>
                <w:sz w:val="22"/>
                <w:szCs w:val="22"/>
              </w:rPr>
              <w:t>3 - 5 let</w:t>
            </w:r>
          </w:p>
        </w:tc>
        <w:tc>
          <w:tcPr>
            <w:tcW w:w="1126" w:type="dxa"/>
            <w:tcBorders>
              <w:top w:val="single" w:sz="8" w:space="0" w:color="auto"/>
              <w:left w:val="single" w:sz="8" w:space="0" w:color="auto"/>
              <w:right w:val="single" w:sz="8" w:space="0" w:color="auto"/>
            </w:tcBorders>
            <w:vAlign w:val="center"/>
          </w:tcPr>
          <w:p w14:paraId="058AA41B" w14:textId="77777777" w:rsidR="0070585C" w:rsidRPr="005B36C1" w:rsidRDefault="0070585C" w:rsidP="00936F9F">
            <w:pPr>
              <w:jc w:val="right"/>
              <w:rPr>
                <w:sz w:val="22"/>
                <w:szCs w:val="22"/>
              </w:rPr>
            </w:pPr>
            <w:r w:rsidRPr="005B36C1">
              <w:rPr>
                <w:sz w:val="22"/>
                <w:szCs w:val="22"/>
              </w:rPr>
              <w:t>358 579</w:t>
            </w:r>
          </w:p>
        </w:tc>
        <w:tc>
          <w:tcPr>
            <w:tcW w:w="1127" w:type="dxa"/>
            <w:tcBorders>
              <w:top w:val="single" w:sz="8" w:space="0" w:color="auto"/>
              <w:left w:val="single" w:sz="8" w:space="0" w:color="auto"/>
              <w:right w:val="single" w:sz="8" w:space="0" w:color="auto"/>
            </w:tcBorders>
            <w:vAlign w:val="center"/>
          </w:tcPr>
          <w:p w14:paraId="32C663FF" w14:textId="77777777" w:rsidR="0070585C" w:rsidRPr="005B36C1" w:rsidRDefault="0070585C" w:rsidP="00936F9F">
            <w:pPr>
              <w:jc w:val="right"/>
              <w:rPr>
                <w:sz w:val="22"/>
                <w:szCs w:val="22"/>
              </w:rPr>
            </w:pPr>
            <w:r w:rsidRPr="005B36C1">
              <w:rPr>
                <w:sz w:val="22"/>
                <w:szCs w:val="22"/>
              </w:rPr>
              <w:t>356 583</w:t>
            </w:r>
          </w:p>
        </w:tc>
        <w:tc>
          <w:tcPr>
            <w:tcW w:w="1127" w:type="dxa"/>
            <w:tcBorders>
              <w:top w:val="single" w:sz="8" w:space="0" w:color="auto"/>
              <w:left w:val="single" w:sz="8" w:space="0" w:color="auto"/>
              <w:right w:val="single" w:sz="8" w:space="0" w:color="auto"/>
            </w:tcBorders>
            <w:vAlign w:val="center"/>
          </w:tcPr>
          <w:p w14:paraId="7FF6EC59" w14:textId="77777777" w:rsidR="0070585C" w:rsidRPr="005B36C1" w:rsidRDefault="0070585C" w:rsidP="00936F9F">
            <w:pPr>
              <w:jc w:val="right"/>
              <w:rPr>
                <w:sz w:val="22"/>
                <w:szCs w:val="22"/>
              </w:rPr>
            </w:pPr>
            <w:r w:rsidRPr="005B36C1">
              <w:rPr>
                <w:sz w:val="22"/>
                <w:szCs w:val="22"/>
              </w:rPr>
              <w:t>351 228</w:t>
            </w:r>
          </w:p>
        </w:tc>
        <w:tc>
          <w:tcPr>
            <w:tcW w:w="1127" w:type="dxa"/>
            <w:tcBorders>
              <w:top w:val="single" w:sz="8" w:space="0" w:color="auto"/>
              <w:left w:val="single" w:sz="8" w:space="0" w:color="auto"/>
              <w:right w:val="single" w:sz="8" w:space="0" w:color="auto"/>
            </w:tcBorders>
            <w:shd w:val="clear" w:color="auto" w:fill="FFFFFF"/>
            <w:vAlign w:val="center"/>
          </w:tcPr>
          <w:p w14:paraId="3ED613CF" w14:textId="77777777" w:rsidR="0070585C" w:rsidRPr="005B36C1" w:rsidRDefault="0070585C" w:rsidP="00936F9F">
            <w:pPr>
              <w:jc w:val="right"/>
              <w:rPr>
                <w:sz w:val="22"/>
                <w:szCs w:val="22"/>
              </w:rPr>
            </w:pPr>
            <w:r w:rsidRPr="005B36C1">
              <w:rPr>
                <w:sz w:val="22"/>
                <w:szCs w:val="22"/>
              </w:rPr>
              <w:t xml:space="preserve">350 669    </w:t>
            </w:r>
          </w:p>
        </w:tc>
        <w:tc>
          <w:tcPr>
            <w:tcW w:w="1127" w:type="dxa"/>
            <w:tcBorders>
              <w:top w:val="nil"/>
              <w:left w:val="single" w:sz="8" w:space="0" w:color="auto"/>
              <w:bottom w:val="single" w:sz="4" w:space="0" w:color="auto"/>
              <w:right w:val="single" w:sz="8" w:space="0" w:color="auto"/>
            </w:tcBorders>
            <w:shd w:val="clear" w:color="auto" w:fill="auto"/>
            <w:vAlign w:val="center"/>
          </w:tcPr>
          <w:p w14:paraId="35C2C13E" w14:textId="77777777" w:rsidR="0070585C" w:rsidRPr="001A7807" w:rsidRDefault="0070585C" w:rsidP="00936F9F">
            <w:pPr>
              <w:jc w:val="right"/>
              <w:rPr>
                <w:sz w:val="22"/>
                <w:szCs w:val="22"/>
              </w:rPr>
            </w:pPr>
            <w:r w:rsidRPr="001A7807">
              <w:rPr>
                <w:sz w:val="22"/>
                <w:szCs w:val="22"/>
              </w:rPr>
              <w:t>351 155</w:t>
            </w:r>
          </w:p>
        </w:tc>
        <w:tc>
          <w:tcPr>
            <w:tcW w:w="825" w:type="dxa"/>
            <w:tcBorders>
              <w:top w:val="nil"/>
              <w:left w:val="single" w:sz="8" w:space="0" w:color="auto"/>
              <w:bottom w:val="single" w:sz="4" w:space="0" w:color="auto"/>
              <w:right w:val="single" w:sz="8" w:space="0" w:color="auto"/>
            </w:tcBorders>
            <w:shd w:val="clear" w:color="auto" w:fill="auto"/>
            <w:vAlign w:val="center"/>
          </w:tcPr>
          <w:p w14:paraId="0B7C4796" w14:textId="77777777" w:rsidR="0070585C" w:rsidRPr="001A7807" w:rsidRDefault="0070585C" w:rsidP="00936F9F">
            <w:pPr>
              <w:jc w:val="right"/>
              <w:rPr>
                <w:sz w:val="22"/>
                <w:szCs w:val="22"/>
              </w:rPr>
            </w:pPr>
            <w:r w:rsidRPr="001A7807">
              <w:rPr>
                <w:sz w:val="22"/>
                <w:szCs w:val="22"/>
              </w:rPr>
              <w:t>486</w:t>
            </w:r>
          </w:p>
        </w:tc>
        <w:tc>
          <w:tcPr>
            <w:tcW w:w="770" w:type="dxa"/>
            <w:tcBorders>
              <w:top w:val="nil"/>
              <w:left w:val="single" w:sz="8" w:space="0" w:color="auto"/>
              <w:bottom w:val="single" w:sz="4" w:space="0" w:color="auto"/>
              <w:right w:val="single" w:sz="8" w:space="0" w:color="auto"/>
            </w:tcBorders>
            <w:shd w:val="clear" w:color="auto" w:fill="auto"/>
            <w:vAlign w:val="center"/>
          </w:tcPr>
          <w:p w14:paraId="39D2F3B9" w14:textId="77777777" w:rsidR="0070585C" w:rsidRPr="001A7807" w:rsidRDefault="0070585C" w:rsidP="00936F9F">
            <w:pPr>
              <w:jc w:val="right"/>
              <w:rPr>
                <w:sz w:val="22"/>
                <w:szCs w:val="22"/>
              </w:rPr>
            </w:pPr>
            <w:r w:rsidRPr="001A7807">
              <w:rPr>
                <w:sz w:val="22"/>
                <w:szCs w:val="22"/>
              </w:rPr>
              <w:t>100,14</w:t>
            </w:r>
          </w:p>
        </w:tc>
      </w:tr>
      <w:tr w:rsidR="0070585C" w:rsidRPr="008B42CF" w14:paraId="7FD8E733" w14:textId="77777777" w:rsidTr="00C96445">
        <w:trPr>
          <w:trHeight w:val="288"/>
        </w:trPr>
        <w:tc>
          <w:tcPr>
            <w:tcW w:w="1504" w:type="dxa"/>
            <w:tcBorders>
              <w:right w:val="single" w:sz="8" w:space="0" w:color="auto"/>
            </w:tcBorders>
            <w:vAlign w:val="center"/>
          </w:tcPr>
          <w:p w14:paraId="70102B3E" w14:textId="77777777" w:rsidR="0070585C" w:rsidRPr="002F54C6" w:rsidRDefault="0070585C" w:rsidP="00936F9F">
            <w:pPr>
              <w:jc w:val="center"/>
              <w:rPr>
                <w:b/>
                <w:sz w:val="22"/>
                <w:szCs w:val="22"/>
              </w:rPr>
            </w:pPr>
            <w:r w:rsidRPr="002F54C6">
              <w:rPr>
                <w:b/>
                <w:sz w:val="22"/>
                <w:szCs w:val="22"/>
              </w:rPr>
              <w:t>6 - 14 let</w:t>
            </w:r>
          </w:p>
        </w:tc>
        <w:tc>
          <w:tcPr>
            <w:tcW w:w="1126" w:type="dxa"/>
            <w:tcBorders>
              <w:left w:val="single" w:sz="8" w:space="0" w:color="auto"/>
              <w:right w:val="single" w:sz="8" w:space="0" w:color="auto"/>
            </w:tcBorders>
            <w:vAlign w:val="center"/>
          </w:tcPr>
          <w:p w14:paraId="3757EA53" w14:textId="77777777" w:rsidR="0070585C" w:rsidRPr="005B36C1" w:rsidRDefault="0070585C" w:rsidP="00936F9F">
            <w:pPr>
              <w:jc w:val="right"/>
              <w:rPr>
                <w:sz w:val="22"/>
                <w:szCs w:val="22"/>
              </w:rPr>
            </w:pPr>
            <w:r w:rsidRPr="005B36C1">
              <w:rPr>
                <w:sz w:val="22"/>
                <w:szCs w:val="22"/>
              </w:rPr>
              <w:t>880 186</w:t>
            </w:r>
          </w:p>
        </w:tc>
        <w:tc>
          <w:tcPr>
            <w:tcW w:w="1127" w:type="dxa"/>
            <w:tcBorders>
              <w:left w:val="single" w:sz="8" w:space="0" w:color="auto"/>
              <w:right w:val="single" w:sz="8" w:space="0" w:color="auto"/>
            </w:tcBorders>
            <w:vAlign w:val="center"/>
          </w:tcPr>
          <w:p w14:paraId="42C55548" w14:textId="77777777" w:rsidR="0070585C" w:rsidRPr="005B36C1" w:rsidRDefault="0070585C" w:rsidP="00936F9F">
            <w:pPr>
              <w:jc w:val="right"/>
              <w:rPr>
                <w:sz w:val="22"/>
                <w:szCs w:val="22"/>
              </w:rPr>
            </w:pPr>
            <w:r w:rsidRPr="005B36C1">
              <w:rPr>
                <w:sz w:val="22"/>
                <w:szCs w:val="22"/>
              </w:rPr>
              <w:t>905 420</w:t>
            </w:r>
          </w:p>
        </w:tc>
        <w:tc>
          <w:tcPr>
            <w:tcW w:w="1127" w:type="dxa"/>
            <w:tcBorders>
              <w:left w:val="single" w:sz="8" w:space="0" w:color="auto"/>
              <w:right w:val="single" w:sz="8" w:space="0" w:color="auto"/>
            </w:tcBorders>
            <w:vAlign w:val="center"/>
          </w:tcPr>
          <w:p w14:paraId="276590E9" w14:textId="77777777" w:rsidR="0070585C" w:rsidRPr="005B36C1" w:rsidRDefault="0070585C" w:rsidP="00936F9F">
            <w:pPr>
              <w:jc w:val="right"/>
              <w:rPr>
                <w:sz w:val="22"/>
                <w:szCs w:val="22"/>
              </w:rPr>
            </w:pPr>
            <w:r w:rsidRPr="005B36C1">
              <w:rPr>
                <w:sz w:val="22"/>
                <w:szCs w:val="22"/>
              </w:rPr>
              <w:t>929 645</w:t>
            </w:r>
          </w:p>
        </w:tc>
        <w:tc>
          <w:tcPr>
            <w:tcW w:w="1127" w:type="dxa"/>
            <w:tcBorders>
              <w:left w:val="single" w:sz="8" w:space="0" w:color="auto"/>
              <w:right w:val="single" w:sz="8" w:space="0" w:color="auto"/>
            </w:tcBorders>
            <w:shd w:val="clear" w:color="auto" w:fill="FFFFFF"/>
            <w:vAlign w:val="center"/>
          </w:tcPr>
          <w:p w14:paraId="7E7507BE" w14:textId="77777777" w:rsidR="0070585C" w:rsidRPr="005B36C1" w:rsidRDefault="0070585C" w:rsidP="00936F9F">
            <w:pPr>
              <w:jc w:val="right"/>
              <w:rPr>
                <w:sz w:val="22"/>
                <w:szCs w:val="22"/>
              </w:rPr>
            </w:pPr>
            <w:r w:rsidRPr="005B36C1">
              <w:rPr>
                <w:sz w:val="22"/>
                <w:szCs w:val="22"/>
              </w:rPr>
              <w:t xml:space="preserve">946 613    </w:t>
            </w:r>
          </w:p>
        </w:tc>
        <w:tc>
          <w:tcPr>
            <w:tcW w:w="1127" w:type="dxa"/>
            <w:tcBorders>
              <w:top w:val="nil"/>
              <w:left w:val="single" w:sz="8" w:space="0" w:color="auto"/>
              <w:bottom w:val="single" w:sz="4" w:space="0" w:color="auto"/>
              <w:right w:val="single" w:sz="8" w:space="0" w:color="auto"/>
            </w:tcBorders>
            <w:shd w:val="clear" w:color="auto" w:fill="auto"/>
            <w:vAlign w:val="center"/>
          </w:tcPr>
          <w:p w14:paraId="6AB700B4" w14:textId="77777777" w:rsidR="0070585C" w:rsidRPr="001A7807" w:rsidRDefault="0070585C" w:rsidP="00936F9F">
            <w:pPr>
              <w:jc w:val="right"/>
              <w:rPr>
                <w:sz w:val="22"/>
                <w:szCs w:val="22"/>
              </w:rPr>
            </w:pPr>
            <w:r w:rsidRPr="001A7807">
              <w:rPr>
                <w:sz w:val="22"/>
                <w:szCs w:val="22"/>
              </w:rPr>
              <w:t>959 044</w:t>
            </w:r>
          </w:p>
        </w:tc>
        <w:tc>
          <w:tcPr>
            <w:tcW w:w="825" w:type="dxa"/>
            <w:tcBorders>
              <w:top w:val="nil"/>
              <w:left w:val="single" w:sz="8" w:space="0" w:color="auto"/>
              <w:bottom w:val="single" w:sz="4" w:space="0" w:color="auto"/>
              <w:right w:val="single" w:sz="8" w:space="0" w:color="auto"/>
            </w:tcBorders>
            <w:shd w:val="clear" w:color="auto" w:fill="auto"/>
            <w:vAlign w:val="center"/>
          </w:tcPr>
          <w:p w14:paraId="09A2DCD3" w14:textId="77777777" w:rsidR="0070585C" w:rsidRPr="001A7807" w:rsidRDefault="0070585C" w:rsidP="00936F9F">
            <w:pPr>
              <w:jc w:val="right"/>
              <w:rPr>
                <w:sz w:val="22"/>
                <w:szCs w:val="22"/>
              </w:rPr>
            </w:pPr>
            <w:r w:rsidRPr="001A7807">
              <w:rPr>
                <w:sz w:val="22"/>
                <w:szCs w:val="22"/>
              </w:rPr>
              <w:t>12 431</w:t>
            </w:r>
          </w:p>
        </w:tc>
        <w:tc>
          <w:tcPr>
            <w:tcW w:w="770" w:type="dxa"/>
            <w:tcBorders>
              <w:top w:val="nil"/>
              <w:left w:val="single" w:sz="8" w:space="0" w:color="auto"/>
              <w:bottom w:val="single" w:sz="4" w:space="0" w:color="auto"/>
              <w:right w:val="single" w:sz="8" w:space="0" w:color="auto"/>
            </w:tcBorders>
            <w:shd w:val="clear" w:color="auto" w:fill="auto"/>
            <w:vAlign w:val="center"/>
          </w:tcPr>
          <w:p w14:paraId="47FE3F8D" w14:textId="77777777" w:rsidR="0070585C" w:rsidRPr="001A7807" w:rsidRDefault="0070585C" w:rsidP="00936F9F">
            <w:pPr>
              <w:jc w:val="right"/>
              <w:rPr>
                <w:sz w:val="22"/>
                <w:szCs w:val="22"/>
              </w:rPr>
            </w:pPr>
            <w:r w:rsidRPr="001A7807">
              <w:rPr>
                <w:sz w:val="22"/>
                <w:szCs w:val="22"/>
              </w:rPr>
              <w:t>101,31</w:t>
            </w:r>
          </w:p>
        </w:tc>
      </w:tr>
      <w:tr w:rsidR="0070585C" w:rsidRPr="008B42CF" w14:paraId="0A921E62" w14:textId="77777777" w:rsidTr="00C96445">
        <w:trPr>
          <w:trHeight w:val="288"/>
        </w:trPr>
        <w:tc>
          <w:tcPr>
            <w:tcW w:w="1504" w:type="dxa"/>
            <w:tcBorders>
              <w:right w:val="single" w:sz="8" w:space="0" w:color="auto"/>
            </w:tcBorders>
            <w:vAlign w:val="center"/>
          </w:tcPr>
          <w:p w14:paraId="3F2A8DB5" w14:textId="77777777" w:rsidR="0070585C" w:rsidRPr="002F54C6" w:rsidRDefault="0070585C" w:rsidP="00936F9F">
            <w:pPr>
              <w:jc w:val="center"/>
              <w:rPr>
                <w:b/>
                <w:sz w:val="22"/>
                <w:szCs w:val="22"/>
              </w:rPr>
            </w:pPr>
            <w:r w:rsidRPr="002F54C6">
              <w:rPr>
                <w:b/>
                <w:sz w:val="22"/>
                <w:szCs w:val="22"/>
              </w:rPr>
              <w:t>15 - 18 let</w:t>
            </w:r>
          </w:p>
        </w:tc>
        <w:tc>
          <w:tcPr>
            <w:tcW w:w="1126" w:type="dxa"/>
            <w:tcBorders>
              <w:left w:val="single" w:sz="8" w:space="0" w:color="auto"/>
              <w:right w:val="single" w:sz="8" w:space="0" w:color="auto"/>
            </w:tcBorders>
            <w:vAlign w:val="center"/>
          </w:tcPr>
          <w:p w14:paraId="5E8B2E18" w14:textId="77777777" w:rsidR="0070585C" w:rsidRPr="005B36C1" w:rsidRDefault="0070585C" w:rsidP="00936F9F">
            <w:pPr>
              <w:jc w:val="right"/>
              <w:rPr>
                <w:sz w:val="22"/>
                <w:szCs w:val="22"/>
              </w:rPr>
            </w:pPr>
            <w:r w:rsidRPr="005B36C1">
              <w:rPr>
                <w:sz w:val="22"/>
                <w:szCs w:val="22"/>
              </w:rPr>
              <w:t>324 518</w:t>
            </w:r>
          </w:p>
        </w:tc>
        <w:tc>
          <w:tcPr>
            <w:tcW w:w="1127" w:type="dxa"/>
            <w:tcBorders>
              <w:left w:val="single" w:sz="8" w:space="0" w:color="auto"/>
              <w:right w:val="single" w:sz="8" w:space="0" w:color="auto"/>
            </w:tcBorders>
            <w:vAlign w:val="center"/>
          </w:tcPr>
          <w:p w14:paraId="1C744AA7" w14:textId="77777777" w:rsidR="0070585C" w:rsidRPr="005B36C1" w:rsidRDefault="0070585C" w:rsidP="00936F9F">
            <w:pPr>
              <w:jc w:val="right"/>
              <w:rPr>
                <w:sz w:val="22"/>
                <w:szCs w:val="22"/>
              </w:rPr>
            </w:pPr>
            <w:r w:rsidRPr="005B36C1">
              <w:rPr>
                <w:sz w:val="22"/>
                <w:szCs w:val="22"/>
              </w:rPr>
              <w:t>317 128</w:t>
            </w:r>
          </w:p>
        </w:tc>
        <w:tc>
          <w:tcPr>
            <w:tcW w:w="1127" w:type="dxa"/>
            <w:tcBorders>
              <w:left w:val="single" w:sz="8" w:space="0" w:color="auto"/>
              <w:right w:val="single" w:sz="8" w:space="0" w:color="auto"/>
            </w:tcBorders>
            <w:vAlign w:val="center"/>
          </w:tcPr>
          <w:p w14:paraId="3460ACC7" w14:textId="77777777" w:rsidR="0070585C" w:rsidRPr="005B36C1" w:rsidRDefault="0070585C" w:rsidP="00936F9F">
            <w:pPr>
              <w:jc w:val="right"/>
              <w:rPr>
                <w:sz w:val="22"/>
                <w:szCs w:val="22"/>
              </w:rPr>
            </w:pPr>
            <w:r w:rsidRPr="005B36C1">
              <w:rPr>
                <w:sz w:val="22"/>
                <w:szCs w:val="22"/>
              </w:rPr>
              <w:t>313 876</w:t>
            </w:r>
          </w:p>
        </w:tc>
        <w:tc>
          <w:tcPr>
            <w:tcW w:w="1127" w:type="dxa"/>
            <w:tcBorders>
              <w:left w:val="single" w:sz="8" w:space="0" w:color="auto"/>
              <w:right w:val="single" w:sz="8" w:space="0" w:color="auto"/>
            </w:tcBorders>
            <w:shd w:val="clear" w:color="auto" w:fill="FFFFFF"/>
            <w:vAlign w:val="center"/>
          </w:tcPr>
          <w:p w14:paraId="7BD12C66" w14:textId="77777777" w:rsidR="0070585C" w:rsidRPr="005B36C1" w:rsidRDefault="0070585C" w:rsidP="00936F9F">
            <w:pPr>
              <w:jc w:val="right"/>
              <w:rPr>
                <w:sz w:val="22"/>
                <w:szCs w:val="22"/>
              </w:rPr>
            </w:pPr>
            <w:r w:rsidRPr="005B36C1">
              <w:rPr>
                <w:sz w:val="22"/>
                <w:szCs w:val="22"/>
              </w:rPr>
              <w:t xml:space="preserve">311 253    </w:t>
            </w:r>
          </w:p>
        </w:tc>
        <w:tc>
          <w:tcPr>
            <w:tcW w:w="1127" w:type="dxa"/>
            <w:tcBorders>
              <w:top w:val="nil"/>
              <w:left w:val="single" w:sz="8" w:space="0" w:color="auto"/>
              <w:bottom w:val="single" w:sz="4" w:space="0" w:color="auto"/>
              <w:right w:val="single" w:sz="8" w:space="0" w:color="auto"/>
            </w:tcBorders>
            <w:shd w:val="clear" w:color="auto" w:fill="auto"/>
            <w:vAlign w:val="center"/>
          </w:tcPr>
          <w:p w14:paraId="22A14AA7" w14:textId="77777777" w:rsidR="0070585C" w:rsidRPr="001A7807" w:rsidRDefault="0070585C" w:rsidP="00936F9F">
            <w:pPr>
              <w:jc w:val="right"/>
              <w:rPr>
                <w:sz w:val="22"/>
                <w:szCs w:val="22"/>
              </w:rPr>
            </w:pPr>
            <w:r w:rsidRPr="001A7807">
              <w:rPr>
                <w:sz w:val="22"/>
                <w:szCs w:val="22"/>
              </w:rPr>
              <w:t>311 562</w:t>
            </w:r>
          </w:p>
        </w:tc>
        <w:tc>
          <w:tcPr>
            <w:tcW w:w="825" w:type="dxa"/>
            <w:tcBorders>
              <w:top w:val="nil"/>
              <w:left w:val="single" w:sz="8" w:space="0" w:color="auto"/>
              <w:bottom w:val="single" w:sz="4" w:space="0" w:color="auto"/>
              <w:right w:val="single" w:sz="8" w:space="0" w:color="auto"/>
            </w:tcBorders>
            <w:shd w:val="clear" w:color="auto" w:fill="auto"/>
            <w:vAlign w:val="center"/>
          </w:tcPr>
          <w:p w14:paraId="20B9BD6A" w14:textId="77777777" w:rsidR="0070585C" w:rsidRPr="001A7807" w:rsidRDefault="0070585C" w:rsidP="00936F9F">
            <w:pPr>
              <w:jc w:val="right"/>
              <w:rPr>
                <w:sz w:val="22"/>
                <w:szCs w:val="22"/>
              </w:rPr>
            </w:pPr>
            <w:r w:rsidRPr="001A7807">
              <w:rPr>
                <w:sz w:val="22"/>
                <w:szCs w:val="22"/>
              </w:rPr>
              <w:t>309</w:t>
            </w:r>
          </w:p>
        </w:tc>
        <w:tc>
          <w:tcPr>
            <w:tcW w:w="770" w:type="dxa"/>
            <w:tcBorders>
              <w:top w:val="nil"/>
              <w:left w:val="single" w:sz="8" w:space="0" w:color="auto"/>
              <w:bottom w:val="single" w:sz="4" w:space="0" w:color="auto"/>
              <w:right w:val="single" w:sz="8" w:space="0" w:color="auto"/>
            </w:tcBorders>
            <w:shd w:val="clear" w:color="auto" w:fill="auto"/>
            <w:vAlign w:val="center"/>
          </w:tcPr>
          <w:p w14:paraId="10A44FB2" w14:textId="77777777" w:rsidR="0070585C" w:rsidRPr="001A7807" w:rsidRDefault="0070585C" w:rsidP="00936F9F">
            <w:pPr>
              <w:jc w:val="right"/>
              <w:rPr>
                <w:sz w:val="22"/>
                <w:szCs w:val="22"/>
              </w:rPr>
            </w:pPr>
            <w:r w:rsidRPr="001A7807">
              <w:rPr>
                <w:sz w:val="22"/>
                <w:szCs w:val="22"/>
              </w:rPr>
              <w:t>100,10</w:t>
            </w:r>
          </w:p>
        </w:tc>
      </w:tr>
      <w:tr w:rsidR="0070585C" w:rsidRPr="008B42CF" w14:paraId="356B4675" w14:textId="77777777" w:rsidTr="00C96445">
        <w:trPr>
          <w:trHeight w:val="288"/>
        </w:trPr>
        <w:tc>
          <w:tcPr>
            <w:tcW w:w="1504" w:type="dxa"/>
            <w:tcBorders>
              <w:right w:val="single" w:sz="8" w:space="0" w:color="auto"/>
            </w:tcBorders>
            <w:vAlign w:val="center"/>
          </w:tcPr>
          <w:p w14:paraId="22A44A5A" w14:textId="77777777" w:rsidR="0070585C" w:rsidRPr="002F54C6" w:rsidRDefault="0070585C" w:rsidP="00936F9F">
            <w:pPr>
              <w:jc w:val="center"/>
              <w:rPr>
                <w:b/>
                <w:sz w:val="22"/>
                <w:szCs w:val="22"/>
              </w:rPr>
            </w:pPr>
            <w:r w:rsidRPr="002F54C6">
              <w:rPr>
                <w:b/>
                <w:sz w:val="22"/>
                <w:szCs w:val="22"/>
              </w:rPr>
              <w:t>19 - 21 let</w:t>
            </w:r>
          </w:p>
        </w:tc>
        <w:tc>
          <w:tcPr>
            <w:tcW w:w="1126" w:type="dxa"/>
            <w:tcBorders>
              <w:left w:val="single" w:sz="8" w:space="0" w:color="auto"/>
              <w:right w:val="single" w:sz="8" w:space="0" w:color="auto"/>
            </w:tcBorders>
            <w:vAlign w:val="center"/>
          </w:tcPr>
          <w:p w14:paraId="13C533BE" w14:textId="77777777" w:rsidR="0070585C" w:rsidRPr="005B36C1" w:rsidRDefault="0070585C" w:rsidP="00936F9F">
            <w:pPr>
              <w:jc w:val="right"/>
              <w:rPr>
                <w:sz w:val="22"/>
                <w:szCs w:val="22"/>
              </w:rPr>
            </w:pPr>
            <w:r w:rsidRPr="005B36C1">
              <w:rPr>
                <w:sz w:val="22"/>
                <w:szCs w:val="22"/>
              </w:rPr>
              <w:t>14 175</w:t>
            </w:r>
          </w:p>
        </w:tc>
        <w:tc>
          <w:tcPr>
            <w:tcW w:w="1127" w:type="dxa"/>
            <w:tcBorders>
              <w:left w:val="single" w:sz="8" w:space="0" w:color="auto"/>
              <w:right w:val="single" w:sz="8" w:space="0" w:color="auto"/>
            </w:tcBorders>
            <w:vAlign w:val="center"/>
          </w:tcPr>
          <w:p w14:paraId="0F5EB9B9" w14:textId="77777777" w:rsidR="0070585C" w:rsidRPr="005B36C1" w:rsidRDefault="0070585C" w:rsidP="00936F9F">
            <w:pPr>
              <w:jc w:val="right"/>
              <w:rPr>
                <w:sz w:val="22"/>
                <w:szCs w:val="22"/>
              </w:rPr>
            </w:pPr>
            <w:r w:rsidRPr="005B36C1">
              <w:rPr>
                <w:sz w:val="22"/>
                <w:szCs w:val="22"/>
              </w:rPr>
              <w:t>12 663</w:t>
            </w:r>
          </w:p>
        </w:tc>
        <w:tc>
          <w:tcPr>
            <w:tcW w:w="1127" w:type="dxa"/>
            <w:tcBorders>
              <w:left w:val="single" w:sz="8" w:space="0" w:color="auto"/>
              <w:right w:val="single" w:sz="8" w:space="0" w:color="auto"/>
            </w:tcBorders>
            <w:vAlign w:val="center"/>
          </w:tcPr>
          <w:p w14:paraId="40079C70" w14:textId="77777777" w:rsidR="0070585C" w:rsidRPr="005B36C1" w:rsidRDefault="0070585C" w:rsidP="00936F9F">
            <w:pPr>
              <w:jc w:val="right"/>
              <w:rPr>
                <w:sz w:val="22"/>
                <w:szCs w:val="22"/>
              </w:rPr>
            </w:pPr>
            <w:r w:rsidRPr="005B36C1">
              <w:rPr>
                <w:sz w:val="22"/>
                <w:szCs w:val="22"/>
              </w:rPr>
              <w:t>10 915</w:t>
            </w:r>
          </w:p>
        </w:tc>
        <w:tc>
          <w:tcPr>
            <w:tcW w:w="1127" w:type="dxa"/>
            <w:tcBorders>
              <w:left w:val="single" w:sz="8" w:space="0" w:color="auto"/>
              <w:right w:val="single" w:sz="8" w:space="0" w:color="auto"/>
            </w:tcBorders>
            <w:shd w:val="clear" w:color="auto" w:fill="FFFFFF"/>
            <w:vAlign w:val="center"/>
          </w:tcPr>
          <w:p w14:paraId="7F09514C" w14:textId="77777777" w:rsidR="0070585C" w:rsidRPr="005B36C1" w:rsidRDefault="0070585C" w:rsidP="00936F9F">
            <w:pPr>
              <w:jc w:val="right"/>
              <w:rPr>
                <w:sz w:val="22"/>
                <w:szCs w:val="22"/>
              </w:rPr>
            </w:pPr>
            <w:r w:rsidRPr="005B36C1">
              <w:rPr>
                <w:sz w:val="22"/>
                <w:szCs w:val="22"/>
              </w:rPr>
              <w:t xml:space="preserve">9 422    </w:t>
            </w:r>
          </w:p>
        </w:tc>
        <w:tc>
          <w:tcPr>
            <w:tcW w:w="1127" w:type="dxa"/>
            <w:tcBorders>
              <w:top w:val="nil"/>
              <w:left w:val="single" w:sz="8" w:space="0" w:color="auto"/>
              <w:bottom w:val="single" w:sz="4" w:space="0" w:color="auto"/>
              <w:right w:val="single" w:sz="8" w:space="0" w:color="auto"/>
            </w:tcBorders>
            <w:shd w:val="clear" w:color="auto" w:fill="auto"/>
            <w:vAlign w:val="center"/>
          </w:tcPr>
          <w:p w14:paraId="2380BDEF" w14:textId="77777777" w:rsidR="0070585C" w:rsidRPr="001A7807" w:rsidRDefault="0070585C" w:rsidP="00936F9F">
            <w:pPr>
              <w:jc w:val="right"/>
              <w:rPr>
                <w:sz w:val="22"/>
                <w:szCs w:val="22"/>
              </w:rPr>
            </w:pPr>
            <w:r w:rsidRPr="001A7807">
              <w:rPr>
                <w:sz w:val="22"/>
                <w:szCs w:val="22"/>
              </w:rPr>
              <w:t>8 047</w:t>
            </w:r>
          </w:p>
        </w:tc>
        <w:tc>
          <w:tcPr>
            <w:tcW w:w="825" w:type="dxa"/>
            <w:tcBorders>
              <w:top w:val="nil"/>
              <w:left w:val="single" w:sz="8" w:space="0" w:color="auto"/>
              <w:bottom w:val="single" w:sz="4" w:space="0" w:color="auto"/>
              <w:right w:val="single" w:sz="8" w:space="0" w:color="auto"/>
            </w:tcBorders>
            <w:shd w:val="clear" w:color="auto" w:fill="auto"/>
            <w:vAlign w:val="center"/>
          </w:tcPr>
          <w:p w14:paraId="1D032DE7" w14:textId="77777777" w:rsidR="0070585C" w:rsidRPr="001A7807" w:rsidRDefault="0070585C" w:rsidP="00936F9F">
            <w:pPr>
              <w:jc w:val="right"/>
              <w:rPr>
                <w:sz w:val="22"/>
                <w:szCs w:val="22"/>
              </w:rPr>
            </w:pPr>
            <w:r w:rsidRPr="001A7807">
              <w:rPr>
                <w:sz w:val="22"/>
                <w:szCs w:val="22"/>
              </w:rPr>
              <w:t>-1 375</w:t>
            </w:r>
          </w:p>
        </w:tc>
        <w:tc>
          <w:tcPr>
            <w:tcW w:w="770" w:type="dxa"/>
            <w:tcBorders>
              <w:top w:val="nil"/>
              <w:left w:val="single" w:sz="8" w:space="0" w:color="auto"/>
              <w:bottom w:val="single" w:sz="4" w:space="0" w:color="auto"/>
              <w:right w:val="single" w:sz="8" w:space="0" w:color="auto"/>
            </w:tcBorders>
            <w:shd w:val="clear" w:color="auto" w:fill="auto"/>
            <w:vAlign w:val="center"/>
          </w:tcPr>
          <w:p w14:paraId="1E04B39D" w14:textId="77777777" w:rsidR="0070585C" w:rsidRPr="001A7807" w:rsidRDefault="0070585C" w:rsidP="00936F9F">
            <w:pPr>
              <w:jc w:val="right"/>
              <w:rPr>
                <w:sz w:val="22"/>
                <w:szCs w:val="22"/>
              </w:rPr>
            </w:pPr>
            <w:r w:rsidRPr="001A7807">
              <w:rPr>
                <w:sz w:val="22"/>
                <w:szCs w:val="22"/>
              </w:rPr>
              <w:t>85,41</w:t>
            </w:r>
          </w:p>
        </w:tc>
      </w:tr>
      <w:tr w:rsidR="0070585C" w:rsidRPr="008B42CF" w14:paraId="4A039152" w14:textId="77777777" w:rsidTr="00C96445">
        <w:trPr>
          <w:trHeight w:val="288"/>
        </w:trPr>
        <w:tc>
          <w:tcPr>
            <w:tcW w:w="1504" w:type="dxa"/>
            <w:tcBorders>
              <w:bottom w:val="single" w:sz="8" w:space="0" w:color="auto"/>
              <w:right w:val="single" w:sz="8" w:space="0" w:color="auto"/>
            </w:tcBorders>
            <w:vAlign w:val="center"/>
          </w:tcPr>
          <w:p w14:paraId="6F7AC7B9" w14:textId="77777777" w:rsidR="0070585C" w:rsidRPr="002F54C6" w:rsidRDefault="0070585C" w:rsidP="00936F9F">
            <w:pPr>
              <w:jc w:val="center"/>
              <w:rPr>
                <w:b/>
                <w:sz w:val="22"/>
                <w:szCs w:val="22"/>
              </w:rPr>
            </w:pPr>
            <w:r w:rsidRPr="002F54C6">
              <w:rPr>
                <w:b/>
                <w:sz w:val="22"/>
                <w:szCs w:val="22"/>
              </w:rPr>
              <w:t>3 - 18 v KZÚV</w:t>
            </w:r>
          </w:p>
        </w:tc>
        <w:tc>
          <w:tcPr>
            <w:tcW w:w="1126" w:type="dxa"/>
            <w:tcBorders>
              <w:left w:val="single" w:sz="8" w:space="0" w:color="auto"/>
              <w:bottom w:val="single" w:sz="8" w:space="0" w:color="auto"/>
              <w:right w:val="single" w:sz="8" w:space="0" w:color="auto"/>
            </w:tcBorders>
            <w:vAlign w:val="center"/>
          </w:tcPr>
          <w:p w14:paraId="544D0083" w14:textId="77777777" w:rsidR="0070585C" w:rsidRPr="005B36C1" w:rsidRDefault="0070585C" w:rsidP="00936F9F">
            <w:pPr>
              <w:jc w:val="right"/>
              <w:rPr>
                <w:sz w:val="22"/>
                <w:szCs w:val="22"/>
              </w:rPr>
            </w:pPr>
            <w:r w:rsidRPr="005B36C1">
              <w:rPr>
                <w:sz w:val="22"/>
                <w:szCs w:val="22"/>
              </w:rPr>
              <w:t>4 794</w:t>
            </w:r>
          </w:p>
        </w:tc>
        <w:tc>
          <w:tcPr>
            <w:tcW w:w="1127" w:type="dxa"/>
            <w:tcBorders>
              <w:left w:val="single" w:sz="8" w:space="0" w:color="auto"/>
              <w:bottom w:val="single" w:sz="8" w:space="0" w:color="auto"/>
              <w:right w:val="single" w:sz="8" w:space="0" w:color="auto"/>
            </w:tcBorders>
            <w:vAlign w:val="center"/>
          </w:tcPr>
          <w:p w14:paraId="2919889E" w14:textId="77777777" w:rsidR="0070585C" w:rsidRPr="005B36C1" w:rsidRDefault="0070585C" w:rsidP="00936F9F">
            <w:pPr>
              <w:jc w:val="right"/>
              <w:rPr>
                <w:sz w:val="22"/>
                <w:szCs w:val="22"/>
              </w:rPr>
            </w:pPr>
            <w:r w:rsidRPr="005B36C1">
              <w:rPr>
                <w:sz w:val="22"/>
                <w:szCs w:val="22"/>
              </w:rPr>
              <w:t>4 776</w:t>
            </w:r>
          </w:p>
        </w:tc>
        <w:tc>
          <w:tcPr>
            <w:tcW w:w="1127" w:type="dxa"/>
            <w:tcBorders>
              <w:left w:val="single" w:sz="8" w:space="0" w:color="auto"/>
              <w:bottom w:val="single" w:sz="8" w:space="0" w:color="auto"/>
              <w:right w:val="single" w:sz="8" w:space="0" w:color="auto"/>
            </w:tcBorders>
            <w:vAlign w:val="center"/>
          </w:tcPr>
          <w:p w14:paraId="539AE5DF" w14:textId="77777777" w:rsidR="0070585C" w:rsidRPr="005B36C1" w:rsidRDefault="0070585C" w:rsidP="00936F9F">
            <w:pPr>
              <w:jc w:val="right"/>
              <w:rPr>
                <w:sz w:val="22"/>
                <w:szCs w:val="22"/>
              </w:rPr>
            </w:pPr>
            <w:r w:rsidRPr="005B36C1">
              <w:rPr>
                <w:sz w:val="22"/>
                <w:szCs w:val="22"/>
              </w:rPr>
              <w:t>4 786</w:t>
            </w:r>
          </w:p>
        </w:tc>
        <w:tc>
          <w:tcPr>
            <w:tcW w:w="1127" w:type="dxa"/>
            <w:tcBorders>
              <w:left w:val="single" w:sz="8" w:space="0" w:color="auto"/>
              <w:bottom w:val="single" w:sz="8" w:space="0" w:color="auto"/>
              <w:right w:val="single" w:sz="8" w:space="0" w:color="auto"/>
            </w:tcBorders>
            <w:shd w:val="clear" w:color="auto" w:fill="FFFFFF"/>
            <w:vAlign w:val="center"/>
          </w:tcPr>
          <w:p w14:paraId="787178FF" w14:textId="77777777" w:rsidR="0070585C" w:rsidRPr="005B36C1" w:rsidRDefault="0070585C" w:rsidP="00936F9F">
            <w:pPr>
              <w:jc w:val="right"/>
              <w:rPr>
                <w:sz w:val="22"/>
                <w:szCs w:val="22"/>
              </w:rPr>
            </w:pPr>
            <w:r w:rsidRPr="005B36C1">
              <w:rPr>
                <w:sz w:val="22"/>
                <w:szCs w:val="22"/>
              </w:rPr>
              <w:t xml:space="preserve">4 768    </w:t>
            </w:r>
          </w:p>
        </w:tc>
        <w:tc>
          <w:tcPr>
            <w:tcW w:w="1127" w:type="dxa"/>
            <w:tcBorders>
              <w:top w:val="nil"/>
              <w:left w:val="single" w:sz="8" w:space="0" w:color="auto"/>
              <w:bottom w:val="nil"/>
              <w:right w:val="single" w:sz="8" w:space="0" w:color="auto"/>
            </w:tcBorders>
            <w:shd w:val="clear" w:color="auto" w:fill="auto"/>
            <w:vAlign w:val="center"/>
          </w:tcPr>
          <w:p w14:paraId="343BB870" w14:textId="77777777" w:rsidR="0070585C" w:rsidRPr="001A7807" w:rsidRDefault="0070585C" w:rsidP="00936F9F">
            <w:pPr>
              <w:jc w:val="right"/>
              <w:rPr>
                <w:sz w:val="22"/>
                <w:szCs w:val="22"/>
              </w:rPr>
            </w:pPr>
            <w:r w:rsidRPr="001A7807">
              <w:rPr>
                <w:sz w:val="22"/>
                <w:szCs w:val="22"/>
              </w:rPr>
              <w:t>4 774</w:t>
            </w:r>
          </w:p>
        </w:tc>
        <w:tc>
          <w:tcPr>
            <w:tcW w:w="825" w:type="dxa"/>
            <w:tcBorders>
              <w:top w:val="nil"/>
              <w:left w:val="single" w:sz="8" w:space="0" w:color="auto"/>
              <w:bottom w:val="nil"/>
              <w:right w:val="single" w:sz="8" w:space="0" w:color="auto"/>
            </w:tcBorders>
            <w:shd w:val="clear" w:color="auto" w:fill="auto"/>
            <w:vAlign w:val="center"/>
          </w:tcPr>
          <w:p w14:paraId="721F6671" w14:textId="77777777" w:rsidR="0070585C" w:rsidRPr="001A7807" w:rsidRDefault="0070585C" w:rsidP="00936F9F">
            <w:pPr>
              <w:jc w:val="right"/>
              <w:rPr>
                <w:sz w:val="22"/>
                <w:szCs w:val="22"/>
              </w:rPr>
            </w:pPr>
            <w:r w:rsidRPr="001A7807">
              <w:rPr>
                <w:sz w:val="22"/>
                <w:szCs w:val="22"/>
              </w:rPr>
              <w:t>6</w:t>
            </w:r>
          </w:p>
        </w:tc>
        <w:tc>
          <w:tcPr>
            <w:tcW w:w="770" w:type="dxa"/>
            <w:tcBorders>
              <w:top w:val="nil"/>
              <w:left w:val="single" w:sz="8" w:space="0" w:color="auto"/>
              <w:bottom w:val="nil"/>
              <w:right w:val="single" w:sz="8" w:space="0" w:color="auto"/>
            </w:tcBorders>
            <w:shd w:val="clear" w:color="auto" w:fill="auto"/>
            <w:vAlign w:val="center"/>
          </w:tcPr>
          <w:p w14:paraId="39AA0160" w14:textId="77777777" w:rsidR="0070585C" w:rsidRPr="001A7807" w:rsidRDefault="0070585C" w:rsidP="00936F9F">
            <w:pPr>
              <w:jc w:val="right"/>
              <w:rPr>
                <w:sz w:val="22"/>
                <w:szCs w:val="22"/>
              </w:rPr>
            </w:pPr>
            <w:r w:rsidRPr="001A7807">
              <w:rPr>
                <w:sz w:val="22"/>
                <w:szCs w:val="22"/>
              </w:rPr>
              <w:t>100,13</w:t>
            </w:r>
          </w:p>
        </w:tc>
      </w:tr>
      <w:tr w:rsidR="0070585C" w:rsidRPr="008B42CF" w14:paraId="6EB96D27" w14:textId="77777777" w:rsidTr="00C96445">
        <w:trPr>
          <w:trHeight w:val="401"/>
        </w:trPr>
        <w:tc>
          <w:tcPr>
            <w:tcW w:w="1504" w:type="dxa"/>
            <w:tcBorders>
              <w:top w:val="single" w:sz="8" w:space="0" w:color="auto"/>
              <w:bottom w:val="single" w:sz="8" w:space="0" w:color="auto"/>
              <w:right w:val="single" w:sz="8" w:space="0" w:color="auto"/>
            </w:tcBorders>
            <w:vAlign w:val="center"/>
          </w:tcPr>
          <w:p w14:paraId="05EAE1A4" w14:textId="77777777" w:rsidR="0070585C" w:rsidRPr="002F54C6" w:rsidRDefault="0070585C" w:rsidP="00936F9F">
            <w:pPr>
              <w:jc w:val="center"/>
              <w:rPr>
                <w:b/>
                <w:sz w:val="22"/>
                <w:szCs w:val="22"/>
              </w:rPr>
            </w:pPr>
            <w:r w:rsidRPr="002F54C6">
              <w:rPr>
                <w:b/>
                <w:sz w:val="22"/>
                <w:szCs w:val="22"/>
              </w:rPr>
              <w:t>RgŠ celkem</w:t>
            </w:r>
          </w:p>
        </w:tc>
        <w:tc>
          <w:tcPr>
            <w:tcW w:w="1126" w:type="dxa"/>
            <w:tcBorders>
              <w:top w:val="single" w:sz="8" w:space="0" w:color="auto"/>
              <w:left w:val="single" w:sz="8" w:space="0" w:color="auto"/>
              <w:bottom w:val="single" w:sz="8" w:space="0" w:color="auto"/>
              <w:right w:val="single" w:sz="8" w:space="0" w:color="auto"/>
            </w:tcBorders>
            <w:vAlign w:val="center"/>
          </w:tcPr>
          <w:p w14:paraId="1EDF04CE" w14:textId="77777777" w:rsidR="0070585C" w:rsidRPr="005B36C1" w:rsidRDefault="0070585C" w:rsidP="00936F9F">
            <w:pPr>
              <w:jc w:val="right"/>
              <w:rPr>
                <w:b/>
                <w:sz w:val="22"/>
                <w:szCs w:val="22"/>
              </w:rPr>
            </w:pPr>
            <w:r w:rsidRPr="005B36C1">
              <w:rPr>
                <w:b/>
                <w:sz w:val="22"/>
                <w:szCs w:val="22"/>
              </w:rPr>
              <w:t>1 582 251</w:t>
            </w:r>
          </w:p>
        </w:tc>
        <w:tc>
          <w:tcPr>
            <w:tcW w:w="1127" w:type="dxa"/>
            <w:tcBorders>
              <w:top w:val="single" w:sz="8" w:space="0" w:color="auto"/>
              <w:left w:val="single" w:sz="8" w:space="0" w:color="auto"/>
              <w:bottom w:val="single" w:sz="8" w:space="0" w:color="auto"/>
              <w:right w:val="single" w:sz="8" w:space="0" w:color="auto"/>
            </w:tcBorders>
            <w:vAlign w:val="center"/>
          </w:tcPr>
          <w:p w14:paraId="6CC81D76" w14:textId="77777777" w:rsidR="0070585C" w:rsidRPr="005B36C1" w:rsidRDefault="0070585C" w:rsidP="00936F9F">
            <w:pPr>
              <w:jc w:val="right"/>
              <w:rPr>
                <w:b/>
                <w:sz w:val="22"/>
                <w:szCs w:val="22"/>
              </w:rPr>
            </w:pPr>
            <w:r w:rsidRPr="005B36C1">
              <w:rPr>
                <w:b/>
                <w:sz w:val="22"/>
                <w:szCs w:val="22"/>
              </w:rPr>
              <w:t>1 596 570</w:t>
            </w:r>
          </w:p>
        </w:tc>
        <w:tc>
          <w:tcPr>
            <w:tcW w:w="1127" w:type="dxa"/>
            <w:tcBorders>
              <w:top w:val="single" w:sz="8" w:space="0" w:color="auto"/>
              <w:left w:val="single" w:sz="8" w:space="0" w:color="auto"/>
              <w:bottom w:val="single" w:sz="8" w:space="0" w:color="auto"/>
              <w:right w:val="single" w:sz="8" w:space="0" w:color="auto"/>
            </w:tcBorders>
            <w:vAlign w:val="center"/>
          </w:tcPr>
          <w:p w14:paraId="541F34C6" w14:textId="77777777" w:rsidR="0070585C" w:rsidRPr="005B36C1" w:rsidRDefault="0070585C" w:rsidP="00936F9F">
            <w:pPr>
              <w:jc w:val="right"/>
              <w:rPr>
                <w:b/>
                <w:sz w:val="22"/>
                <w:szCs w:val="22"/>
              </w:rPr>
            </w:pPr>
            <w:r w:rsidRPr="005B36C1">
              <w:rPr>
                <w:b/>
                <w:sz w:val="22"/>
                <w:szCs w:val="22"/>
              </w:rPr>
              <w:t>1 610 450</w:t>
            </w:r>
          </w:p>
        </w:tc>
        <w:tc>
          <w:tcPr>
            <w:tcW w:w="1127" w:type="dxa"/>
            <w:tcBorders>
              <w:top w:val="single" w:sz="8" w:space="0" w:color="auto"/>
              <w:left w:val="single" w:sz="8" w:space="0" w:color="auto"/>
              <w:bottom w:val="single" w:sz="8" w:space="0" w:color="auto"/>
              <w:right w:val="single" w:sz="8" w:space="0" w:color="auto"/>
            </w:tcBorders>
            <w:shd w:val="clear" w:color="auto" w:fill="FFFFFF"/>
            <w:vAlign w:val="center"/>
          </w:tcPr>
          <w:p w14:paraId="4C3861FA" w14:textId="77777777" w:rsidR="0070585C" w:rsidRPr="005B36C1" w:rsidRDefault="0070585C" w:rsidP="00936F9F">
            <w:pPr>
              <w:jc w:val="right"/>
              <w:rPr>
                <w:b/>
                <w:sz w:val="22"/>
                <w:szCs w:val="22"/>
              </w:rPr>
            </w:pPr>
            <w:r w:rsidRPr="005B36C1">
              <w:rPr>
                <w:b/>
                <w:sz w:val="22"/>
                <w:szCs w:val="22"/>
              </w:rPr>
              <w:t>1 622 725</w:t>
            </w:r>
          </w:p>
        </w:tc>
        <w:tc>
          <w:tcPr>
            <w:tcW w:w="1127" w:type="dxa"/>
            <w:tcBorders>
              <w:top w:val="single" w:sz="8" w:space="0" w:color="auto"/>
              <w:left w:val="single" w:sz="8" w:space="0" w:color="auto"/>
              <w:bottom w:val="single" w:sz="8" w:space="0" w:color="auto"/>
              <w:right w:val="single" w:sz="8" w:space="0" w:color="auto"/>
            </w:tcBorders>
            <w:shd w:val="clear" w:color="auto" w:fill="auto"/>
            <w:vAlign w:val="center"/>
          </w:tcPr>
          <w:p w14:paraId="2A1389B1" w14:textId="77777777" w:rsidR="0070585C" w:rsidRPr="001A7807" w:rsidRDefault="0070585C" w:rsidP="00936F9F">
            <w:pPr>
              <w:jc w:val="right"/>
              <w:rPr>
                <w:b/>
                <w:bCs/>
                <w:sz w:val="22"/>
                <w:szCs w:val="22"/>
              </w:rPr>
            </w:pPr>
            <w:r w:rsidRPr="001A7807">
              <w:rPr>
                <w:b/>
                <w:bCs/>
                <w:sz w:val="22"/>
                <w:szCs w:val="22"/>
              </w:rPr>
              <w:t>1 634 582</w:t>
            </w:r>
          </w:p>
        </w:tc>
        <w:tc>
          <w:tcPr>
            <w:tcW w:w="825" w:type="dxa"/>
            <w:tcBorders>
              <w:top w:val="single" w:sz="8" w:space="0" w:color="auto"/>
              <w:left w:val="single" w:sz="8" w:space="0" w:color="auto"/>
              <w:bottom w:val="single" w:sz="8" w:space="0" w:color="auto"/>
              <w:right w:val="single" w:sz="8" w:space="0" w:color="auto"/>
            </w:tcBorders>
            <w:shd w:val="clear" w:color="auto" w:fill="auto"/>
            <w:vAlign w:val="center"/>
          </w:tcPr>
          <w:p w14:paraId="4A9604EC" w14:textId="77777777" w:rsidR="0070585C" w:rsidRPr="001A7807" w:rsidRDefault="0070585C" w:rsidP="00936F9F">
            <w:pPr>
              <w:jc w:val="right"/>
              <w:rPr>
                <w:b/>
                <w:bCs/>
                <w:sz w:val="22"/>
                <w:szCs w:val="22"/>
              </w:rPr>
            </w:pPr>
            <w:r w:rsidRPr="001A7807">
              <w:rPr>
                <w:b/>
                <w:bCs/>
                <w:sz w:val="22"/>
                <w:szCs w:val="22"/>
              </w:rPr>
              <w:t>11 857</w:t>
            </w:r>
          </w:p>
        </w:tc>
        <w:tc>
          <w:tcPr>
            <w:tcW w:w="770" w:type="dxa"/>
            <w:tcBorders>
              <w:top w:val="single" w:sz="8" w:space="0" w:color="auto"/>
              <w:left w:val="single" w:sz="8" w:space="0" w:color="auto"/>
              <w:bottom w:val="single" w:sz="8" w:space="0" w:color="auto"/>
              <w:right w:val="single" w:sz="8" w:space="0" w:color="auto"/>
            </w:tcBorders>
            <w:shd w:val="clear" w:color="auto" w:fill="auto"/>
            <w:vAlign w:val="center"/>
          </w:tcPr>
          <w:p w14:paraId="78479F5B" w14:textId="77777777" w:rsidR="0070585C" w:rsidRPr="001A7807" w:rsidRDefault="0070585C" w:rsidP="00936F9F">
            <w:pPr>
              <w:jc w:val="right"/>
              <w:rPr>
                <w:b/>
                <w:bCs/>
                <w:sz w:val="22"/>
                <w:szCs w:val="22"/>
              </w:rPr>
            </w:pPr>
            <w:r w:rsidRPr="001A7807">
              <w:rPr>
                <w:b/>
                <w:bCs/>
                <w:sz w:val="22"/>
                <w:szCs w:val="22"/>
              </w:rPr>
              <w:t>100,73</w:t>
            </w:r>
          </w:p>
        </w:tc>
      </w:tr>
    </w:tbl>
    <w:p w14:paraId="5A9D5E30" w14:textId="77777777" w:rsidR="0070585C" w:rsidRPr="005B36C1" w:rsidRDefault="00C96445" w:rsidP="00C96445">
      <w:pPr>
        <w:rPr>
          <w:i/>
          <w:color w:val="000000"/>
        </w:rPr>
      </w:pPr>
      <w:r>
        <w:rPr>
          <w:i/>
          <w:color w:val="000000"/>
        </w:rPr>
        <w:t xml:space="preserve">Poznámka: </w:t>
      </w:r>
      <w:r w:rsidR="0070585C" w:rsidRPr="005B36C1">
        <w:rPr>
          <w:i/>
          <w:color w:val="000000"/>
        </w:rPr>
        <w:t xml:space="preserve">Zdrojem dat je odbor školské statistiky, analýz a informační strategie MŠMT. Výkony jsou uváděny včetně žáků v nástavbovém studiu tak, jak jsou zahrnováni i do výkonů pro RN. Detailnější přehled vývoje výkonů krajského a obecního školství v letech 2008/2009 až 2018/2019 je uveden v tabulkové příloze - tabulka č. </w:t>
      </w:r>
      <w:r w:rsidR="0070585C">
        <w:rPr>
          <w:i/>
          <w:color w:val="000000"/>
        </w:rPr>
        <w:t>1</w:t>
      </w:r>
      <w:r w:rsidR="0070585C" w:rsidRPr="005B36C1">
        <w:rPr>
          <w:i/>
          <w:color w:val="000000"/>
        </w:rPr>
        <w:t>.</w:t>
      </w:r>
    </w:p>
    <w:p w14:paraId="62333C5D" w14:textId="77777777" w:rsidR="0070585C" w:rsidRPr="005B36C1" w:rsidRDefault="0070585C" w:rsidP="0070585C">
      <w:pPr>
        <w:tabs>
          <w:tab w:val="left" w:pos="540"/>
        </w:tabs>
        <w:rPr>
          <w:szCs w:val="24"/>
        </w:rPr>
      </w:pPr>
    </w:p>
    <w:p w14:paraId="629FAF53" w14:textId="77777777" w:rsidR="0070585C" w:rsidRPr="005B36C1" w:rsidRDefault="0070585C" w:rsidP="0070585C">
      <w:pPr>
        <w:ind w:firstLine="426"/>
      </w:pPr>
      <w:r w:rsidRPr="005B36C1">
        <w:t>V jednotlivých normativních kategoriích je vývoj výkonů následující:</w:t>
      </w:r>
    </w:p>
    <w:p w14:paraId="2315E071" w14:textId="77777777" w:rsidR="0070585C" w:rsidRPr="00F9237C" w:rsidRDefault="0070585C" w:rsidP="0070585C">
      <w:pPr>
        <w:pBdr>
          <w:top w:val="single" w:sz="8" w:space="1" w:color="auto"/>
          <w:left w:val="single" w:sz="8" w:space="0" w:color="auto"/>
          <w:bottom w:val="single" w:sz="8" w:space="1" w:color="auto"/>
          <w:right w:val="single" w:sz="8" w:space="4" w:color="auto"/>
        </w:pBdr>
        <w:tabs>
          <w:tab w:val="left" w:pos="2835"/>
          <w:tab w:val="left" w:pos="3969"/>
          <w:tab w:val="left" w:pos="4678"/>
        </w:tabs>
        <w:ind w:left="426" w:right="992" w:firstLine="425"/>
      </w:pPr>
      <w:r w:rsidRPr="00F9237C">
        <w:t xml:space="preserve">  3 – 5</w:t>
      </w:r>
      <w:r w:rsidRPr="00F9237C">
        <w:tab/>
        <w:t>nárůst o</w:t>
      </w:r>
      <w:r w:rsidRPr="00F9237C">
        <w:tab/>
        <w:t xml:space="preserve">     486 dětí, </w:t>
      </w:r>
      <w:r w:rsidRPr="00F9237C">
        <w:tab/>
      </w:r>
      <w:r w:rsidRPr="00F9237C">
        <w:tab/>
        <w:t xml:space="preserve">tj. o   0,14 % </w:t>
      </w:r>
    </w:p>
    <w:p w14:paraId="19500800" w14:textId="77777777" w:rsidR="0070585C" w:rsidRPr="00F9237C" w:rsidRDefault="0070585C" w:rsidP="0070585C">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pPr>
      <w:r w:rsidRPr="00F9237C">
        <w:t xml:space="preserve">  6 – 14</w:t>
      </w:r>
      <w:r w:rsidRPr="00F9237C">
        <w:tab/>
        <w:t>nárůst o</w:t>
      </w:r>
      <w:r w:rsidRPr="00F9237C">
        <w:tab/>
        <w:t>12 431 žáků,</w:t>
      </w:r>
      <w:r w:rsidRPr="00F9237C">
        <w:tab/>
      </w:r>
      <w:r w:rsidRPr="00F9237C">
        <w:tab/>
        <w:t xml:space="preserve">tj. o   1,31 %  </w:t>
      </w:r>
    </w:p>
    <w:p w14:paraId="2E4F9D47" w14:textId="77777777" w:rsidR="0070585C" w:rsidRPr="00F9237C" w:rsidRDefault="0070585C" w:rsidP="0070585C">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pPr>
      <w:r w:rsidRPr="00F9237C">
        <w:t xml:space="preserve">15 – 18 </w:t>
      </w:r>
      <w:r w:rsidRPr="00F9237C">
        <w:tab/>
        <w:t xml:space="preserve">nárůst o </w:t>
      </w:r>
      <w:r w:rsidRPr="00F9237C">
        <w:tab/>
        <w:t xml:space="preserve">     309 žáků,</w:t>
      </w:r>
      <w:r w:rsidRPr="00F9237C">
        <w:tab/>
      </w:r>
      <w:r w:rsidRPr="00F9237C">
        <w:tab/>
        <w:t>tj. o   0,10 %</w:t>
      </w:r>
    </w:p>
    <w:p w14:paraId="3F5165E4" w14:textId="77777777" w:rsidR="0070585C" w:rsidRPr="00F9237C" w:rsidRDefault="0070585C" w:rsidP="0070585C">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pPr>
      <w:r w:rsidRPr="00F9237C">
        <w:t xml:space="preserve">19 – 21 </w:t>
      </w:r>
      <w:r w:rsidRPr="00F9237C">
        <w:tab/>
        <w:t xml:space="preserve">pokles o </w:t>
      </w:r>
      <w:r w:rsidRPr="00F9237C">
        <w:tab/>
        <w:t xml:space="preserve">  1 375 studentů,</w:t>
      </w:r>
      <w:r w:rsidRPr="00F9237C">
        <w:tab/>
      </w:r>
      <w:r w:rsidRPr="00F9237C">
        <w:tab/>
        <w:t>tj. o 14,59 %</w:t>
      </w:r>
    </w:p>
    <w:p w14:paraId="30BE9F0A" w14:textId="77777777" w:rsidR="0070585C" w:rsidRPr="00F9237C" w:rsidRDefault="0070585C" w:rsidP="0070585C">
      <w:pPr>
        <w:pBdr>
          <w:top w:val="single" w:sz="8" w:space="1" w:color="auto"/>
          <w:left w:val="single" w:sz="8" w:space="0" w:color="auto"/>
          <w:bottom w:val="single" w:sz="8" w:space="1" w:color="auto"/>
          <w:right w:val="single" w:sz="8" w:space="4" w:color="auto"/>
        </w:pBdr>
        <w:tabs>
          <w:tab w:val="left" w:pos="2835"/>
          <w:tab w:val="left" w:pos="3969"/>
          <w:tab w:val="left" w:pos="5103"/>
        </w:tabs>
        <w:ind w:left="426" w:right="992" w:firstLine="425"/>
        <w:rPr>
          <w:szCs w:val="24"/>
        </w:rPr>
      </w:pPr>
      <w:r w:rsidRPr="00F9237C">
        <w:rPr>
          <w:szCs w:val="24"/>
        </w:rPr>
        <w:t xml:space="preserve">  3 – 18 v KZÚV</w:t>
      </w:r>
      <w:r w:rsidRPr="00F9237C">
        <w:rPr>
          <w:b/>
          <w:szCs w:val="24"/>
        </w:rPr>
        <w:tab/>
      </w:r>
      <w:r w:rsidRPr="00F9237C">
        <w:t>nárůst</w:t>
      </w:r>
      <w:r w:rsidRPr="00F9237C">
        <w:rPr>
          <w:szCs w:val="24"/>
        </w:rPr>
        <w:t xml:space="preserve"> o </w:t>
      </w:r>
      <w:r w:rsidRPr="00F9237C">
        <w:rPr>
          <w:szCs w:val="24"/>
        </w:rPr>
        <w:tab/>
        <w:t xml:space="preserve">         6 lůžek,</w:t>
      </w:r>
      <w:r w:rsidRPr="00F9237C">
        <w:rPr>
          <w:szCs w:val="24"/>
        </w:rPr>
        <w:tab/>
      </w:r>
      <w:r w:rsidRPr="00F9237C">
        <w:rPr>
          <w:szCs w:val="24"/>
        </w:rPr>
        <w:tab/>
        <w:t>tj. o   0,13 %</w:t>
      </w:r>
    </w:p>
    <w:p w14:paraId="1BE819DA" w14:textId="77777777" w:rsidR="0070585C" w:rsidRDefault="0070585C" w:rsidP="00C96445">
      <w:pPr>
        <w:shd w:val="clear" w:color="000000" w:fill="auto"/>
        <w:tabs>
          <w:tab w:val="left" w:pos="0"/>
        </w:tabs>
        <w:rPr>
          <w:i/>
          <w:color w:val="000000"/>
        </w:rPr>
      </w:pPr>
      <w:r w:rsidRPr="003746F2">
        <w:rPr>
          <w:i/>
          <w:color w:val="000000"/>
        </w:rPr>
        <w:t>Poznámka: do normativní kategorie 15 - 18 jsou zahrnuti i žáci denní formy nástavbového studia.</w:t>
      </w:r>
    </w:p>
    <w:p w14:paraId="32348428" w14:textId="77777777" w:rsidR="0070585C" w:rsidRDefault="0070585C" w:rsidP="007870CB">
      <w:pPr>
        <w:tabs>
          <w:tab w:val="left" w:pos="540"/>
        </w:tabs>
        <w:rPr>
          <w:i/>
          <w:color w:val="000000"/>
          <w:sz w:val="20"/>
          <w:highlight w:val="cyan"/>
        </w:rPr>
      </w:pPr>
    </w:p>
    <w:p w14:paraId="23BEC2B5" w14:textId="77777777" w:rsidR="0070585C" w:rsidRPr="00E958A6" w:rsidRDefault="0070585C" w:rsidP="0031482F">
      <w:pPr>
        <w:pStyle w:val="Nadpis4"/>
      </w:pPr>
      <w:bookmarkStart w:id="100" w:name="_Toc447780942"/>
      <w:bookmarkStart w:id="101" w:name="_Toc5968844"/>
      <w:r w:rsidRPr="00E958A6">
        <w:t>Rozpočtové zdroje RgŠ pro rok 2019 – bez PŘO</w:t>
      </w:r>
      <w:bookmarkEnd w:id="100"/>
      <w:bookmarkEnd w:id="101"/>
    </w:p>
    <w:p w14:paraId="68405ADD" w14:textId="77777777" w:rsidR="0070585C" w:rsidRPr="00CC5B18" w:rsidRDefault="0070585C" w:rsidP="0070585C">
      <w:pPr>
        <w:pStyle w:val="Text"/>
        <w:rPr>
          <w:highlight w:val="cyan"/>
        </w:rPr>
      </w:pPr>
    </w:p>
    <w:p w14:paraId="07EACA92" w14:textId="77777777" w:rsidR="0070585C" w:rsidRDefault="0070585C" w:rsidP="0070585C">
      <w:pPr>
        <w:spacing w:after="60"/>
      </w:pPr>
      <w:r w:rsidRPr="00E958A6">
        <w:t xml:space="preserve">Rozpočtové zdroje RgŠ celkem schváleného státního rozpočtu pro rok 2019 činí: </w:t>
      </w:r>
    </w:p>
    <w:p w14:paraId="556A074C" w14:textId="77777777" w:rsidR="00636DE9" w:rsidRPr="00CD13FE" w:rsidRDefault="00636DE9" w:rsidP="00636DE9">
      <w:pPr>
        <w:pStyle w:val="Titulek"/>
        <w:keepNext/>
      </w:pPr>
      <w:bookmarkStart w:id="102" w:name="_Toc5965631"/>
      <w:r>
        <w:lastRenderedPageBreak/>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10</w:t>
      </w:r>
      <w:r w:rsidR="005F53B0">
        <w:rPr>
          <w:noProof/>
        </w:rPr>
        <w:fldChar w:fldCharType="end"/>
      </w:r>
      <w:r>
        <w:t xml:space="preserve">: </w:t>
      </w:r>
      <w:r w:rsidRPr="00CD13FE">
        <w:t>Rozpočtové zdroje RgŠ schváleného státního rozpočtu na rok 2019</w:t>
      </w:r>
      <w:bookmarkEnd w:id="102"/>
    </w:p>
    <w:tbl>
      <w:tblPr>
        <w:tblW w:w="9085" w:type="dxa"/>
        <w:jc w:val="center"/>
        <w:tblInd w:w="4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79"/>
        <w:gridCol w:w="1823"/>
        <w:gridCol w:w="1827"/>
        <w:gridCol w:w="1961"/>
        <w:gridCol w:w="1595"/>
      </w:tblGrid>
      <w:tr w:rsidR="0070585C" w:rsidRPr="00CD13FE" w14:paraId="0166945B" w14:textId="77777777" w:rsidTr="003666C0">
        <w:trPr>
          <w:trHeight w:val="709"/>
          <w:jc w:val="center"/>
        </w:trPr>
        <w:tc>
          <w:tcPr>
            <w:tcW w:w="1879" w:type="dxa"/>
            <w:vAlign w:val="center"/>
          </w:tcPr>
          <w:p w14:paraId="5FA6DAA8" w14:textId="77777777" w:rsidR="0070585C" w:rsidRPr="00CD13FE" w:rsidRDefault="0070585C" w:rsidP="00936F9F">
            <w:pPr>
              <w:jc w:val="center"/>
              <w:rPr>
                <w:b/>
                <w:bCs/>
                <w:szCs w:val="24"/>
              </w:rPr>
            </w:pPr>
            <w:r w:rsidRPr="00CD13FE">
              <w:rPr>
                <w:b/>
                <w:bCs/>
                <w:szCs w:val="24"/>
              </w:rPr>
              <w:t>NIV celkem</w:t>
            </w:r>
          </w:p>
          <w:p w14:paraId="1F1F3606" w14:textId="77777777" w:rsidR="0070585C" w:rsidRPr="00CD13FE" w:rsidRDefault="0070585C" w:rsidP="00936F9F">
            <w:pPr>
              <w:pStyle w:val="Zkladntextodsazen3"/>
              <w:ind w:firstLine="0"/>
              <w:jc w:val="center"/>
              <w:outlineLvl w:val="0"/>
              <w:rPr>
                <w:b w:val="0"/>
                <w:bCs/>
                <w:szCs w:val="24"/>
              </w:rPr>
            </w:pPr>
            <w:r w:rsidRPr="00CD13FE">
              <w:rPr>
                <w:b w:val="0"/>
                <w:bCs/>
                <w:szCs w:val="24"/>
              </w:rPr>
              <w:t>v Kč</w:t>
            </w:r>
          </w:p>
        </w:tc>
        <w:tc>
          <w:tcPr>
            <w:tcW w:w="1823" w:type="dxa"/>
            <w:vAlign w:val="center"/>
          </w:tcPr>
          <w:p w14:paraId="0B68599A" w14:textId="77777777" w:rsidR="0070585C" w:rsidRPr="00CD13FE" w:rsidRDefault="0070585C" w:rsidP="00936F9F">
            <w:pPr>
              <w:jc w:val="center"/>
              <w:rPr>
                <w:b/>
                <w:bCs/>
                <w:szCs w:val="24"/>
              </w:rPr>
            </w:pPr>
            <w:r w:rsidRPr="00CD13FE">
              <w:rPr>
                <w:b/>
                <w:bCs/>
                <w:szCs w:val="24"/>
              </w:rPr>
              <w:t>MP</w:t>
            </w:r>
          </w:p>
          <w:p w14:paraId="3D421F1E" w14:textId="77777777" w:rsidR="0070585C" w:rsidRPr="00CD13FE" w:rsidRDefault="0070585C" w:rsidP="00936F9F">
            <w:pPr>
              <w:pStyle w:val="Zkladntextodsazen3"/>
              <w:ind w:firstLine="0"/>
              <w:jc w:val="center"/>
              <w:outlineLvl w:val="0"/>
              <w:rPr>
                <w:b w:val="0"/>
                <w:szCs w:val="24"/>
              </w:rPr>
            </w:pPr>
            <w:r w:rsidRPr="00CD13FE">
              <w:rPr>
                <w:b w:val="0"/>
                <w:bCs/>
                <w:szCs w:val="24"/>
              </w:rPr>
              <w:t>v Kč</w:t>
            </w:r>
          </w:p>
        </w:tc>
        <w:tc>
          <w:tcPr>
            <w:tcW w:w="1827" w:type="dxa"/>
            <w:vAlign w:val="center"/>
          </w:tcPr>
          <w:p w14:paraId="2CB0A841" w14:textId="77777777" w:rsidR="0070585C" w:rsidRPr="00CD13FE" w:rsidRDefault="0070585C" w:rsidP="00936F9F">
            <w:pPr>
              <w:jc w:val="center"/>
              <w:rPr>
                <w:b/>
                <w:bCs/>
                <w:szCs w:val="24"/>
              </w:rPr>
            </w:pPr>
            <w:r w:rsidRPr="00CD13FE">
              <w:rPr>
                <w:b/>
                <w:bCs/>
                <w:szCs w:val="24"/>
              </w:rPr>
              <w:t>Zákonné odvody</w:t>
            </w:r>
          </w:p>
          <w:p w14:paraId="10337DBD" w14:textId="77777777" w:rsidR="0070585C" w:rsidRPr="00CD13FE" w:rsidRDefault="0070585C" w:rsidP="00936F9F">
            <w:pPr>
              <w:pStyle w:val="Zkladntextodsazen3"/>
              <w:ind w:firstLine="0"/>
              <w:jc w:val="center"/>
              <w:outlineLvl w:val="0"/>
              <w:rPr>
                <w:b w:val="0"/>
                <w:szCs w:val="24"/>
              </w:rPr>
            </w:pPr>
            <w:r w:rsidRPr="00CD13FE">
              <w:rPr>
                <w:b w:val="0"/>
                <w:bCs/>
                <w:szCs w:val="24"/>
              </w:rPr>
              <w:t>v Kč</w:t>
            </w:r>
          </w:p>
        </w:tc>
        <w:tc>
          <w:tcPr>
            <w:tcW w:w="1961" w:type="dxa"/>
            <w:vAlign w:val="center"/>
          </w:tcPr>
          <w:p w14:paraId="226B7103" w14:textId="77777777" w:rsidR="0070585C" w:rsidRPr="00CD13FE" w:rsidRDefault="0070585C" w:rsidP="00936F9F">
            <w:pPr>
              <w:jc w:val="center"/>
              <w:rPr>
                <w:b/>
                <w:bCs/>
                <w:szCs w:val="24"/>
              </w:rPr>
            </w:pPr>
            <w:r w:rsidRPr="00CD13FE">
              <w:rPr>
                <w:b/>
                <w:bCs/>
                <w:szCs w:val="24"/>
              </w:rPr>
              <w:t>ONIV</w:t>
            </w:r>
          </w:p>
          <w:p w14:paraId="0EDB4028" w14:textId="77777777" w:rsidR="0070585C" w:rsidRPr="00CD13FE" w:rsidRDefault="0070585C" w:rsidP="003666C0">
            <w:pPr>
              <w:pStyle w:val="Zkladntextodsazen3"/>
              <w:ind w:firstLine="0"/>
              <w:jc w:val="left"/>
              <w:outlineLvl w:val="0"/>
              <w:rPr>
                <w:b w:val="0"/>
                <w:szCs w:val="24"/>
              </w:rPr>
            </w:pPr>
            <w:r w:rsidRPr="00CD13FE">
              <w:rPr>
                <w:b w:val="0"/>
                <w:bCs/>
                <w:szCs w:val="24"/>
              </w:rPr>
              <w:t>v Kč</w:t>
            </w:r>
          </w:p>
        </w:tc>
        <w:tc>
          <w:tcPr>
            <w:tcW w:w="1595" w:type="dxa"/>
            <w:vAlign w:val="center"/>
          </w:tcPr>
          <w:p w14:paraId="0C38FDA0" w14:textId="77777777" w:rsidR="0070585C" w:rsidRPr="00CD13FE" w:rsidRDefault="0070585C" w:rsidP="00936F9F">
            <w:pPr>
              <w:pStyle w:val="Zkladntextodsazen3"/>
              <w:ind w:firstLine="0"/>
              <w:jc w:val="center"/>
              <w:outlineLvl w:val="0"/>
              <w:rPr>
                <w:szCs w:val="24"/>
              </w:rPr>
            </w:pPr>
            <w:r w:rsidRPr="00CD13FE">
              <w:rPr>
                <w:bCs/>
                <w:szCs w:val="24"/>
              </w:rPr>
              <w:t>Limit PZ</w:t>
            </w:r>
          </w:p>
        </w:tc>
      </w:tr>
      <w:tr w:rsidR="0070585C" w:rsidRPr="00CD13FE" w14:paraId="2B6A076B" w14:textId="77777777" w:rsidTr="003666C0">
        <w:trPr>
          <w:jc w:val="center"/>
        </w:trPr>
        <w:tc>
          <w:tcPr>
            <w:tcW w:w="1879" w:type="dxa"/>
          </w:tcPr>
          <w:p w14:paraId="5756277F" w14:textId="77777777" w:rsidR="0070585C" w:rsidRPr="00CD13FE" w:rsidRDefault="0070585C" w:rsidP="00936F9F">
            <w:r w:rsidRPr="00CD13FE">
              <w:t>1</w:t>
            </w:r>
            <w:r>
              <w:t>31 858 692 100</w:t>
            </w:r>
          </w:p>
        </w:tc>
        <w:tc>
          <w:tcPr>
            <w:tcW w:w="1823" w:type="dxa"/>
          </w:tcPr>
          <w:p w14:paraId="1F361512" w14:textId="77777777" w:rsidR="0070585C" w:rsidRPr="00CD13FE" w:rsidRDefault="0070585C" w:rsidP="00936F9F">
            <w:r>
              <w:t>95 538 376 301</w:t>
            </w:r>
          </w:p>
        </w:tc>
        <w:tc>
          <w:tcPr>
            <w:tcW w:w="1827" w:type="dxa"/>
          </w:tcPr>
          <w:p w14:paraId="78D321FC" w14:textId="77777777" w:rsidR="0070585C" w:rsidRPr="00CD13FE" w:rsidRDefault="0070585C" w:rsidP="00936F9F">
            <w:r>
              <w:t>34 377 932 114</w:t>
            </w:r>
          </w:p>
        </w:tc>
        <w:tc>
          <w:tcPr>
            <w:tcW w:w="1961" w:type="dxa"/>
          </w:tcPr>
          <w:p w14:paraId="56CBC791" w14:textId="77777777" w:rsidR="0070585C" w:rsidRPr="00CD13FE" w:rsidRDefault="0070585C" w:rsidP="00936F9F">
            <w:r w:rsidRPr="00CD13FE">
              <w:t>1</w:t>
            </w:r>
            <w:r>
              <w:t> </w:t>
            </w:r>
            <w:r w:rsidRPr="00CD13FE">
              <w:t>9</w:t>
            </w:r>
            <w:r>
              <w:t>42 383 685</w:t>
            </w:r>
          </w:p>
        </w:tc>
        <w:tc>
          <w:tcPr>
            <w:tcW w:w="1595" w:type="dxa"/>
          </w:tcPr>
          <w:p w14:paraId="62B3EBCD" w14:textId="77777777" w:rsidR="0070585C" w:rsidRPr="00CD13FE" w:rsidRDefault="0070585C" w:rsidP="00936F9F">
            <w:r w:rsidRPr="00CD13FE">
              <w:t>2</w:t>
            </w:r>
            <w:r>
              <w:t>41 727,00</w:t>
            </w:r>
          </w:p>
        </w:tc>
      </w:tr>
    </w:tbl>
    <w:p w14:paraId="1DAB5596" w14:textId="77777777" w:rsidR="0070585C" w:rsidRPr="00CC5B18" w:rsidRDefault="0070585C" w:rsidP="0070585C">
      <w:pPr>
        <w:pStyle w:val="Text"/>
        <w:rPr>
          <w:highlight w:val="cyan"/>
        </w:rPr>
      </w:pPr>
    </w:p>
    <w:p w14:paraId="50FF1A6E" w14:textId="1EB98CC2" w:rsidR="0070585C" w:rsidRDefault="0070585C" w:rsidP="0070585C">
      <w:pPr>
        <w:pStyle w:val="Text"/>
      </w:pPr>
      <w:r w:rsidRPr="00CD13FE">
        <w:t>Z těchto rozpočtových zdrojů je nutné odečíst finanční prostředky ve výši cca 4,074 mld. Kč určené pro financování nezbytných rozvojových programů (dále jen „RP“). Pro rok 2019 jsou navrženy tři jednoleté rozvojové programy, které mají zajistit plynulý přechod na nový způsob financování RgŠ ÚSC od 1. 1. 2020. Vyhlášeny již byly dva RP „Částečné vyrovnání mezikrajových rozdílů v odměňování pedagogických pracovníků mateřských, základních a středních škol, konzervatoří a školníc</w:t>
      </w:r>
      <w:r w:rsidR="003666C0">
        <w:t>h družin v roce 2019, č.j. MSMT</w:t>
      </w:r>
      <w:r w:rsidR="003666C0">
        <w:noBreakHyphen/>
      </w:r>
      <w:r w:rsidRPr="00CD13FE">
        <w:t>33424/2018-1“ ve výši 1 052 910 758 Kč a „Finanční zajištění překrývání přímé pedagogické činnosti učitelů se zohledněním provozu mateřských škol, č.j. MSMT-31069/2018-4“ ve výši 1,8 mld. Kč. V průběhu roku 2019 bu</w:t>
      </w:r>
      <w:r w:rsidR="003666C0">
        <w:t>de dále vyhlášen RP ve výši 700 </w:t>
      </w:r>
      <w:r w:rsidRPr="00CD13FE">
        <w:t>mil. Kč na nárůst počtu učitelů od 1. 9. 2019 v souvislosti s větší mírou dělení ho</w:t>
      </w:r>
      <w:r w:rsidR="00B8183F">
        <w:t>din výuky v ZŠ a SŠ v souladu s </w:t>
      </w:r>
      <w:r w:rsidRPr="00CD13FE">
        <w:t>nařízením vlády č. 123/2018 Sb.</w:t>
      </w:r>
    </w:p>
    <w:p w14:paraId="3E53F6F9" w14:textId="77777777" w:rsidR="00A176BD" w:rsidRDefault="00A176BD" w:rsidP="0070585C">
      <w:pPr>
        <w:pStyle w:val="Text"/>
      </w:pPr>
    </w:p>
    <w:p w14:paraId="65A5DDFA" w14:textId="77777777" w:rsidR="0070585C" w:rsidRPr="00CD13FE" w:rsidRDefault="0070585C" w:rsidP="0070585C">
      <w:pPr>
        <w:pStyle w:val="Titulek"/>
        <w:keepNext/>
      </w:pPr>
      <w:bookmarkStart w:id="103" w:name="_Toc5965632"/>
      <w:r w:rsidRPr="00CD13FE">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11</w:t>
      </w:r>
      <w:r w:rsidR="005F53B0">
        <w:rPr>
          <w:noProof/>
        </w:rPr>
        <w:fldChar w:fldCharType="end"/>
      </w:r>
      <w:r w:rsidRPr="00CD13FE">
        <w:t>:</w:t>
      </w:r>
      <w:r>
        <w:t xml:space="preserve"> </w:t>
      </w:r>
      <w:r w:rsidRPr="00CD13FE">
        <w:t xml:space="preserve">Rozpočtové zdroje RgŠ ÚSC vyčleněné v roce 2019 na </w:t>
      </w:r>
      <w:r w:rsidR="00094CF3">
        <w:t>RP</w:t>
      </w:r>
      <w:r w:rsidRPr="00CD13FE">
        <w:t>:</w:t>
      </w:r>
      <w:bookmarkEnd w:id="103"/>
    </w:p>
    <w:tbl>
      <w:tblPr>
        <w:tblW w:w="9072" w:type="dxa"/>
        <w:tblInd w:w="70"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CellMar>
          <w:left w:w="70" w:type="dxa"/>
          <w:right w:w="70" w:type="dxa"/>
        </w:tblCellMar>
        <w:tblLook w:val="0000" w:firstRow="0" w:lastRow="0" w:firstColumn="0" w:lastColumn="0" w:noHBand="0" w:noVBand="0"/>
      </w:tblPr>
      <w:tblGrid>
        <w:gridCol w:w="1937"/>
        <w:gridCol w:w="1937"/>
        <w:gridCol w:w="1938"/>
        <w:gridCol w:w="1843"/>
        <w:gridCol w:w="1417"/>
      </w:tblGrid>
      <w:tr w:rsidR="0070585C" w:rsidRPr="008B42CF" w14:paraId="44DC28DB" w14:textId="77777777" w:rsidTr="00936F9F">
        <w:trPr>
          <w:trHeight w:val="276"/>
        </w:trPr>
        <w:tc>
          <w:tcPr>
            <w:tcW w:w="1937" w:type="dxa"/>
            <w:tcBorders>
              <w:bottom w:val="single" w:sz="4" w:space="0" w:color="auto"/>
            </w:tcBorders>
            <w:shd w:val="clear" w:color="auto" w:fill="FFFFFF"/>
            <w:vAlign w:val="center"/>
          </w:tcPr>
          <w:p w14:paraId="2741AEDE" w14:textId="77777777" w:rsidR="0070585C" w:rsidRPr="002657EE" w:rsidRDefault="0070585C" w:rsidP="00936F9F">
            <w:pPr>
              <w:jc w:val="center"/>
              <w:rPr>
                <w:bCs/>
                <w:szCs w:val="24"/>
              </w:rPr>
            </w:pPr>
            <w:r w:rsidRPr="002657EE">
              <w:rPr>
                <w:bCs/>
                <w:szCs w:val="24"/>
              </w:rPr>
              <w:t>NIV celkem v</w:t>
            </w:r>
            <w:r>
              <w:rPr>
                <w:bCs/>
                <w:szCs w:val="24"/>
              </w:rPr>
              <w:t> </w:t>
            </w:r>
            <w:r w:rsidRPr="002657EE">
              <w:rPr>
                <w:bCs/>
                <w:szCs w:val="24"/>
              </w:rPr>
              <w:t>Kč</w:t>
            </w:r>
          </w:p>
        </w:tc>
        <w:tc>
          <w:tcPr>
            <w:tcW w:w="1937" w:type="dxa"/>
            <w:shd w:val="clear" w:color="auto" w:fill="FFFFFF"/>
            <w:vAlign w:val="center"/>
          </w:tcPr>
          <w:p w14:paraId="1DDE3578" w14:textId="77777777" w:rsidR="0070585C" w:rsidRPr="002657EE" w:rsidRDefault="0070585C" w:rsidP="00936F9F">
            <w:pPr>
              <w:jc w:val="center"/>
              <w:rPr>
                <w:bCs/>
                <w:szCs w:val="24"/>
              </w:rPr>
            </w:pPr>
            <w:r w:rsidRPr="002657EE">
              <w:rPr>
                <w:bCs/>
                <w:szCs w:val="24"/>
              </w:rPr>
              <w:t>MP v Kč</w:t>
            </w:r>
          </w:p>
        </w:tc>
        <w:tc>
          <w:tcPr>
            <w:tcW w:w="1938" w:type="dxa"/>
            <w:shd w:val="clear" w:color="auto" w:fill="FFFFFF"/>
            <w:vAlign w:val="center"/>
          </w:tcPr>
          <w:p w14:paraId="70B6069F" w14:textId="77777777" w:rsidR="0070585C" w:rsidRPr="002657EE" w:rsidRDefault="0070585C" w:rsidP="00936F9F">
            <w:pPr>
              <w:jc w:val="center"/>
              <w:rPr>
                <w:bCs/>
                <w:szCs w:val="24"/>
              </w:rPr>
            </w:pPr>
            <w:r w:rsidRPr="002657EE">
              <w:rPr>
                <w:bCs/>
                <w:szCs w:val="24"/>
              </w:rPr>
              <w:t>Odvody v</w:t>
            </w:r>
            <w:r>
              <w:rPr>
                <w:bCs/>
                <w:szCs w:val="24"/>
              </w:rPr>
              <w:t> </w:t>
            </w:r>
            <w:r w:rsidRPr="002657EE">
              <w:rPr>
                <w:bCs/>
                <w:szCs w:val="24"/>
              </w:rPr>
              <w:t>Kč</w:t>
            </w:r>
          </w:p>
        </w:tc>
        <w:tc>
          <w:tcPr>
            <w:tcW w:w="1843" w:type="dxa"/>
            <w:shd w:val="clear" w:color="auto" w:fill="FFFFFF"/>
            <w:vAlign w:val="center"/>
          </w:tcPr>
          <w:p w14:paraId="1228ED49" w14:textId="77777777" w:rsidR="0070585C" w:rsidRPr="002657EE" w:rsidRDefault="0070585C" w:rsidP="00936F9F">
            <w:pPr>
              <w:jc w:val="center"/>
              <w:rPr>
                <w:bCs/>
                <w:szCs w:val="24"/>
              </w:rPr>
            </w:pPr>
            <w:r w:rsidRPr="002657EE">
              <w:rPr>
                <w:bCs/>
                <w:szCs w:val="24"/>
              </w:rPr>
              <w:t>ONIV v Kč</w:t>
            </w:r>
          </w:p>
        </w:tc>
        <w:tc>
          <w:tcPr>
            <w:tcW w:w="1417" w:type="dxa"/>
            <w:shd w:val="clear" w:color="auto" w:fill="FFFFFF"/>
            <w:vAlign w:val="center"/>
          </w:tcPr>
          <w:p w14:paraId="4723D62C" w14:textId="77777777" w:rsidR="0070585C" w:rsidRPr="002657EE" w:rsidRDefault="0070585C" w:rsidP="00936F9F">
            <w:pPr>
              <w:jc w:val="center"/>
              <w:rPr>
                <w:bCs/>
                <w:szCs w:val="24"/>
              </w:rPr>
            </w:pPr>
            <w:r w:rsidRPr="002657EE">
              <w:rPr>
                <w:bCs/>
                <w:szCs w:val="24"/>
              </w:rPr>
              <w:t>Limit PZ</w:t>
            </w:r>
          </w:p>
        </w:tc>
      </w:tr>
      <w:tr w:rsidR="0070585C" w:rsidRPr="008B42CF" w14:paraId="1244557D" w14:textId="77777777" w:rsidTr="00936F9F">
        <w:trPr>
          <w:trHeight w:val="180"/>
        </w:trPr>
        <w:tc>
          <w:tcPr>
            <w:tcW w:w="1937" w:type="dxa"/>
            <w:tcBorders>
              <w:top w:val="single" w:sz="4" w:space="0" w:color="auto"/>
            </w:tcBorders>
            <w:shd w:val="clear" w:color="auto" w:fill="FFFFFF"/>
            <w:vAlign w:val="bottom"/>
          </w:tcPr>
          <w:p w14:paraId="4D182F5A" w14:textId="77777777" w:rsidR="0070585C" w:rsidRPr="008B42CF" w:rsidRDefault="0070585C" w:rsidP="00936F9F">
            <w:pPr>
              <w:jc w:val="center"/>
              <w:rPr>
                <w:bCs/>
                <w:szCs w:val="24"/>
                <w:highlight w:val="yellow"/>
              </w:rPr>
            </w:pPr>
            <w:r w:rsidRPr="00E331A3">
              <w:rPr>
                <w:bCs/>
                <w:szCs w:val="24"/>
              </w:rPr>
              <w:t>4 074 171 595</w:t>
            </w:r>
          </w:p>
        </w:tc>
        <w:tc>
          <w:tcPr>
            <w:tcW w:w="1937" w:type="dxa"/>
            <w:shd w:val="clear" w:color="auto" w:fill="FFFFFF"/>
            <w:vAlign w:val="bottom"/>
          </w:tcPr>
          <w:p w14:paraId="33DD68B6" w14:textId="77777777" w:rsidR="0070585C" w:rsidRPr="008B42CF" w:rsidRDefault="0070585C" w:rsidP="00936F9F">
            <w:pPr>
              <w:jc w:val="center"/>
              <w:rPr>
                <w:bCs/>
                <w:szCs w:val="24"/>
                <w:highlight w:val="yellow"/>
              </w:rPr>
            </w:pPr>
            <w:r w:rsidRPr="00747A6D">
              <w:rPr>
                <w:bCs/>
                <w:szCs w:val="24"/>
              </w:rPr>
              <w:t>2 895 685 299</w:t>
            </w:r>
          </w:p>
        </w:tc>
        <w:tc>
          <w:tcPr>
            <w:tcW w:w="1938" w:type="dxa"/>
            <w:shd w:val="clear" w:color="auto" w:fill="FFFFFF"/>
            <w:vAlign w:val="bottom"/>
          </w:tcPr>
          <w:p w14:paraId="5006DFDD" w14:textId="77777777" w:rsidR="0070585C" w:rsidRPr="008B42CF" w:rsidRDefault="0070585C" w:rsidP="00936F9F">
            <w:pPr>
              <w:jc w:val="center"/>
              <w:rPr>
                <w:bCs/>
                <w:szCs w:val="24"/>
                <w:highlight w:val="yellow"/>
              </w:rPr>
            </w:pPr>
            <w:r w:rsidRPr="00747A6D">
              <w:rPr>
                <w:bCs/>
                <w:szCs w:val="24"/>
              </w:rPr>
              <w:t>1 041 660 211</w:t>
            </w:r>
          </w:p>
        </w:tc>
        <w:tc>
          <w:tcPr>
            <w:tcW w:w="1843" w:type="dxa"/>
            <w:shd w:val="clear" w:color="auto" w:fill="FFFFFF"/>
            <w:vAlign w:val="bottom"/>
          </w:tcPr>
          <w:p w14:paraId="32C701A5" w14:textId="77777777" w:rsidR="0070585C" w:rsidRPr="008B42CF" w:rsidRDefault="0070585C" w:rsidP="00936F9F">
            <w:pPr>
              <w:jc w:val="center"/>
              <w:rPr>
                <w:bCs/>
                <w:szCs w:val="24"/>
                <w:highlight w:val="yellow"/>
              </w:rPr>
            </w:pPr>
            <w:r w:rsidRPr="00747A6D">
              <w:rPr>
                <w:bCs/>
                <w:szCs w:val="24"/>
              </w:rPr>
              <w:t>136 826 085</w:t>
            </w:r>
          </w:p>
        </w:tc>
        <w:tc>
          <w:tcPr>
            <w:tcW w:w="1417" w:type="dxa"/>
            <w:shd w:val="clear" w:color="auto" w:fill="FFFFFF"/>
            <w:vAlign w:val="bottom"/>
          </w:tcPr>
          <w:p w14:paraId="1796E10C" w14:textId="77777777" w:rsidR="0070585C" w:rsidRPr="008B42CF" w:rsidRDefault="0070585C" w:rsidP="00936F9F">
            <w:pPr>
              <w:jc w:val="center"/>
              <w:rPr>
                <w:bCs/>
                <w:szCs w:val="24"/>
                <w:highlight w:val="yellow"/>
              </w:rPr>
            </w:pPr>
            <w:r w:rsidRPr="00747A6D">
              <w:rPr>
                <w:bCs/>
                <w:szCs w:val="24"/>
              </w:rPr>
              <w:t>6 475,74</w:t>
            </w:r>
          </w:p>
        </w:tc>
      </w:tr>
    </w:tbl>
    <w:p w14:paraId="629064DD" w14:textId="77777777" w:rsidR="0070585C" w:rsidRDefault="0070585C" w:rsidP="0070585C">
      <w:pPr>
        <w:pStyle w:val="Titulek"/>
        <w:keepNext/>
      </w:pPr>
    </w:p>
    <w:p w14:paraId="587A64ED" w14:textId="0A708608" w:rsidR="0070585C" w:rsidRPr="00CD13FE" w:rsidRDefault="0070585C" w:rsidP="0070585C">
      <w:pPr>
        <w:pStyle w:val="Titulek"/>
        <w:keepNext/>
      </w:pPr>
      <w:bookmarkStart w:id="104" w:name="_Toc5965633"/>
      <w:r w:rsidRPr="00CD13FE">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12</w:t>
      </w:r>
      <w:r w:rsidR="005F53B0">
        <w:rPr>
          <w:noProof/>
        </w:rPr>
        <w:fldChar w:fldCharType="end"/>
      </w:r>
      <w:r>
        <w:t xml:space="preserve">: </w:t>
      </w:r>
      <w:r w:rsidRPr="00CD13FE">
        <w:t xml:space="preserve">Úprava rozpočtových zdrojů na </w:t>
      </w:r>
      <w:r w:rsidR="00A839F5">
        <w:t>RP</w:t>
      </w:r>
      <w:r w:rsidRPr="00CD13FE">
        <w:t>:</w:t>
      </w:r>
      <w:bookmarkEnd w:id="104"/>
    </w:p>
    <w:tbl>
      <w:tblPr>
        <w:tblW w:w="90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17"/>
        <w:gridCol w:w="1418"/>
        <w:gridCol w:w="1418"/>
        <w:gridCol w:w="708"/>
      </w:tblGrid>
      <w:tr w:rsidR="0070585C" w:rsidRPr="008B42CF" w14:paraId="5999E1A9" w14:textId="77777777" w:rsidTr="00936F9F">
        <w:tc>
          <w:tcPr>
            <w:tcW w:w="4111" w:type="dxa"/>
            <w:shd w:val="clear" w:color="auto" w:fill="auto"/>
            <w:tcMar>
              <w:left w:w="28" w:type="dxa"/>
              <w:right w:w="28" w:type="dxa"/>
            </w:tcMar>
            <w:vAlign w:val="center"/>
          </w:tcPr>
          <w:p w14:paraId="6A7EAE7D" w14:textId="77777777" w:rsidR="0070585C" w:rsidRPr="008B42CF" w:rsidRDefault="0070585C" w:rsidP="00936F9F">
            <w:pPr>
              <w:pStyle w:val="Zkladntextodsazen3"/>
              <w:outlineLvl w:val="0"/>
              <w:rPr>
                <w:szCs w:val="24"/>
                <w:highlight w:val="yellow"/>
              </w:rPr>
            </w:pPr>
          </w:p>
        </w:tc>
        <w:tc>
          <w:tcPr>
            <w:tcW w:w="1417" w:type="dxa"/>
            <w:shd w:val="clear" w:color="auto" w:fill="auto"/>
            <w:tcMar>
              <w:left w:w="28" w:type="dxa"/>
              <w:right w:w="28" w:type="dxa"/>
            </w:tcMar>
            <w:vAlign w:val="center"/>
          </w:tcPr>
          <w:p w14:paraId="18F8DBD0" w14:textId="77777777" w:rsidR="0070585C" w:rsidRPr="0014080B" w:rsidRDefault="0070585C" w:rsidP="000C079D">
            <w:pPr>
              <w:pStyle w:val="Zkladntextodsazen3"/>
              <w:ind w:firstLine="0"/>
              <w:jc w:val="center"/>
              <w:outlineLvl w:val="0"/>
              <w:rPr>
                <w:szCs w:val="24"/>
              </w:rPr>
            </w:pPr>
            <w:r w:rsidRPr="0014080B">
              <w:rPr>
                <w:szCs w:val="24"/>
              </w:rPr>
              <w:t xml:space="preserve">NIV </w:t>
            </w:r>
          </w:p>
          <w:p w14:paraId="1E156B58" w14:textId="77777777" w:rsidR="0070585C" w:rsidRPr="0014080B" w:rsidRDefault="0070585C" w:rsidP="000C079D">
            <w:pPr>
              <w:pStyle w:val="Zkladntextodsazen3"/>
              <w:ind w:firstLine="0"/>
              <w:jc w:val="center"/>
              <w:outlineLvl w:val="0"/>
              <w:rPr>
                <w:szCs w:val="24"/>
              </w:rPr>
            </w:pPr>
            <w:r w:rsidRPr="0014080B">
              <w:rPr>
                <w:szCs w:val="24"/>
              </w:rPr>
              <w:t>v Kč</w:t>
            </w:r>
          </w:p>
        </w:tc>
        <w:tc>
          <w:tcPr>
            <w:tcW w:w="1418" w:type="dxa"/>
            <w:shd w:val="clear" w:color="auto" w:fill="auto"/>
            <w:tcMar>
              <w:left w:w="28" w:type="dxa"/>
              <w:right w:w="28" w:type="dxa"/>
            </w:tcMar>
            <w:vAlign w:val="center"/>
          </w:tcPr>
          <w:p w14:paraId="36C3CBF6" w14:textId="77777777" w:rsidR="0070585C" w:rsidRPr="0014080B" w:rsidRDefault="0070585C" w:rsidP="000C079D">
            <w:pPr>
              <w:pStyle w:val="Zkladntextodsazen3"/>
              <w:ind w:firstLine="0"/>
              <w:jc w:val="center"/>
              <w:outlineLvl w:val="0"/>
              <w:rPr>
                <w:szCs w:val="24"/>
              </w:rPr>
            </w:pPr>
            <w:r w:rsidRPr="0014080B">
              <w:rPr>
                <w:szCs w:val="24"/>
              </w:rPr>
              <w:t>MP vč. odv.</w:t>
            </w:r>
          </w:p>
          <w:p w14:paraId="107470AA" w14:textId="77777777" w:rsidR="0070585C" w:rsidRPr="0014080B" w:rsidRDefault="0070585C" w:rsidP="000C079D">
            <w:pPr>
              <w:pStyle w:val="Zkladntextodsazen3"/>
              <w:ind w:firstLine="0"/>
              <w:jc w:val="center"/>
              <w:outlineLvl w:val="0"/>
              <w:rPr>
                <w:szCs w:val="24"/>
              </w:rPr>
            </w:pPr>
            <w:r w:rsidRPr="0014080B">
              <w:rPr>
                <w:szCs w:val="24"/>
              </w:rPr>
              <w:t>v Kč</w:t>
            </w:r>
          </w:p>
        </w:tc>
        <w:tc>
          <w:tcPr>
            <w:tcW w:w="1418" w:type="dxa"/>
            <w:shd w:val="clear" w:color="auto" w:fill="auto"/>
            <w:tcMar>
              <w:left w:w="28" w:type="dxa"/>
              <w:right w:w="28" w:type="dxa"/>
            </w:tcMar>
            <w:vAlign w:val="center"/>
          </w:tcPr>
          <w:p w14:paraId="5E12EA7F" w14:textId="77777777" w:rsidR="0070585C" w:rsidRPr="0014080B" w:rsidRDefault="0070585C" w:rsidP="000C079D">
            <w:pPr>
              <w:pStyle w:val="Zkladntextodsazen3"/>
              <w:ind w:firstLine="0"/>
              <w:jc w:val="center"/>
              <w:outlineLvl w:val="0"/>
              <w:rPr>
                <w:szCs w:val="24"/>
              </w:rPr>
            </w:pPr>
            <w:r w:rsidRPr="0014080B">
              <w:rPr>
                <w:szCs w:val="24"/>
              </w:rPr>
              <w:t>ONIV</w:t>
            </w:r>
          </w:p>
          <w:p w14:paraId="16BAE195" w14:textId="77777777" w:rsidR="0070585C" w:rsidRPr="0014080B" w:rsidRDefault="0070585C" w:rsidP="000C079D">
            <w:pPr>
              <w:pStyle w:val="Zkladntextodsazen3"/>
              <w:ind w:firstLine="0"/>
              <w:jc w:val="center"/>
              <w:outlineLvl w:val="0"/>
              <w:rPr>
                <w:szCs w:val="24"/>
              </w:rPr>
            </w:pPr>
            <w:r w:rsidRPr="0014080B">
              <w:rPr>
                <w:szCs w:val="24"/>
              </w:rPr>
              <w:t xml:space="preserve"> v Kč</w:t>
            </w:r>
          </w:p>
        </w:tc>
        <w:tc>
          <w:tcPr>
            <w:tcW w:w="708" w:type="dxa"/>
            <w:shd w:val="clear" w:color="auto" w:fill="auto"/>
            <w:tcMar>
              <w:left w:w="28" w:type="dxa"/>
              <w:right w:w="28" w:type="dxa"/>
            </w:tcMar>
            <w:vAlign w:val="center"/>
          </w:tcPr>
          <w:p w14:paraId="1A6CC3A2" w14:textId="77777777" w:rsidR="0070585C" w:rsidRPr="0014080B" w:rsidRDefault="0070585C" w:rsidP="000C079D">
            <w:pPr>
              <w:pStyle w:val="Zkladntextodsazen3"/>
              <w:ind w:firstLine="0"/>
              <w:jc w:val="center"/>
              <w:outlineLvl w:val="0"/>
              <w:rPr>
                <w:szCs w:val="24"/>
              </w:rPr>
            </w:pPr>
            <w:r w:rsidRPr="0014080B">
              <w:rPr>
                <w:szCs w:val="24"/>
              </w:rPr>
              <w:t>Limit PZ</w:t>
            </w:r>
          </w:p>
        </w:tc>
      </w:tr>
      <w:tr w:rsidR="0070585C" w:rsidRPr="00CD13FE" w14:paraId="57CF1536" w14:textId="77777777" w:rsidTr="00936F9F">
        <w:tc>
          <w:tcPr>
            <w:tcW w:w="4111" w:type="dxa"/>
            <w:shd w:val="clear" w:color="auto" w:fill="auto"/>
            <w:tcMar>
              <w:left w:w="28" w:type="dxa"/>
              <w:right w:w="28" w:type="dxa"/>
            </w:tcMar>
            <w:vAlign w:val="center"/>
          </w:tcPr>
          <w:p w14:paraId="7F72F8FE" w14:textId="77777777" w:rsidR="0070585C" w:rsidRPr="00CD13FE" w:rsidRDefault="0070585C" w:rsidP="00B8183F">
            <w:pPr>
              <w:rPr>
                <w:bCs/>
                <w:szCs w:val="24"/>
              </w:rPr>
            </w:pPr>
            <w:r w:rsidRPr="00CD13FE">
              <w:rPr>
                <w:bCs/>
                <w:szCs w:val="24"/>
              </w:rPr>
              <w:t>Dokrytí RP na vyrovnání mezikrajových rozdílů v odměňování pedagogů</w:t>
            </w:r>
          </w:p>
        </w:tc>
        <w:tc>
          <w:tcPr>
            <w:tcW w:w="1417" w:type="dxa"/>
            <w:shd w:val="clear" w:color="auto" w:fill="auto"/>
            <w:tcMar>
              <w:left w:w="0" w:type="dxa"/>
              <w:right w:w="28" w:type="dxa"/>
            </w:tcMar>
            <w:vAlign w:val="center"/>
          </w:tcPr>
          <w:p w14:paraId="78C717FD" w14:textId="77777777" w:rsidR="0070585C" w:rsidRPr="00CD13FE" w:rsidRDefault="0070585C" w:rsidP="00936F9F">
            <w:pPr>
              <w:jc w:val="center"/>
              <w:rPr>
                <w:bCs/>
                <w:szCs w:val="24"/>
              </w:rPr>
            </w:pPr>
            <w:r w:rsidRPr="00CD13FE">
              <w:rPr>
                <w:bCs/>
                <w:szCs w:val="24"/>
              </w:rPr>
              <w:t>102 910 758</w:t>
            </w:r>
          </w:p>
        </w:tc>
        <w:tc>
          <w:tcPr>
            <w:tcW w:w="1418" w:type="dxa"/>
            <w:shd w:val="clear" w:color="auto" w:fill="auto"/>
            <w:tcMar>
              <w:left w:w="0" w:type="dxa"/>
              <w:right w:w="28" w:type="dxa"/>
            </w:tcMar>
            <w:vAlign w:val="center"/>
          </w:tcPr>
          <w:p w14:paraId="08F03E86" w14:textId="77777777" w:rsidR="0070585C" w:rsidRPr="00CD13FE" w:rsidRDefault="0070585C" w:rsidP="00936F9F">
            <w:pPr>
              <w:jc w:val="center"/>
              <w:rPr>
                <w:bCs/>
                <w:szCs w:val="24"/>
              </w:rPr>
            </w:pPr>
            <w:r w:rsidRPr="00CD13FE">
              <w:rPr>
                <w:bCs/>
                <w:szCs w:val="24"/>
              </w:rPr>
              <w:t>102 910 758</w:t>
            </w:r>
          </w:p>
        </w:tc>
        <w:tc>
          <w:tcPr>
            <w:tcW w:w="1418" w:type="dxa"/>
            <w:shd w:val="clear" w:color="auto" w:fill="auto"/>
            <w:tcMar>
              <w:left w:w="0" w:type="dxa"/>
              <w:right w:w="28" w:type="dxa"/>
            </w:tcMar>
            <w:vAlign w:val="center"/>
          </w:tcPr>
          <w:p w14:paraId="039B46AB" w14:textId="77777777" w:rsidR="0070585C" w:rsidRPr="00CD13FE" w:rsidRDefault="0070585C" w:rsidP="00936F9F">
            <w:pPr>
              <w:jc w:val="center"/>
              <w:rPr>
                <w:bCs/>
                <w:szCs w:val="24"/>
              </w:rPr>
            </w:pPr>
            <w:r w:rsidRPr="00CD13FE">
              <w:rPr>
                <w:bCs/>
                <w:szCs w:val="24"/>
              </w:rPr>
              <w:t>0</w:t>
            </w:r>
          </w:p>
        </w:tc>
        <w:tc>
          <w:tcPr>
            <w:tcW w:w="708" w:type="dxa"/>
            <w:shd w:val="clear" w:color="auto" w:fill="auto"/>
            <w:tcMar>
              <w:left w:w="0" w:type="dxa"/>
              <w:right w:w="28" w:type="dxa"/>
            </w:tcMar>
            <w:vAlign w:val="center"/>
          </w:tcPr>
          <w:p w14:paraId="76F2B322" w14:textId="77777777" w:rsidR="0070585C" w:rsidRPr="00CD13FE" w:rsidRDefault="0070585C" w:rsidP="00936F9F">
            <w:pPr>
              <w:jc w:val="center"/>
              <w:rPr>
                <w:bCs/>
                <w:szCs w:val="24"/>
              </w:rPr>
            </w:pPr>
            <w:r w:rsidRPr="00CD13FE">
              <w:rPr>
                <w:bCs/>
                <w:szCs w:val="24"/>
              </w:rPr>
              <w:t>0</w:t>
            </w:r>
          </w:p>
        </w:tc>
      </w:tr>
      <w:tr w:rsidR="0070585C" w:rsidRPr="00CD13FE" w14:paraId="04AD2AB5" w14:textId="77777777" w:rsidTr="00936F9F">
        <w:tc>
          <w:tcPr>
            <w:tcW w:w="4111" w:type="dxa"/>
            <w:shd w:val="clear" w:color="auto" w:fill="auto"/>
            <w:tcMar>
              <w:left w:w="28" w:type="dxa"/>
              <w:right w:w="28" w:type="dxa"/>
            </w:tcMar>
            <w:vAlign w:val="center"/>
          </w:tcPr>
          <w:p w14:paraId="3E6DAE2E" w14:textId="77777777" w:rsidR="0070585C" w:rsidRPr="00CD13FE" w:rsidRDefault="0070585C" w:rsidP="00B8183F">
            <w:pPr>
              <w:rPr>
                <w:bCs/>
                <w:szCs w:val="24"/>
              </w:rPr>
            </w:pPr>
            <w:r w:rsidRPr="00CD13FE">
              <w:rPr>
                <w:bCs/>
                <w:szCs w:val="24"/>
              </w:rPr>
              <w:t>Příspěvek pro české školy v zahraničí</w:t>
            </w:r>
          </w:p>
        </w:tc>
        <w:tc>
          <w:tcPr>
            <w:tcW w:w="1417" w:type="dxa"/>
            <w:shd w:val="clear" w:color="auto" w:fill="auto"/>
            <w:tcMar>
              <w:left w:w="0" w:type="dxa"/>
              <w:right w:w="28" w:type="dxa"/>
            </w:tcMar>
            <w:vAlign w:val="center"/>
          </w:tcPr>
          <w:p w14:paraId="10BFF454" w14:textId="77777777" w:rsidR="0070585C" w:rsidRPr="00CD13FE" w:rsidRDefault="0070585C" w:rsidP="00936F9F">
            <w:pPr>
              <w:jc w:val="center"/>
              <w:rPr>
                <w:bCs/>
                <w:szCs w:val="24"/>
              </w:rPr>
            </w:pPr>
            <w:r w:rsidRPr="00CD13FE">
              <w:rPr>
                <w:bCs/>
                <w:szCs w:val="24"/>
              </w:rPr>
              <w:t>3 500 000</w:t>
            </w:r>
          </w:p>
        </w:tc>
        <w:tc>
          <w:tcPr>
            <w:tcW w:w="1418" w:type="dxa"/>
            <w:shd w:val="clear" w:color="auto" w:fill="auto"/>
            <w:tcMar>
              <w:left w:w="0" w:type="dxa"/>
              <w:right w:w="28" w:type="dxa"/>
            </w:tcMar>
            <w:vAlign w:val="center"/>
          </w:tcPr>
          <w:p w14:paraId="2F0CF749" w14:textId="77777777" w:rsidR="0070585C" w:rsidRPr="00CD13FE" w:rsidRDefault="0070585C" w:rsidP="00936F9F">
            <w:pPr>
              <w:jc w:val="center"/>
              <w:rPr>
                <w:bCs/>
                <w:szCs w:val="24"/>
              </w:rPr>
            </w:pPr>
            <w:r w:rsidRPr="00CD13FE">
              <w:rPr>
                <w:bCs/>
                <w:szCs w:val="24"/>
              </w:rPr>
              <w:t>0</w:t>
            </w:r>
          </w:p>
        </w:tc>
        <w:tc>
          <w:tcPr>
            <w:tcW w:w="1418" w:type="dxa"/>
            <w:shd w:val="clear" w:color="auto" w:fill="auto"/>
            <w:tcMar>
              <w:left w:w="0" w:type="dxa"/>
              <w:right w:w="28" w:type="dxa"/>
            </w:tcMar>
            <w:vAlign w:val="center"/>
          </w:tcPr>
          <w:p w14:paraId="1F776AE9" w14:textId="77777777" w:rsidR="0070585C" w:rsidRPr="00CD13FE" w:rsidRDefault="0070585C" w:rsidP="00936F9F">
            <w:pPr>
              <w:jc w:val="center"/>
              <w:rPr>
                <w:bCs/>
                <w:szCs w:val="24"/>
              </w:rPr>
            </w:pPr>
            <w:r w:rsidRPr="00CD13FE">
              <w:rPr>
                <w:bCs/>
                <w:szCs w:val="24"/>
              </w:rPr>
              <w:t>3 500 000</w:t>
            </w:r>
          </w:p>
        </w:tc>
        <w:tc>
          <w:tcPr>
            <w:tcW w:w="708" w:type="dxa"/>
            <w:shd w:val="clear" w:color="auto" w:fill="auto"/>
            <w:tcMar>
              <w:left w:w="0" w:type="dxa"/>
              <w:right w:w="28" w:type="dxa"/>
            </w:tcMar>
            <w:vAlign w:val="center"/>
          </w:tcPr>
          <w:p w14:paraId="434D39BF" w14:textId="77777777" w:rsidR="0070585C" w:rsidRPr="00CD13FE" w:rsidRDefault="0070585C" w:rsidP="00936F9F">
            <w:pPr>
              <w:jc w:val="center"/>
              <w:rPr>
                <w:bCs/>
                <w:szCs w:val="24"/>
              </w:rPr>
            </w:pPr>
            <w:r w:rsidRPr="00CD13FE">
              <w:rPr>
                <w:bCs/>
                <w:szCs w:val="24"/>
              </w:rPr>
              <w:t>0</w:t>
            </w:r>
          </w:p>
        </w:tc>
      </w:tr>
    </w:tbl>
    <w:p w14:paraId="024C1ED3" w14:textId="77777777" w:rsidR="0070585C" w:rsidRPr="00CD13FE" w:rsidRDefault="0070585C" w:rsidP="00B83EC6">
      <w:pPr>
        <w:pStyle w:val="Text"/>
        <w:rPr>
          <w:highlight w:val="yellow"/>
        </w:rPr>
      </w:pPr>
      <w:r w:rsidRPr="00CD13FE">
        <w:t>Prostředky na RP tvoří cca 3 % celkových rozpočtových zdrojů RgŠ ÚSC. Podrobněji je oblast RP popsána v samostatném materiálu.</w:t>
      </w:r>
    </w:p>
    <w:p w14:paraId="3D47398D" w14:textId="77777777" w:rsidR="0070585C" w:rsidRDefault="0070585C" w:rsidP="0043025F">
      <w:pPr>
        <w:pStyle w:val="Text"/>
      </w:pPr>
    </w:p>
    <w:p w14:paraId="7077B934" w14:textId="77777777" w:rsidR="0070585C" w:rsidRPr="00CD13FE" w:rsidRDefault="0070585C" w:rsidP="0070585C">
      <w:pPr>
        <w:pStyle w:val="Titulek"/>
        <w:keepNext/>
      </w:pPr>
      <w:bookmarkStart w:id="105" w:name="_Toc5965634"/>
      <w:r w:rsidRPr="00CD13FE">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13</w:t>
      </w:r>
      <w:r w:rsidR="005F53B0">
        <w:rPr>
          <w:noProof/>
        </w:rPr>
        <w:fldChar w:fldCharType="end"/>
      </w:r>
      <w:r w:rsidRPr="00CD13FE">
        <w:t>: Pro normativní financování RgŠ ÚSC v roce 2019 (včetně podpůrných opatření a rozpočtové rezervy) tedy zůstávají disponibilní rozpočtové zdroje ve výši:</w:t>
      </w:r>
      <w:bookmarkEnd w:id="105"/>
    </w:p>
    <w:tbl>
      <w:tblPr>
        <w:tblW w:w="911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4" w:type="dxa"/>
        </w:tblCellMar>
        <w:tblLook w:val="04A0" w:firstRow="1" w:lastRow="0" w:firstColumn="1" w:lastColumn="0" w:noHBand="0" w:noVBand="1"/>
      </w:tblPr>
      <w:tblGrid>
        <w:gridCol w:w="2574"/>
        <w:gridCol w:w="2575"/>
        <w:gridCol w:w="1984"/>
        <w:gridCol w:w="1985"/>
      </w:tblGrid>
      <w:tr w:rsidR="0070585C" w:rsidRPr="008B42CF" w14:paraId="13402CE4" w14:textId="77777777" w:rsidTr="00936F9F">
        <w:tc>
          <w:tcPr>
            <w:tcW w:w="2574" w:type="dxa"/>
            <w:shd w:val="clear" w:color="auto" w:fill="auto"/>
            <w:tcMar>
              <w:left w:w="85" w:type="dxa"/>
              <w:right w:w="85" w:type="dxa"/>
            </w:tcMar>
          </w:tcPr>
          <w:p w14:paraId="3C08EEB6" w14:textId="77777777" w:rsidR="0070585C" w:rsidRPr="002657EE" w:rsidRDefault="0070585C" w:rsidP="00936F9F">
            <w:pPr>
              <w:jc w:val="center"/>
              <w:rPr>
                <w:bCs/>
                <w:szCs w:val="24"/>
              </w:rPr>
            </w:pPr>
            <w:r w:rsidRPr="002657EE">
              <w:rPr>
                <w:bCs/>
                <w:szCs w:val="24"/>
              </w:rPr>
              <w:t>NIV celkem v Kč</w:t>
            </w:r>
          </w:p>
        </w:tc>
        <w:tc>
          <w:tcPr>
            <w:tcW w:w="2575" w:type="dxa"/>
            <w:shd w:val="clear" w:color="auto" w:fill="auto"/>
            <w:tcMar>
              <w:left w:w="85" w:type="dxa"/>
              <w:right w:w="85" w:type="dxa"/>
            </w:tcMar>
          </w:tcPr>
          <w:p w14:paraId="3DBA8878" w14:textId="77777777" w:rsidR="0070585C" w:rsidRPr="002657EE" w:rsidRDefault="0070585C" w:rsidP="00936F9F">
            <w:pPr>
              <w:jc w:val="center"/>
              <w:rPr>
                <w:bCs/>
                <w:szCs w:val="24"/>
              </w:rPr>
            </w:pPr>
            <w:r w:rsidRPr="002657EE">
              <w:rPr>
                <w:bCs/>
                <w:szCs w:val="24"/>
              </w:rPr>
              <w:t>MP vč. odvodů v Kč</w:t>
            </w:r>
          </w:p>
        </w:tc>
        <w:tc>
          <w:tcPr>
            <w:tcW w:w="1984" w:type="dxa"/>
            <w:shd w:val="clear" w:color="auto" w:fill="auto"/>
            <w:tcMar>
              <w:left w:w="85" w:type="dxa"/>
              <w:right w:w="85" w:type="dxa"/>
            </w:tcMar>
          </w:tcPr>
          <w:p w14:paraId="381240F5" w14:textId="77777777" w:rsidR="0070585C" w:rsidRPr="002657EE" w:rsidRDefault="0070585C" w:rsidP="00936F9F">
            <w:pPr>
              <w:jc w:val="center"/>
              <w:rPr>
                <w:bCs/>
                <w:szCs w:val="24"/>
              </w:rPr>
            </w:pPr>
            <w:r w:rsidRPr="002657EE">
              <w:rPr>
                <w:bCs/>
                <w:szCs w:val="24"/>
              </w:rPr>
              <w:t>ONIV v Kč</w:t>
            </w:r>
          </w:p>
        </w:tc>
        <w:tc>
          <w:tcPr>
            <w:tcW w:w="1985" w:type="dxa"/>
            <w:shd w:val="clear" w:color="auto" w:fill="auto"/>
            <w:tcMar>
              <w:left w:w="85" w:type="dxa"/>
              <w:right w:w="85" w:type="dxa"/>
            </w:tcMar>
          </w:tcPr>
          <w:p w14:paraId="2F52B6EB" w14:textId="77777777" w:rsidR="0070585C" w:rsidRPr="002657EE" w:rsidRDefault="0070585C" w:rsidP="00936F9F">
            <w:pPr>
              <w:jc w:val="center"/>
              <w:rPr>
                <w:bCs/>
                <w:szCs w:val="24"/>
              </w:rPr>
            </w:pPr>
            <w:r w:rsidRPr="002657EE">
              <w:rPr>
                <w:bCs/>
                <w:szCs w:val="24"/>
              </w:rPr>
              <w:t>Limit PZ</w:t>
            </w:r>
          </w:p>
        </w:tc>
      </w:tr>
      <w:tr w:rsidR="0070585C" w:rsidRPr="008B42CF" w14:paraId="5AC537E5" w14:textId="77777777" w:rsidTr="00936F9F">
        <w:tc>
          <w:tcPr>
            <w:tcW w:w="2574" w:type="dxa"/>
            <w:shd w:val="clear" w:color="auto" w:fill="auto"/>
            <w:tcMar>
              <w:right w:w="113" w:type="dxa"/>
            </w:tcMar>
          </w:tcPr>
          <w:p w14:paraId="2006E04D" w14:textId="77777777" w:rsidR="0070585C" w:rsidRPr="008B42CF" w:rsidRDefault="0070585C" w:rsidP="00936F9F">
            <w:pPr>
              <w:jc w:val="center"/>
              <w:rPr>
                <w:bCs/>
                <w:szCs w:val="24"/>
                <w:highlight w:val="yellow"/>
              </w:rPr>
            </w:pPr>
            <w:r w:rsidRPr="005D0C4A">
              <w:rPr>
                <w:bCs/>
                <w:szCs w:val="24"/>
              </w:rPr>
              <w:t>127 678 109 747</w:t>
            </w:r>
          </w:p>
        </w:tc>
        <w:tc>
          <w:tcPr>
            <w:tcW w:w="2575" w:type="dxa"/>
            <w:shd w:val="clear" w:color="auto" w:fill="auto"/>
            <w:tcMar>
              <w:right w:w="113" w:type="dxa"/>
            </w:tcMar>
          </w:tcPr>
          <w:p w14:paraId="42D7A9A9" w14:textId="77777777" w:rsidR="0070585C" w:rsidRPr="008B42CF" w:rsidRDefault="0070585C" w:rsidP="00936F9F">
            <w:pPr>
              <w:jc w:val="center"/>
              <w:rPr>
                <w:bCs/>
                <w:szCs w:val="24"/>
                <w:highlight w:val="yellow"/>
              </w:rPr>
            </w:pPr>
            <w:r w:rsidRPr="005D0C4A">
              <w:rPr>
                <w:bCs/>
                <w:szCs w:val="24"/>
              </w:rPr>
              <w:t>126 076 052 147</w:t>
            </w:r>
          </w:p>
        </w:tc>
        <w:tc>
          <w:tcPr>
            <w:tcW w:w="1984" w:type="dxa"/>
            <w:shd w:val="clear" w:color="auto" w:fill="auto"/>
            <w:tcMar>
              <w:right w:w="113" w:type="dxa"/>
            </w:tcMar>
          </w:tcPr>
          <w:p w14:paraId="6694A15E" w14:textId="77777777" w:rsidR="0070585C" w:rsidRPr="008B42CF" w:rsidRDefault="0070585C" w:rsidP="00936F9F">
            <w:pPr>
              <w:jc w:val="center"/>
              <w:rPr>
                <w:bCs/>
                <w:szCs w:val="24"/>
                <w:highlight w:val="yellow"/>
              </w:rPr>
            </w:pPr>
            <w:r w:rsidRPr="005D0C4A">
              <w:rPr>
                <w:bCs/>
                <w:szCs w:val="24"/>
              </w:rPr>
              <w:t>1 802 057 600</w:t>
            </w:r>
          </w:p>
        </w:tc>
        <w:tc>
          <w:tcPr>
            <w:tcW w:w="1985" w:type="dxa"/>
            <w:shd w:val="clear" w:color="auto" w:fill="auto"/>
            <w:tcMar>
              <w:right w:w="113" w:type="dxa"/>
            </w:tcMar>
          </w:tcPr>
          <w:p w14:paraId="6EFF7F58" w14:textId="77777777" w:rsidR="0070585C" w:rsidRPr="008B42CF" w:rsidRDefault="0070585C" w:rsidP="00936F9F">
            <w:pPr>
              <w:jc w:val="center"/>
              <w:rPr>
                <w:bCs/>
                <w:szCs w:val="24"/>
                <w:highlight w:val="yellow"/>
              </w:rPr>
            </w:pPr>
            <w:r w:rsidRPr="00631016">
              <w:rPr>
                <w:bCs/>
                <w:szCs w:val="24"/>
              </w:rPr>
              <w:t>23</w:t>
            </w:r>
            <w:r>
              <w:rPr>
                <w:bCs/>
                <w:szCs w:val="24"/>
              </w:rPr>
              <w:t>5</w:t>
            </w:r>
            <w:r w:rsidRPr="00631016">
              <w:rPr>
                <w:bCs/>
                <w:szCs w:val="24"/>
              </w:rPr>
              <w:t xml:space="preserve"> </w:t>
            </w:r>
            <w:r>
              <w:rPr>
                <w:bCs/>
                <w:szCs w:val="24"/>
              </w:rPr>
              <w:t>251</w:t>
            </w:r>
            <w:r w:rsidRPr="00631016">
              <w:rPr>
                <w:bCs/>
                <w:szCs w:val="24"/>
              </w:rPr>
              <w:t>,26</w:t>
            </w:r>
          </w:p>
        </w:tc>
      </w:tr>
    </w:tbl>
    <w:p w14:paraId="0F4D099F" w14:textId="77777777" w:rsidR="00A04DD8" w:rsidRDefault="00A04DD8" w:rsidP="0070585C">
      <w:pPr>
        <w:rPr>
          <w:b/>
          <w:highlight w:val="cyan"/>
          <w:u w:val="single"/>
        </w:rPr>
      </w:pPr>
    </w:p>
    <w:p w14:paraId="089F3188" w14:textId="77777777" w:rsidR="00F83DD6" w:rsidRDefault="00F83DD6" w:rsidP="0070585C">
      <w:pPr>
        <w:rPr>
          <w:b/>
          <w:highlight w:val="cyan"/>
          <w:u w:val="single"/>
        </w:rPr>
      </w:pPr>
    </w:p>
    <w:p w14:paraId="200A9B8C" w14:textId="77777777" w:rsidR="0070585C" w:rsidRPr="00CC39EA" w:rsidRDefault="0070585C" w:rsidP="0031482F">
      <w:pPr>
        <w:pStyle w:val="Nadpis4"/>
      </w:pPr>
      <w:bookmarkStart w:id="106" w:name="_Toc447780943"/>
      <w:bookmarkStart w:id="107" w:name="_Toc5968845"/>
      <w:r w:rsidRPr="00CC39EA">
        <w:t>Rozpočet RgŠ – ÚS</w:t>
      </w:r>
      <w:bookmarkEnd w:id="106"/>
      <w:r w:rsidRPr="00CC39EA">
        <w:t>C</w:t>
      </w:r>
      <w:bookmarkEnd w:id="107"/>
    </w:p>
    <w:p w14:paraId="51FDFF82" w14:textId="77777777" w:rsidR="0070585C" w:rsidRPr="00CC5B18" w:rsidRDefault="0070585C" w:rsidP="0070585C">
      <w:pPr>
        <w:rPr>
          <w:highlight w:val="cyan"/>
        </w:rPr>
      </w:pPr>
    </w:p>
    <w:p w14:paraId="183FFA2B" w14:textId="77777777" w:rsidR="0070585C" w:rsidRPr="00CC39EA" w:rsidRDefault="0070585C" w:rsidP="0070585C">
      <w:pPr>
        <w:keepNext/>
        <w:ind w:left="1008" w:hanging="1008"/>
        <w:outlineLvl w:val="4"/>
      </w:pPr>
      <w:r w:rsidRPr="00CC39EA">
        <w:t>C.II.1.2.1 Základní postupy financování</w:t>
      </w:r>
    </w:p>
    <w:p w14:paraId="696CF239" w14:textId="77777777" w:rsidR="0070585C" w:rsidRPr="00CC5B18" w:rsidRDefault="0070585C" w:rsidP="0070585C">
      <w:pPr>
        <w:rPr>
          <w:highlight w:val="cyan"/>
        </w:rPr>
      </w:pPr>
    </w:p>
    <w:p w14:paraId="1395742A" w14:textId="782CAB5A" w:rsidR="0070585C" w:rsidRPr="00CC39EA" w:rsidRDefault="0070585C" w:rsidP="0070585C">
      <w:pPr>
        <w:pStyle w:val="Text"/>
        <w:rPr>
          <w:i/>
        </w:rPr>
      </w:pPr>
      <w:r w:rsidRPr="00CC39EA">
        <w:t>Základní postup při financování krajského a obecního školství pro rok 201</w:t>
      </w:r>
      <w:r>
        <w:t>9</w:t>
      </w:r>
      <w:r w:rsidR="003666C0">
        <w:t xml:space="preserve"> vychází ze </w:t>
      </w:r>
      <w:r w:rsidRPr="00CC39EA">
        <w:t>školského zákona a ze zákona o státním rozpočtu na rok 201</w:t>
      </w:r>
      <w:r>
        <w:t>9</w:t>
      </w:r>
      <w:r w:rsidRPr="00CC39EA">
        <w:t>. Tento základní postup je založen důsledně na kombinaci výkonového a programového financování.</w:t>
      </w:r>
    </w:p>
    <w:p w14:paraId="059439EA" w14:textId="77777777" w:rsidR="0070585C" w:rsidRPr="00CC39EA" w:rsidRDefault="0070585C" w:rsidP="0070585C">
      <w:pPr>
        <w:spacing w:after="240"/>
        <w:rPr>
          <w:bCs/>
          <w:i/>
          <w:iCs/>
          <w:color w:val="000000"/>
          <w:u w:val="single"/>
        </w:rPr>
      </w:pPr>
      <w:r w:rsidRPr="00CC39EA">
        <w:rPr>
          <w:bCs/>
          <w:i/>
          <w:iCs/>
          <w:color w:val="000000"/>
          <w:u w:val="single"/>
        </w:rPr>
        <w:t>Systém výkonového financování prostřednictvím normativu</w:t>
      </w:r>
    </w:p>
    <w:p w14:paraId="227E6A20" w14:textId="77777777" w:rsidR="0070585C" w:rsidRPr="00D0481B" w:rsidRDefault="0070585C" w:rsidP="0070585C">
      <w:pPr>
        <w:pStyle w:val="Text"/>
      </w:pPr>
      <w:r w:rsidRPr="00D0481B">
        <w:t xml:space="preserve">Systém výkonového financování prostřednictvím RN v úrovni MŠMT – krajské úřady (dále jen „KÚ“) je specifikovaný v § 161 odst. 1 školského zákona. Ministerstvo rozepisuje </w:t>
      </w:r>
      <w:r w:rsidRPr="00D0481B">
        <w:lastRenderedPageBreak/>
        <w:t xml:space="preserve">na základě RN finanční prostředky vyčleněné ze státního rozpočtu na činnost škol a školských zařízení zřizovaných kraji, obcemi nebo svazky obcí. </w:t>
      </w:r>
    </w:p>
    <w:p w14:paraId="66BA163A" w14:textId="77777777" w:rsidR="0070585C" w:rsidRPr="00D0481B" w:rsidRDefault="0070585C" w:rsidP="0070585C">
      <w:pPr>
        <w:pStyle w:val="Text"/>
      </w:pPr>
      <w:r w:rsidRPr="00D0481B">
        <w:t>RN stanoví ministerstvo jako výši výdajů dle § 160 odst. 1 písm. c) a d) školského zákona (dále jen „přímých“ výdajů) připadajících na vzdělávání a školské služby pro jedno dítě, žáka nebo studenta příslušné věkové kategorie na kalendářní rok.</w:t>
      </w:r>
    </w:p>
    <w:p w14:paraId="0BF3AFA7" w14:textId="77777777" w:rsidR="0070585C" w:rsidRPr="00CC5B18" w:rsidRDefault="0070585C" w:rsidP="0070585C">
      <w:pPr>
        <w:rPr>
          <w:bCs/>
          <w:i/>
          <w:iCs/>
          <w:color w:val="000000"/>
          <w:highlight w:val="cyan"/>
          <w:u w:val="single"/>
        </w:rPr>
      </w:pPr>
    </w:p>
    <w:p w14:paraId="1EA64175" w14:textId="77777777" w:rsidR="0070585C" w:rsidRPr="00D0481B" w:rsidRDefault="0070585C" w:rsidP="0070585C">
      <w:pPr>
        <w:spacing w:after="240"/>
        <w:rPr>
          <w:bCs/>
          <w:i/>
          <w:iCs/>
          <w:color w:val="000000"/>
          <w:u w:val="single"/>
        </w:rPr>
      </w:pPr>
      <w:r w:rsidRPr="00D0481B">
        <w:rPr>
          <w:bCs/>
          <w:i/>
          <w:iCs/>
          <w:color w:val="000000"/>
          <w:u w:val="single"/>
        </w:rPr>
        <w:t>Systém financování prostřednictvím rozvojových programů</w:t>
      </w:r>
    </w:p>
    <w:p w14:paraId="6B29EA49" w14:textId="77777777" w:rsidR="0070585C" w:rsidRPr="002764E5" w:rsidRDefault="0070585C" w:rsidP="00B83EC6">
      <w:pPr>
        <w:pStyle w:val="Text"/>
      </w:pPr>
      <w:r w:rsidRPr="00D0481B">
        <w:t xml:space="preserve">Systém programového financování </w:t>
      </w:r>
      <w:r w:rsidRPr="002764E5">
        <w:t>prostřednictvím rozvojových programů v úrovni MŠMT – KÚ je specifikovaný v § 163 školského zákona. Základní vymezení rozvojových programů pro RgŠ na rok 2019 je uvedeno v kapitole C.II.1.4.</w:t>
      </w:r>
    </w:p>
    <w:p w14:paraId="5C7F5025" w14:textId="77777777" w:rsidR="009A7813" w:rsidRPr="00CC5B18" w:rsidRDefault="009A7813" w:rsidP="0070585C">
      <w:pPr>
        <w:rPr>
          <w:bCs/>
          <w:i/>
          <w:iCs/>
          <w:color w:val="000000"/>
          <w:highlight w:val="cyan"/>
          <w:u w:val="single"/>
        </w:rPr>
      </w:pPr>
    </w:p>
    <w:p w14:paraId="2AAFC5C5" w14:textId="77777777" w:rsidR="0070585C" w:rsidRPr="00D0481B" w:rsidRDefault="0070585C" w:rsidP="0070585C">
      <w:pPr>
        <w:spacing w:after="240"/>
        <w:rPr>
          <w:bCs/>
          <w:i/>
          <w:iCs/>
          <w:color w:val="000000"/>
          <w:u w:val="single"/>
        </w:rPr>
      </w:pPr>
      <w:r w:rsidRPr="00D0481B">
        <w:rPr>
          <w:bCs/>
          <w:i/>
          <w:iCs/>
          <w:color w:val="000000"/>
          <w:u w:val="single"/>
        </w:rPr>
        <w:t>Republikové normativy</w:t>
      </w:r>
    </w:p>
    <w:p w14:paraId="3442CF37" w14:textId="77777777" w:rsidR="0070585C" w:rsidRPr="00D0481B" w:rsidRDefault="0070585C" w:rsidP="0070585C">
      <w:pPr>
        <w:pStyle w:val="Text"/>
      </w:pPr>
      <w:r w:rsidRPr="00D0481B">
        <w:t>RN</w:t>
      </w:r>
      <w:r w:rsidRPr="00D0481B">
        <w:rPr>
          <w:b/>
        </w:rPr>
        <w:t xml:space="preserve"> </w:t>
      </w:r>
      <w:r w:rsidRPr="00D0481B">
        <w:t>podle § 161 školského zákona stanovuje ministerstvo jako výši výdajů připadajících na vzdělávání a školské služby pro jedno dítě, žáka nebo studenta příslušné věkové kategorie v oblasti předškolního, základního, středního a vyššího odborného vzdělávání ve školách a školských zařízeních zřizovaných kraji, obcemi a svazky obcí na kalendářní rok. Objemem výdajů se zde míní celková výše přímých neinvestičních výdajů poskytovaných ze státního rozpočtu, členěných na mzdové prostředky (dále jen „MP“) + odvody a na ONIV. Součástí RN je také vyjádření limitu počtu zaměstnanců připadajících na 1 000 dětí, žáků nebo studentů v dané věkové kategorii.</w:t>
      </w:r>
    </w:p>
    <w:p w14:paraId="021430C0" w14:textId="77777777" w:rsidR="0070585C" w:rsidRPr="00D0481B" w:rsidRDefault="0070585C" w:rsidP="0070585C">
      <w:pPr>
        <w:pStyle w:val="Text"/>
      </w:pPr>
      <w:r w:rsidRPr="00D0481B">
        <w:t>Do celkového objemu neinvestičních výdajů se vedle výdajů na vzdělávání v příslušných druzích škol (tj. v MŠ, ZŠ, a denní formě vzdělávání v SŠ, konzervatořích a VOŠ) zahrnují i výdaje na ostatní formy vzdělávání v SŠ, konzervatořích a VOŠ, výdaje na stravování, ubytování a na podporu vzdělávání dětí, žáků nebo studentů se speciálními vzdělávacími potřebami a nadaných, výdaje na zájmové vzdělávání, ostatní volnočasové aktivity, výdaje na poradenské služby atd.</w:t>
      </w:r>
    </w:p>
    <w:p w14:paraId="5B9ED8F7" w14:textId="1626D580" w:rsidR="0070585C" w:rsidRPr="00D0481B" w:rsidRDefault="0070585C" w:rsidP="0070585C">
      <w:pPr>
        <w:pStyle w:val="Text"/>
      </w:pPr>
      <w:r w:rsidRPr="00D0481B">
        <w:t>RN slouží pouze pro rozpis rozpočtu finančních prostředků státního rozpočtu</w:t>
      </w:r>
      <w:r w:rsidRPr="00D0481B">
        <w:br/>
        <w:t xml:space="preserve">do rozpočtů jednotlivých krajů. K rozpisu těchto rozpočtových zdrojů z rozpočtů krajů </w:t>
      </w:r>
      <w:r w:rsidRPr="00D0481B">
        <w:br/>
        <w:t>do rozpočtů jednotlivých právnických osob vykonávajících činnost škol a školských zařízení pak</w:t>
      </w:r>
      <w:r w:rsidRPr="00D0481B">
        <w:rPr>
          <w:color w:val="FF0000"/>
        </w:rPr>
        <w:t xml:space="preserve"> </w:t>
      </w:r>
      <w:r w:rsidRPr="00D0481B">
        <w:t>slouží krajské normativy (§ 161 odst. 2 školského zákona), jejichž stanovení je plně v přenesené působnosti výkonu státní správy krajských úřadů. Členění krajských normativů, včetně ukazatelů rozhodných pro jejich stanovení apod. stanoví vyhláška č. 492/2005 Sb., o krajských normativech, ve znění pozdějších předpisů. Výši normované finanční náročnosti podpůrných opatření stanoví vyhláška č. 27/2016 Sb.</w:t>
      </w:r>
    </w:p>
    <w:p w14:paraId="77F663CE" w14:textId="77777777" w:rsidR="0070585C" w:rsidRPr="00CC5B18" w:rsidRDefault="0070585C" w:rsidP="0070585C">
      <w:pPr>
        <w:pStyle w:val="Text"/>
        <w:rPr>
          <w:highlight w:val="cyan"/>
        </w:rPr>
      </w:pPr>
    </w:p>
    <w:p w14:paraId="425FD224" w14:textId="77777777" w:rsidR="0070585C" w:rsidRPr="00D0481B" w:rsidRDefault="0070585C" w:rsidP="0070585C">
      <w:pPr>
        <w:spacing w:after="60"/>
        <w:rPr>
          <w:u w:val="single"/>
        </w:rPr>
      </w:pPr>
      <w:r w:rsidRPr="00D0481B">
        <w:rPr>
          <w:u w:val="single"/>
        </w:rPr>
        <w:t>Základní východiska pro stanovení výše RN pro rok 2019</w:t>
      </w:r>
    </w:p>
    <w:p w14:paraId="710D961A" w14:textId="77777777" w:rsidR="0070585C" w:rsidRDefault="0070585C" w:rsidP="0070585C">
      <w:pPr>
        <w:tabs>
          <w:tab w:val="left" w:pos="540"/>
        </w:tabs>
        <w:rPr>
          <w:color w:val="000000"/>
          <w:szCs w:val="24"/>
          <w:highlight w:val="cyan"/>
        </w:rPr>
      </w:pPr>
    </w:p>
    <w:p w14:paraId="31445A48" w14:textId="77777777" w:rsidR="0070585C" w:rsidRPr="00D0481B" w:rsidRDefault="0070585C" w:rsidP="0070585C">
      <w:pPr>
        <w:tabs>
          <w:tab w:val="left" w:pos="540"/>
        </w:tabs>
        <w:rPr>
          <w:color w:val="000000"/>
          <w:szCs w:val="24"/>
        </w:rPr>
      </w:pPr>
      <w:r w:rsidRPr="00D0481B">
        <w:rPr>
          <w:color w:val="000000"/>
          <w:szCs w:val="24"/>
        </w:rPr>
        <w:t>Rozpočet RgŠ ÚSC pro rok 2019 oproti roku 2018 zabezpečuje:</w:t>
      </w:r>
    </w:p>
    <w:p w14:paraId="2648594B" w14:textId="77777777" w:rsidR="0070585C" w:rsidRPr="00D0481B" w:rsidRDefault="0070585C" w:rsidP="005B6E93">
      <w:pPr>
        <w:pStyle w:val="Odstavecseseznamem"/>
        <w:numPr>
          <w:ilvl w:val="0"/>
          <w:numId w:val="52"/>
        </w:numPr>
        <w:tabs>
          <w:tab w:val="left" w:pos="851"/>
        </w:tabs>
        <w:ind w:left="284" w:hanging="207"/>
        <w:rPr>
          <w:color w:val="000000"/>
          <w:spacing w:val="-2"/>
          <w:szCs w:val="24"/>
        </w:rPr>
      </w:pPr>
      <w:r w:rsidRPr="00D0481B">
        <w:rPr>
          <w:color w:val="000000"/>
          <w:spacing w:val="-2"/>
          <w:szCs w:val="24"/>
        </w:rPr>
        <w:t xml:space="preserve">plné pokrytí nárůstu počtu dětí, žáků, studentů ve školním roce 2018/2019 oproti roku 2017/2018, </w:t>
      </w:r>
    </w:p>
    <w:p w14:paraId="4096639E" w14:textId="77777777" w:rsidR="0070585C" w:rsidRPr="00D0481B" w:rsidRDefault="0070585C" w:rsidP="005B6E93">
      <w:pPr>
        <w:pStyle w:val="Odstavecseseznamem"/>
        <w:numPr>
          <w:ilvl w:val="0"/>
          <w:numId w:val="52"/>
        </w:numPr>
        <w:tabs>
          <w:tab w:val="left" w:pos="851"/>
        </w:tabs>
        <w:ind w:left="284" w:hanging="207"/>
        <w:rPr>
          <w:color w:val="000000"/>
          <w:spacing w:val="-2"/>
          <w:szCs w:val="24"/>
        </w:rPr>
      </w:pPr>
      <w:r w:rsidRPr="00D0481B">
        <w:rPr>
          <w:color w:val="000000"/>
          <w:spacing w:val="-2"/>
          <w:szCs w:val="24"/>
        </w:rPr>
        <w:t>zvýšení platů pedagogických pracovníků o 14 % od 1. 1. 2019, z toho zvýšení platových tarifů o 10 %,</w:t>
      </w:r>
    </w:p>
    <w:p w14:paraId="64788847" w14:textId="77777777" w:rsidR="0070585C" w:rsidRPr="00D0481B" w:rsidRDefault="0070585C" w:rsidP="005B6E93">
      <w:pPr>
        <w:pStyle w:val="Odstavecseseznamem"/>
        <w:numPr>
          <w:ilvl w:val="0"/>
          <w:numId w:val="52"/>
        </w:numPr>
        <w:tabs>
          <w:tab w:val="left" w:pos="851"/>
        </w:tabs>
        <w:ind w:left="284" w:hanging="207"/>
        <w:rPr>
          <w:color w:val="000000"/>
          <w:spacing w:val="-2"/>
          <w:szCs w:val="24"/>
        </w:rPr>
      </w:pPr>
      <w:r w:rsidRPr="00D0481B">
        <w:rPr>
          <w:color w:val="000000"/>
          <w:spacing w:val="-2"/>
          <w:szCs w:val="24"/>
        </w:rPr>
        <w:t>zvýšení platů pro nepedagogické zaměstnance o 10 % od 1. 1. 2019, z toho zvýšení platových tarifů o 5 %,</w:t>
      </w:r>
    </w:p>
    <w:p w14:paraId="7F10EA80" w14:textId="77777777" w:rsidR="0070585C" w:rsidRPr="00D0481B" w:rsidRDefault="0070585C" w:rsidP="005B6E93">
      <w:pPr>
        <w:pStyle w:val="Odstavecseseznamem"/>
        <w:numPr>
          <w:ilvl w:val="0"/>
          <w:numId w:val="52"/>
        </w:numPr>
        <w:tabs>
          <w:tab w:val="left" w:pos="851"/>
        </w:tabs>
        <w:ind w:left="284" w:hanging="207"/>
        <w:rPr>
          <w:color w:val="000000"/>
          <w:spacing w:val="-2"/>
          <w:szCs w:val="24"/>
        </w:rPr>
      </w:pPr>
      <w:r w:rsidRPr="00D0481B">
        <w:rPr>
          <w:color w:val="000000"/>
          <w:spacing w:val="-2"/>
          <w:szCs w:val="24"/>
        </w:rPr>
        <w:t>zvýšení finančních prostředků pro školy a třídy zřízené podle § 16 odst. 9 školského zákona, a to jak v oblasti mzdových prostředků, tak i v oblasti ostatních neinvestičních výdajů.</w:t>
      </w:r>
    </w:p>
    <w:p w14:paraId="4701211E" w14:textId="77777777" w:rsidR="0070585C" w:rsidRDefault="0070585C" w:rsidP="0070585C">
      <w:pPr>
        <w:rPr>
          <w:color w:val="000000"/>
          <w:szCs w:val="24"/>
          <w:highlight w:val="cyan"/>
        </w:rPr>
      </w:pPr>
    </w:p>
    <w:p w14:paraId="1160560A" w14:textId="77777777" w:rsidR="0070585C" w:rsidRPr="00D0481B" w:rsidRDefault="0070585C" w:rsidP="0070585C">
      <w:pPr>
        <w:rPr>
          <w:color w:val="000000"/>
          <w:szCs w:val="24"/>
        </w:rPr>
      </w:pPr>
      <w:r w:rsidRPr="00D0481B">
        <w:rPr>
          <w:color w:val="000000"/>
          <w:szCs w:val="24"/>
        </w:rPr>
        <w:lastRenderedPageBreak/>
        <w:t>Jednotlivé vlivy jsou podrobněji popsány vždy u příslušného kroku konstrukce RN roku 2019. Výchozí základnou pro tvorbu RN roku 2019 jsou RN roku 2018.</w:t>
      </w:r>
    </w:p>
    <w:p w14:paraId="37D184D1" w14:textId="77777777" w:rsidR="0070585C" w:rsidRPr="00D0481B" w:rsidRDefault="0070585C" w:rsidP="0070585C">
      <w:pPr>
        <w:rPr>
          <w:color w:val="000000"/>
          <w:szCs w:val="24"/>
        </w:rPr>
      </w:pPr>
    </w:p>
    <w:p w14:paraId="7BE10ED4" w14:textId="77777777" w:rsidR="0070585C" w:rsidRPr="00D0481B" w:rsidRDefault="0070585C" w:rsidP="0031482F">
      <w:pPr>
        <w:pStyle w:val="Nadpis4"/>
      </w:pPr>
      <w:bookmarkStart w:id="108" w:name="_Toc5968846"/>
      <w:r w:rsidRPr="00D0481B">
        <w:t>Věkové kategorie pro jednotlivé RN 2019:</w:t>
      </w:r>
      <w:bookmarkEnd w:id="108"/>
    </w:p>
    <w:p w14:paraId="0402D11B" w14:textId="77777777" w:rsidR="0070585C" w:rsidRPr="00D0481B" w:rsidRDefault="0070585C" w:rsidP="0070585C"/>
    <w:p w14:paraId="7B1CB679" w14:textId="77777777" w:rsidR="0070585C" w:rsidRPr="00D0481B" w:rsidRDefault="0070585C" w:rsidP="0070585C">
      <w:pPr>
        <w:pStyle w:val="Text"/>
      </w:pPr>
      <w:r w:rsidRPr="00D0481B">
        <w:t>Stejně jako v předchozích letech se stanovuje pět základních kategorií podle poskytovaného vzdělávání:</w:t>
      </w:r>
    </w:p>
    <w:p w14:paraId="17912C9B" w14:textId="77777777" w:rsidR="0070585C" w:rsidRPr="00D0481B" w:rsidRDefault="0070585C" w:rsidP="0070585C">
      <w:pPr>
        <w:tabs>
          <w:tab w:val="left" w:pos="284"/>
        </w:tabs>
      </w:pPr>
      <w:r w:rsidRPr="00D0481B">
        <w:t>1.</w:t>
      </w:r>
      <w:r w:rsidRPr="00D0481B">
        <w:tab/>
        <w:t xml:space="preserve">dítě v předškolním vzdělávání (tzn. kategorie 3–5 let), </w:t>
      </w:r>
    </w:p>
    <w:p w14:paraId="3768F879" w14:textId="77777777" w:rsidR="0070585C" w:rsidRPr="00D0481B" w:rsidRDefault="0070585C" w:rsidP="0070585C">
      <w:pPr>
        <w:tabs>
          <w:tab w:val="left" w:pos="284"/>
        </w:tabs>
      </w:pPr>
      <w:r w:rsidRPr="00D0481B">
        <w:t>2.</w:t>
      </w:r>
      <w:r w:rsidRPr="00D0481B">
        <w:tab/>
        <w:t xml:space="preserve">žák plnící povinnou školní docházku (tzn. kategorie 6–14 let), </w:t>
      </w:r>
    </w:p>
    <w:p w14:paraId="5110FC58" w14:textId="77777777" w:rsidR="0070585C" w:rsidRPr="00D0481B" w:rsidRDefault="0070585C" w:rsidP="0070585C">
      <w:pPr>
        <w:tabs>
          <w:tab w:val="left" w:pos="284"/>
        </w:tabs>
        <w:ind w:left="284" w:hanging="284"/>
      </w:pPr>
      <w:r w:rsidRPr="00D0481B">
        <w:t>3.</w:t>
      </w:r>
      <w:r w:rsidRPr="00D0481B">
        <w:tab/>
        <w:t xml:space="preserve">žák v denní formě středního vzdělávání s výjimkou žáka plnícího povinnou školní docházku; vč. žáků nástavbového studia v denní formě vzdělávání – žáci nástavbového studia jsou zahrnuti do této kategorie od roku 2009 (tzn. kategorie 15–18 let), </w:t>
      </w:r>
    </w:p>
    <w:p w14:paraId="13AD9343" w14:textId="77777777" w:rsidR="0070585C" w:rsidRPr="00D0481B" w:rsidRDefault="0070585C" w:rsidP="0070585C">
      <w:pPr>
        <w:tabs>
          <w:tab w:val="left" w:pos="284"/>
        </w:tabs>
      </w:pPr>
      <w:r w:rsidRPr="00D0481B">
        <w:t>4.</w:t>
      </w:r>
      <w:r w:rsidRPr="00D0481B">
        <w:tab/>
        <w:t>student v denní formě vyššího odborného vzdělávání (tzn. kategorie 19–21 let),</w:t>
      </w:r>
    </w:p>
    <w:p w14:paraId="04F73C46" w14:textId="77777777" w:rsidR="0070585C" w:rsidRDefault="0070585C" w:rsidP="0070585C">
      <w:pPr>
        <w:tabs>
          <w:tab w:val="left" w:pos="284"/>
        </w:tabs>
        <w:ind w:left="284" w:hanging="284"/>
      </w:pPr>
      <w:r w:rsidRPr="00D0481B">
        <w:t>5.</w:t>
      </w:r>
      <w:r w:rsidRPr="00D0481B">
        <w:tab/>
        <w:t>počet lůžek v krajských zařízeních ústavní výchovy (dále jen „KZÚV“) pro děti a mládež (tzn. kategorie 3–18 let v KZÚV)</w:t>
      </w:r>
      <w:r w:rsidRPr="00D0481B">
        <w:rPr>
          <w:rStyle w:val="Znakapoznpodarou"/>
        </w:rPr>
        <w:footnoteReference w:id="16"/>
      </w:r>
      <w:r w:rsidRPr="00D0481B">
        <w:t>.</w:t>
      </w:r>
    </w:p>
    <w:p w14:paraId="3C5E1FB2" w14:textId="77777777" w:rsidR="00053D22" w:rsidRPr="00D0481B" w:rsidRDefault="00053D22" w:rsidP="0070585C">
      <w:pPr>
        <w:tabs>
          <w:tab w:val="left" w:pos="284"/>
        </w:tabs>
        <w:ind w:left="284" w:hanging="284"/>
      </w:pPr>
    </w:p>
    <w:p w14:paraId="131539C1" w14:textId="77777777" w:rsidR="0070585C" w:rsidRPr="00D0481B" w:rsidRDefault="0070585C" w:rsidP="0070585C">
      <w:pPr>
        <w:rPr>
          <w:color w:val="000000"/>
          <w:szCs w:val="24"/>
        </w:rPr>
      </w:pPr>
      <w:r w:rsidRPr="00D0481B">
        <w:rPr>
          <w:color w:val="000000"/>
          <w:szCs w:val="24"/>
        </w:rPr>
        <w:t>Výchozí základnou pro tvorbu RN roku 201</w:t>
      </w:r>
      <w:r>
        <w:rPr>
          <w:color w:val="000000"/>
          <w:szCs w:val="24"/>
        </w:rPr>
        <w:t>9</w:t>
      </w:r>
      <w:r w:rsidRPr="00D0481B">
        <w:rPr>
          <w:color w:val="000000"/>
          <w:szCs w:val="24"/>
        </w:rPr>
        <w:t xml:space="preserve"> jsou RN roku 201</w:t>
      </w:r>
      <w:r>
        <w:rPr>
          <w:color w:val="000000"/>
          <w:szCs w:val="24"/>
        </w:rPr>
        <w:t>8</w:t>
      </w:r>
      <w:r w:rsidRPr="00D0481B">
        <w:rPr>
          <w:color w:val="000000"/>
          <w:szCs w:val="24"/>
        </w:rPr>
        <w:t>.</w:t>
      </w:r>
    </w:p>
    <w:p w14:paraId="30554B26" w14:textId="77777777" w:rsidR="0070585C" w:rsidRPr="00CC5B18" w:rsidRDefault="0070585C" w:rsidP="0070585C">
      <w:pPr>
        <w:tabs>
          <w:tab w:val="left" w:pos="284"/>
        </w:tabs>
        <w:rPr>
          <w:highlight w:val="cyan"/>
        </w:rPr>
      </w:pPr>
    </w:p>
    <w:p w14:paraId="5330C6D2" w14:textId="77777777" w:rsidR="0070585C" w:rsidRDefault="0070585C" w:rsidP="0070585C">
      <w:pPr>
        <w:pStyle w:val="Textpsmene"/>
        <w:numPr>
          <w:ilvl w:val="0"/>
          <w:numId w:val="0"/>
        </w:numPr>
        <w:rPr>
          <w:b/>
          <w:color w:val="000000"/>
          <w:szCs w:val="24"/>
        </w:rPr>
      </w:pPr>
      <w:r w:rsidRPr="00D0481B">
        <w:rPr>
          <w:b/>
          <w:color w:val="000000"/>
          <w:szCs w:val="24"/>
        </w:rPr>
        <w:t>Republikové normativy 2018:</w:t>
      </w:r>
    </w:p>
    <w:tbl>
      <w:tblPr>
        <w:tblW w:w="8789" w:type="dxa"/>
        <w:tblInd w:w="70" w:type="dxa"/>
        <w:tblLayout w:type="fixed"/>
        <w:tblCellMar>
          <w:left w:w="70" w:type="dxa"/>
          <w:right w:w="70" w:type="dxa"/>
        </w:tblCellMar>
        <w:tblLook w:val="04A0" w:firstRow="1" w:lastRow="0" w:firstColumn="1" w:lastColumn="0" w:noHBand="0" w:noVBand="1"/>
      </w:tblPr>
      <w:tblGrid>
        <w:gridCol w:w="1276"/>
        <w:gridCol w:w="1134"/>
        <w:gridCol w:w="1276"/>
        <w:gridCol w:w="1417"/>
        <w:gridCol w:w="1276"/>
        <w:gridCol w:w="1134"/>
        <w:gridCol w:w="1276"/>
      </w:tblGrid>
      <w:tr w:rsidR="0070585C" w:rsidRPr="00D0481B" w14:paraId="1BCB4A2A" w14:textId="77777777" w:rsidTr="00F83DD6">
        <w:trPr>
          <w:trHeight w:val="112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485436" w14:textId="77777777" w:rsidR="0070585C" w:rsidRPr="00D0481B" w:rsidRDefault="0070585C" w:rsidP="00936F9F">
            <w:pPr>
              <w:ind w:left="709" w:hanging="709"/>
              <w:jc w:val="center"/>
              <w:rPr>
                <w:b/>
                <w:bCs/>
                <w:color w:val="000000"/>
                <w:szCs w:val="24"/>
              </w:rPr>
            </w:pPr>
            <w:r w:rsidRPr="00D0481B">
              <w:rPr>
                <w:b/>
                <w:bCs/>
                <w:color w:val="000000"/>
                <w:szCs w:val="24"/>
              </w:rPr>
              <w:t xml:space="preserve">Věková </w:t>
            </w:r>
          </w:p>
          <w:p w14:paraId="1ED36101" w14:textId="77777777" w:rsidR="0070585C" w:rsidRPr="00D0481B" w:rsidRDefault="0070585C" w:rsidP="00936F9F">
            <w:pPr>
              <w:ind w:left="709" w:hanging="709"/>
              <w:jc w:val="center"/>
              <w:rPr>
                <w:b/>
                <w:bCs/>
                <w:color w:val="000000"/>
                <w:szCs w:val="24"/>
              </w:rPr>
            </w:pPr>
            <w:r w:rsidRPr="00D0481B">
              <w:rPr>
                <w:b/>
                <w:bCs/>
                <w:color w:val="000000"/>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3D1E7C" w14:textId="77777777" w:rsidR="0070585C" w:rsidRPr="00D0481B" w:rsidRDefault="0070585C" w:rsidP="00936F9F">
            <w:pPr>
              <w:ind w:left="709" w:hanging="709"/>
              <w:jc w:val="center"/>
              <w:rPr>
                <w:b/>
                <w:bCs/>
                <w:color w:val="000000"/>
                <w:szCs w:val="24"/>
              </w:rPr>
            </w:pPr>
            <w:r w:rsidRPr="00D0481B">
              <w:rPr>
                <w:b/>
                <w:bCs/>
                <w:color w:val="000000"/>
                <w:szCs w:val="24"/>
              </w:rPr>
              <w:t>NIV</w:t>
            </w:r>
          </w:p>
          <w:p w14:paraId="79C73A95" w14:textId="77777777" w:rsidR="0070585C" w:rsidRPr="00D0481B" w:rsidRDefault="0070585C" w:rsidP="00936F9F">
            <w:pPr>
              <w:ind w:left="709" w:hanging="709"/>
              <w:jc w:val="center"/>
              <w:rPr>
                <w:b/>
                <w:bCs/>
                <w:color w:val="000000"/>
                <w:szCs w:val="24"/>
              </w:rPr>
            </w:pPr>
            <w:r w:rsidRPr="00D0481B">
              <w:rPr>
                <w:b/>
                <w:bCs/>
                <w:color w:val="000000"/>
                <w:szCs w:val="24"/>
              </w:rPr>
              <w:t>celkem</w:t>
            </w:r>
          </w:p>
          <w:p w14:paraId="6B1F6787" w14:textId="77777777" w:rsidR="0070585C" w:rsidRPr="00D0481B" w:rsidRDefault="0070585C" w:rsidP="00936F9F">
            <w:pPr>
              <w:ind w:left="709" w:hanging="709"/>
              <w:jc w:val="center"/>
              <w:rPr>
                <w:b/>
                <w:bCs/>
                <w:color w:val="000000"/>
                <w:szCs w:val="24"/>
              </w:rPr>
            </w:pPr>
            <w:r w:rsidRPr="00D0481B">
              <w:rPr>
                <w:b/>
                <w:bCs/>
                <w:color w:val="000000"/>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D39A8F" w14:textId="77777777" w:rsidR="0070585C" w:rsidRPr="00D0481B" w:rsidRDefault="0070585C" w:rsidP="00936F9F">
            <w:pPr>
              <w:ind w:left="709" w:hanging="709"/>
              <w:jc w:val="center"/>
              <w:rPr>
                <w:b/>
                <w:bCs/>
                <w:color w:val="000000"/>
                <w:szCs w:val="24"/>
              </w:rPr>
            </w:pPr>
            <w:r w:rsidRPr="00D0481B">
              <w:rPr>
                <w:b/>
                <w:bCs/>
                <w:color w:val="000000"/>
                <w:szCs w:val="24"/>
              </w:rPr>
              <w:t>MP</w:t>
            </w:r>
          </w:p>
          <w:p w14:paraId="06DD24D0" w14:textId="77777777" w:rsidR="0070585C" w:rsidRPr="00D0481B" w:rsidRDefault="0070585C" w:rsidP="00936F9F">
            <w:pPr>
              <w:ind w:left="709" w:hanging="709"/>
              <w:jc w:val="center"/>
              <w:rPr>
                <w:b/>
                <w:bCs/>
                <w:color w:val="000000"/>
                <w:szCs w:val="24"/>
              </w:rPr>
            </w:pPr>
            <w:r w:rsidRPr="00D0481B">
              <w:rPr>
                <w:b/>
                <w:bCs/>
                <w:color w:val="000000"/>
                <w:szCs w:val="24"/>
              </w:rPr>
              <w:t>celkem</w:t>
            </w:r>
          </w:p>
          <w:p w14:paraId="6CD9F043" w14:textId="77777777" w:rsidR="0070585C" w:rsidRPr="00D0481B" w:rsidRDefault="0070585C" w:rsidP="00936F9F">
            <w:pPr>
              <w:ind w:left="709" w:hanging="709"/>
              <w:jc w:val="center"/>
              <w:rPr>
                <w:b/>
                <w:bCs/>
                <w:color w:val="000000"/>
                <w:szCs w:val="24"/>
              </w:rPr>
            </w:pPr>
            <w:r w:rsidRPr="00D0481B">
              <w:rPr>
                <w:b/>
                <w:bCs/>
                <w:color w:val="000000"/>
                <w:szCs w:val="24"/>
              </w:rPr>
              <w:t>vč. odvodů</w:t>
            </w:r>
          </w:p>
          <w:p w14:paraId="7FE33D16" w14:textId="77777777" w:rsidR="0070585C" w:rsidRPr="00D0481B" w:rsidRDefault="0070585C" w:rsidP="00936F9F">
            <w:pPr>
              <w:ind w:left="709" w:hanging="709"/>
              <w:jc w:val="center"/>
              <w:rPr>
                <w:b/>
                <w:bCs/>
                <w:color w:val="000000"/>
                <w:szCs w:val="24"/>
              </w:rPr>
            </w:pPr>
            <w:r w:rsidRPr="00D0481B">
              <w:rPr>
                <w:b/>
                <w:bCs/>
                <w:color w:val="000000"/>
                <w:szCs w:val="24"/>
              </w:rPr>
              <w:t>Kč/žáka</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BAB73D8" w14:textId="77777777" w:rsidR="0070585C" w:rsidRPr="00D0481B" w:rsidRDefault="0070585C" w:rsidP="00936F9F">
            <w:pPr>
              <w:ind w:left="709" w:hanging="709"/>
              <w:jc w:val="center"/>
              <w:rPr>
                <w:b/>
                <w:bCs/>
                <w:color w:val="000000"/>
                <w:szCs w:val="24"/>
              </w:rPr>
            </w:pPr>
            <w:r w:rsidRPr="00D0481B">
              <w:rPr>
                <w:b/>
                <w:bCs/>
                <w:color w:val="000000"/>
                <w:szCs w:val="24"/>
              </w:rPr>
              <w:t>MPP</w:t>
            </w:r>
          </w:p>
          <w:p w14:paraId="0B88133E" w14:textId="77777777" w:rsidR="0070585C" w:rsidRPr="00D0481B" w:rsidRDefault="0070585C" w:rsidP="00936F9F">
            <w:pPr>
              <w:ind w:left="709" w:hanging="709"/>
              <w:jc w:val="center"/>
              <w:rPr>
                <w:b/>
                <w:bCs/>
                <w:color w:val="000000"/>
                <w:szCs w:val="24"/>
              </w:rPr>
            </w:pPr>
            <w:r w:rsidRPr="00D0481B">
              <w:rPr>
                <w:b/>
                <w:bCs/>
                <w:color w:val="000000"/>
                <w:szCs w:val="24"/>
              </w:rPr>
              <w:t>celkem</w:t>
            </w:r>
          </w:p>
          <w:p w14:paraId="7E56E8F8" w14:textId="77777777" w:rsidR="0070585C" w:rsidRPr="00D0481B" w:rsidRDefault="0070585C" w:rsidP="00936F9F">
            <w:pPr>
              <w:ind w:left="709" w:hanging="709"/>
              <w:jc w:val="center"/>
              <w:rPr>
                <w:b/>
                <w:bCs/>
                <w:color w:val="000000"/>
                <w:szCs w:val="24"/>
              </w:rPr>
            </w:pPr>
            <w:r w:rsidRPr="00D0481B">
              <w:rPr>
                <w:b/>
                <w:bCs/>
                <w:color w:val="000000"/>
                <w:szCs w:val="24"/>
              </w:rPr>
              <w:t>vč. odvodů</w:t>
            </w:r>
          </w:p>
          <w:p w14:paraId="67345BD1" w14:textId="77777777" w:rsidR="0070585C" w:rsidRPr="00D0481B" w:rsidRDefault="0070585C" w:rsidP="00936F9F">
            <w:pPr>
              <w:ind w:left="709" w:hanging="709"/>
              <w:jc w:val="center"/>
              <w:rPr>
                <w:b/>
                <w:bCs/>
                <w:color w:val="000000"/>
                <w:szCs w:val="24"/>
              </w:rPr>
            </w:pPr>
            <w:r w:rsidRPr="00D0481B">
              <w:rPr>
                <w:b/>
                <w:bCs/>
                <w:color w:val="000000"/>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5EB34627" w14:textId="77777777" w:rsidR="0070585C" w:rsidRPr="00D0481B" w:rsidRDefault="0070585C" w:rsidP="00936F9F">
            <w:pPr>
              <w:ind w:left="709" w:hanging="709"/>
              <w:jc w:val="center"/>
              <w:rPr>
                <w:b/>
                <w:bCs/>
                <w:color w:val="000000"/>
                <w:szCs w:val="24"/>
              </w:rPr>
            </w:pPr>
            <w:r w:rsidRPr="00D0481B">
              <w:rPr>
                <w:b/>
                <w:bCs/>
                <w:color w:val="000000"/>
                <w:szCs w:val="24"/>
              </w:rPr>
              <w:t>MPN</w:t>
            </w:r>
          </w:p>
          <w:p w14:paraId="1E972F38" w14:textId="77777777" w:rsidR="0070585C" w:rsidRPr="00D0481B" w:rsidRDefault="0070585C" w:rsidP="00936F9F">
            <w:pPr>
              <w:ind w:left="709" w:hanging="709"/>
              <w:jc w:val="center"/>
              <w:rPr>
                <w:b/>
                <w:bCs/>
                <w:color w:val="000000"/>
                <w:szCs w:val="24"/>
              </w:rPr>
            </w:pPr>
            <w:r w:rsidRPr="00D0481B">
              <w:rPr>
                <w:b/>
                <w:bCs/>
                <w:color w:val="000000"/>
                <w:szCs w:val="24"/>
              </w:rPr>
              <w:t>celkem</w:t>
            </w:r>
          </w:p>
          <w:p w14:paraId="28FB4426" w14:textId="77777777" w:rsidR="0070585C" w:rsidRPr="00D0481B" w:rsidRDefault="0070585C" w:rsidP="00936F9F">
            <w:pPr>
              <w:ind w:left="709" w:hanging="709"/>
              <w:jc w:val="center"/>
              <w:rPr>
                <w:b/>
                <w:bCs/>
                <w:color w:val="000000"/>
                <w:szCs w:val="24"/>
              </w:rPr>
            </w:pPr>
            <w:r w:rsidRPr="00D0481B">
              <w:rPr>
                <w:b/>
                <w:bCs/>
                <w:color w:val="000000"/>
                <w:szCs w:val="24"/>
              </w:rPr>
              <w:t>vč. odvodů</w:t>
            </w:r>
          </w:p>
          <w:p w14:paraId="4A722040" w14:textId="77777777" w:rsidR="0070585C" w:rsidRPr="00D0481B" w:rsidRDefault="0070585C" w:rsidP="00936F9F">
            <w:pPr>
              <w:ind w:left="709" w:hanging="709"/>
              <w:jc w:val="center"/>
              <w:rPr>
                <w:b/>
                <w:bCs/>
                <w:color w:val="000000"/>
                <w:szCs w:val="24"/>
              </w:rPr>
            </w:pPr>
            <w:r w:rsidRPr="00D0481B">
              <w:rPr>
                <w:b/>
                <w:bCs/>
                <w:color w:val="000000"/>
                <w:szCs w:val="24"/>
              </w:rPr>
              <w:t>Kč/žáka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4C04CE" w14:textId="77777777" w:rsidR="0070585C" w:rsidRPr="00D0481B" w:rsidRDefault="0070585C" w:rsidP="00936F9F">
            <w:pPr>
              <w:ind w:left="709" w:hanging="709"/>
              <w:jc w:val="center"/>
              <w:rPr>
                <w:b/>
                <w:bCs/>
                <w:color w:val="000000"/>
                <w:szCs w:val="24"/>
              </w:rPr>
            </w:pPr>
            <w:r w:rsidRPr="00D0481B">
              <w:rPr>
                <w:b/>
                <w:bCs/>
                <w:color w:val="000000"/>
                <w:szCs w:val="24"/>
              </w:rPr>
              <w:t> </w:t>
            </w:r>
          </w:p>
          <w:p w14:paraId="5A61063C" w14:textId="77777777" w:rsidR="0070585C" w:rsidRPr="00D0481B" w:rsidRDefault="0070585C" w:rsidP="00936F9F">
            <w:pPr>
              <w:ind w:left="709" w:hanging="709"/>
              <w:jc w:val="center"/>
              <w:rPr>
                <w:b/>
                <w:bCs/>
                <w:color w:val="000000"/>
                <w:szCs w:val="24"/>
              </w:rPr>
            </w:pPr>
            <w:r w:rsidRPr="00D0481B">
              <w:rPr>
                <w:b/>
                <w:bCs/>
                <w:color w:val="000000"/>
                <w:szCs w:val="24"/>
              </w:rPr>
              <w:t>ONIV</w:t>
            </w:r>
          </w:p>
          <w:p w14:paraId="57391CDD" w14:textId="77777777" w:rsidR="0070585C" w:rsidRPr="00D0481B" w:rsidRDefault="0070585C" w:rsidP="00936F9F">
            <w:pPr>
              <w:ind w:left="709" w:hanging="709"/>
              <w:jc w:val="center"/>
              <w:rPr>
                <w:b/>
                <w:bCs/>
                <w:color w:val="000000"/>
                <w:szCs w:val="24"/>
              </w:rPr>
            </w:pPr>
            <w:r w:rsidRPr="00D0481B">
              <w:rPr>
                <w:b/>
                <w:bCs/>
                <w:color w:val="000000"/>
                <w:szCs w:val="24"/>
              </w:rPr>
              <w:t>celkem</w:t>
            </w:r>
          </w:p>
          <w:p w14:paraId="451527CC" w14:textId="77777777" w:rsidR="0070585C" w:rsidRPr="00D0481B" w:rsidRDefault="0070585C" w:rsidP="00936F9F">
            <w:pPr>
              <w:ind w:left="709" w:hanging="709"/>
              <w:jc w:val="center"/>
              <w:rPr>
                <w:b/>
                <w:bCs/>
                <w:color w:val="000000"/>
                <w:szCs w:val="24"/>
              </w:rPr>
            </w:pPr>
            <w:r w:rsidRPr="00D0481B">
              <w:rPr>
                <w:b/>
                <w:bCs/>
                <w:color w:val="000000"/>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48AF5" w14:textId="77777777" w:rsidR="0070585C" w:rsidRPr="00D0481B" w:rsidRDefault="0070585C" w:rsidP="00936F9F">
            <w:pPr>
              <w:ind w:left="709" w:hanging="709"/>
              <w:jc w:val="center"/>
              <w:rPr>
                <w:b/>
                <w:bCs/>
                <w:color w:val="000000"/>
                <w:szCs w:val="24"/>
              </w:rPr>
            </w:pPr>
            <w:r w:rsidRPr="00D0481B">
              <w:rPr>
                <w:b/>
                <w:bCs/>
                <w:color w:val="000000"/>
                <w:szCs w:val="24"/>
              </w:rPr>
              <w:t>Zam.</w:t>
            </w:r>
          </w:p>
          <w:p w14:paraId="5E73CEA4" w14:textId="77777777" w:rsidR="0070585C" w:rsidRPr="00D0481B" w:rsidRDefault="0070585C" w:rsidP="00936F9F">
            <w:pPr>
              <w:ind w:left="709" w:hanging="709"/>
              <w:jc w:val="center"/>
              <w:rPr>
                <w:b/>
                <w:bCs/>
                <w:color w:val="000000"/>
                <w:szCs w:val="24"/>
              </w:rPr>
            </w:pPr>
            <w:r w:rsidRPr="00D0481B">
              <w:rPr>
                <w:b/>
                <w:bCs/>
                <w:color w:val="000000"/>
                <w:szCs w:val="24"/>
              </w:rPr>
              <w:t>z./1000 ž.</w:t>
            </w:r>
          </w:p>
        </w:tc>
      </w:tr>
      <w:tr w:rsidR="0070585C" w:rsidRPr="008B42CF" w14:paraId="62EA8CB9" w14:textId="77777777" w:rsidTr="00F83DD6">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0E8E5E7" w14:textId="77777777" w:rsidR="0070585C" w:rsidRPr="00D0481B" w:rsidRDefault="0070585C" w:rsidP="00936F9F">
            <w:pPr>
              <w:ind w:left="709" w:hanging="709"/>
              <w:rPr>
                <w:b/>
                <w:bCs/>
                <w:color w:val="000000"/>
                <w:szCs w:val="24"/>
              </w:rPr>
            </w:pPr>
            <w:r w:rsidRPr="00D0481B">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1C8B50B" w14:textId="77777777" w:rsidR="0070585C" w:rsidRPr="00F9237C" w:rsidRDefault="0070585C" w:rsidP="00936F9F">
            <w:pPr>
              <w:jc w:val="right"/>
              <w:rPr>
                <w:szCs w:val="22"/>
              </w:rPr>
            </w:pPr>
            <w:r w:rsidRPr="00F9237C">
              <w:rPr>
                <w:szCs w:val="22"/>
              </w:rPr>
              <w:t>50 940</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BD656F0" w14:textId="77777777" w:rsidR="0070585C" w:rsidRPr="00F9237C" w:rsidRDefault="0070585C" w:rsidP="00936F9F">
            <w:pPr>
              <w:jc w:val="right"/>
              <w:rPr>
                <w:szCs w:val="22"/>
              </w:rPr>
            </w:pPr>
            <w:r w:rsidRPr="00F9237C">
              <w:rPr>
                <w:szCs w:val="22"/>
              </w:rPr>
              <w:t>50 441</w:t>
            </w:r>
          </w:p>
        </w:tc>
        <w:tc>
          <w:tcPr>
            <w:tcW w:w="1417" w:type="dxa"/>
            <w:tcBorders>
              <w:top w:val="single" w:sz="8" w:space="0" w:color="auto"/>
              <w:left w:val="single" w:sz="8" w:space="0" w:color="auto"/>
              <w:bottom w:val="single" w:sz="4" w:space="0" w:color="auto"/>
              <w:right w:val="single" w:sz="8" w:space="0" w:color="auto"/>
            </w:tcBorders>
            <w:vAlign w:val="center"/>
          </w:tcPr>
          <w:p w14:paraId="18D21D44" w14:textId="77777777" w:rsidR="0070585C" w:rsidRPr="00F9237C" w:rsidRDefault="0070585C" w:rsidP="00936F9F">
            <w:pPr>
              <w:jc w:val="right"/>
              <w:rPr>
                <w:szCs w:val="22"/>
              </w:rPr>
            </w:pPr>
            <w:r w:rsidRPr="00F9237C">
              <w:rPr>
                <w:szCs w:val="22"/>
              </w:rPr>
              <w:t>38 726</w:t>
            </w:r>
          </w:p>
        </w:tc>
        <w:tc>
          <w:tcPr>
            <w:tcW w:w="1276" w:type="dxa"/>
            <w:tcBorders>
              <w:top w:val="single" w:sz="8" w:space="0" w:color="auto"/>
              <w:left w:val="single" w:sz="8" w:space="0" w:color="auto"/>
              <w:bottom w:val="single" w:sz="4" w:space="0" w:color="auto"/>
              <w:right w:val="single" w:sz="8" w:space="0" w:color="auto"/>
            </w:tcBorders>
            <w:vAlign w:val="center"/>
          </w:tcPr>
          <w:p w14:paraId="4FB978B8" w14:textId="77777777" w:rsidR="0070585C" w:rsidRPr="00F9237C" w:rsidRDefault="0070585C" w:rsidP="00936F9F">
            <w:pPr>
              <w:jc w:val="right"/>
              <w:rPr>
                <w:szCs w:val="22"/>
              </w:rPr>
            </w:pPr>
            <w:r w:rsidRPr="00F9237C">
              <w:rPr>
                <w:szCs w:val="22"/>
              </w:rPr>
              <w:t>11 715</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1958FB78" w14:textId="77777777" w:rsidR="0070585C" w:rsidRPr="00F9237C" w:rsidRDefault="0070585C" w:rsidP="00936F9F">
            <w:pPr>
              <w:jc w:val="right"/>
              <w:rPr>
                <w:szCs w:val="22"/>
              </w:rPr>
            </w:pPr>
            <w:r w:rsidRPr="00F9237C">
              <w:rPr>
                <w:szCs w:val="22"/>
              </w:rPr>
              <w:t>499</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5B3EF28" w14:textId="77777777" w:rsidR="0070585C" w:rsidRPr="00F9237C" w:rsidRDefault="0070585C" w:rsidP="00936F9F">
            <w:pPr>
              <w:jc w:val="right"/>
              <w:rPr>
                <w:szCs w:val="22"/>
              </w:rPr>
            </w:pPr>
            <w:r w:rsidRPr="00F9237C">
              <w:rPr>
                <w:szCs w:val="22"/>
              </w:rPr>
              <w:t>125,126</w:t>
            </w:r>
          </w:p>
        </w:tc>
      </w:tr>
      <w:tr w:rsidR="0070585C" w:rsidRPr="008B42CF" w14:paraId="4CD48FDC"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B258214" w14:textId="77777777" w:rsidR="0070585C" w:rsidRPr="00D0481B" w:rsidRDefault="0070585C" w:rsidP="00936F9F">
            <w:pPr>
              <w:ind w:left="709" w:hanging="709"/>
              <w:rPr>
                <w:b/>
                <w:bCs/>
                <w:color w:val="000000"/>
                <w:szCs w:val="24"/>
              </w:rPr>
            </w:pPr>
            <w:r w:rsidRPr="00D0481B">
              <w:rPr>
                <w:b/>
                <w:bCs/>
                <w:color w:val="000000"/>
                <w:szCs w:val="24"/>
              </w:rPr>
              <w:t>6 - 14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FC102F" w14:textId="77777777" w:rsidR="0070585C" w:rsidRPr="00F9237C" w:rsidRDefault="0070585C" w:rsidP="00936F9F">
            <w:pPr>
              <w:jc w:val="right"/>
              <w:rPr>
                <w:szCs w:val="22"/>
              </w:rPr>
            </w:pPr>
            <w:r w:rsidRPr="00F9237C">
              <w:rPr>
                <w:szCs w:val="22"/>
              </w:rPr>
              <w:t>64 601</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05A987" w14:textId="77777777" w:rsidR="0070585C" w:rsidRPr="00F9237C" w:rsidRDefault="0070585C" w:rsidP="00936F9F">
            <w:pPr>
              <w:jc w:val="right"/>
              <w:rPr>
                <w:szCs w:val="22"/>
              </w:rPr>
            </w:pPr>
            <w:r w:rsidRPr="00F9237C">
              <w:rPr>
                <w:szCs w:val="22"/>
              </w:rPr>
              <w:t>63 524</w:t>
            </w:r>
          </w:p>
        </w:tc>
        <w:tc>
          <w:tcPr>
            <w:tcW w:w="1417" w:type="dxa"/>
            <w:tcBorders>
              <w:top w:val="single" w:sz="4" w:space="0" w:color="auto"/>
              <w:left w:val="single" w:sz="8" w:space="0" w:color="auto"/>
              <w:bottom w:val="single" w:sz="4" w:space="0" w:color="auto"/>
              <w:right w:val="single" w:sz="8" w:space="0" w:color="auto"/>
            </w:tcBorders>
            <w:vAlign w:val="center"/>
          </w:tcPr>
          <w:p w14:paraId="39455A57" w14:textId="77777777" w:rsidR="0070585C" w:rsidRPr="00F9237C" w:rsidRDefault="0070585C" w:rsidP="00936F9F">
            <w:pPr>
              <w:jc w:val="right"/>
              <w:rPr>
                <w:szCs w:val="22"/>
              </w:rPr>
            </w:pPr>
            <w:r w:rsidRPr="00F9237C">
              <w:rPr>
                <w:szCs w:val="22"/>
              </w:rPr>
              <w:t>52 550</w:t>
            </w:r>
          </w:p>
        </w:tc>
        <w:tc>
          <w:tcPr>
            <w:tcW w:w="1276" w:type="dxa"/>
            <w:tcBorders>
              <w:top w:val="single" w:sz="4" w:space="0" w:color="auto"/>
              <w:left w:val="single" w:sz="8" w:space="0" w:color="auto"/>
              <w:bottom w:val="single" w:sz="4" w:space="0" w:color="auto"/>
              <w:right w:val="single" w:sz="8" w:space="0" w:color="auto"/>
            </w:tcBorders>
            <w:vAlign w:val="center"/>
          </w:tcPr>
          <w:p w14:paraId="34A77B38" w14:textId="77777777" w:rsidR="0070585C" w:rsidRPr="00F9237C" w:rsidRDefault="0070585C" w:rsidP="00936F9F">
            <w:pPr>
              <w:jc w:val="right"/>
              <w:rPr>
                <w:szCs w:val="22"/>
              </w:rPr>
            </w:pPr>
            <w:r w:rsidRPr="00F9237C">
              <w:rPr>
                <w:szCs w:val="22"/>
              </w:rPr>
              <w:t>10 974</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182EF55A" w14:textId="77777777" w:rsidR="0070585C" w:rsidRPr="00F9237C" w:rsidRDefault="0070585C" w:rsidP="00936F9F">
            <w:pPr>
              <w:jc w:val="right"/>
              <w:rPr>
                <w:szCs w:val="22"/>
              </w:rPr>
            </w:pPr>
            <w:r w:rsidRPr="00F9237C">
              <w:rPr>
                <w:szCs w:val="22"/>
              </w:rPr>
              <w:t>1 077</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8747A6" w14:textId="77777777" w:rsidR="0070585C" w:rsidRPr="00F9237C" w:rsidRDefault="0070585C" w:rsidP="00936F9F">
            <w:pPr>
              <w:jc w:val="right"/>
              <w:rPr>
                <w:szCs w:val="22"/>
              </w:rPr>
            </w:pPr>
            <w:r w:rsidRPr="00F9237C">
              <w:rPr>
                <w:szCs w:val="22"/>
              </w:rPr>
              <w:t>125,735</w:t>
            </w:r>
          </w:p>
        </w:tc>
      </w:tr>
      <w:tr w:rsidR="0070585C" w:rsidRPr="008B42CF" w14:paraId="70CB15C8"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19FBB9F" w14:textId="77777777" w:rsidR="0070585C" w:rsidRPr="00D0481B" w:rsidRDefault="0070585C" w:rsidP="00936F9F">
            <w:pPr>
              <w:ind w:left="709" w:hanging="709"/>
              <w:rPr>
                <w:b/>
                <w:bCs/>
                <w:color w:val="000000"/>
                <w:szCs w:val="24"/>
              </w:rPr>
            </w:pPr>
            <w:r w:rsidRPr="00D0481B">
              <w:rPr>
                <w:b/>
                <w:bCs/>
                <w:color w:val="000000"/>
                <w:szCs w:val="24"/>
              </w:rPr>
              <w:t>15 - 18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ED8E4A" w14:textId="77777777" w:rsidR="0070585C" w:rsidRPr="00F9237C" w:rsidRDefault="0070585C" w:rsidP="00936F9F">
            <w:pPr>
              <w:jc w:val="right"/>
              <w:rPr>
                <w:szCs w:val="22"/>
              </w:rPr>
            </w:pPr>
            <w:r w:rsidRPr="00F9237C">
              <w:rPr>
                <w:szCs w:val="22"/>
              </w:rPr>
              <w:t>76 349</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788A52" w14:textId="77777777" w:rsidR="0070585C" w:rsidRPr="00F9237C" w:rsidRDefault="0070585C" w:rsidP="00936F9F">
            <w:pPr>
              <w:jc w:val="right"/>
              <w:rPr>
                <w:szCs w:val="22"/>
              </w:rPr>
            </w:pPr>
            <w:r w:rsidRPr="00F9237C">
              <w:rPr>
                <w:szCs w:val="22"/>
              </w:rPr>
              <w:t>75 282</w:t>
            </w:r>
          </w:p>
        </w:tc>
        <w:tc>
          <w:tcPr>
            <w:tcW w:w="1417" w:type="dxa"/>
            <w:tcBorders>
              <w:top w:val="single" w:sz="4" w:space="0" w:color="auto"/>
              <w:left w:val="single" w:sz="8" w:space="0" w:color="auto"/>
              <w:bottom w:val="single" w:sz="4" w:space="0" w:color="auto"/>
              <w:right w:val="single" w:sz="8" w:space="0" w:color="auto"/>
            </w:tcBorders>
            <w:vAlign w:val="center"/>
          </w:tcPr>
          <w:p w14:paraId="3E5F32AC" w14:textId="77777777" w:rsidR="0070585C" w:rsidRPr="00F9237C" w:rsidRDefault="0070585C" w:rsidP="00936F9F">
            <w:pPr>
              <w:jc w:val="right"/>
              <w:rPr>
                <w:szCs w:val="22"/>
              </w:rPr>
            </w:pPr>
            <w:r w:rsidRPr="00F9237C">
              <w:rPr>
                <w:szCs w:val="22"/>
              </w:rPr>
              <w:t>60 589</w:t>
            </w:r>
          </w:p>
        </w:tc>
        <w:tc>
          <w:tcPr>
            <w:tcW w:w="1276" w:type="dxa"/>
            <w:tcBorders>
              <w:top w:val="single" w:sz="4" w:space="0" w:color="auto"/>
              <w:left w:val="single" w:sz="8" w:space="0" w:color="auto"/>
              <w:bottom w:val="single" w:sz="4" w:space="0" w:color="auto"/>
              <w:right w:val="single" w:sz="8" w:space="0" w:color="auto"/>
            </w:tcBorders>
            <w:vAlign w:val="center"/>
          </w:tcPr>
          <w:p w14:paraId="6527C3E1" w14:textId="77777777" w:rsidR="0070585C" w:rsidRPr="00F9237C" w:rsidRDefault="0070585C" w:rsidP="00936F9F">
            <w:pPr>
              <w:jc w:val="right"/>
              <w:rPr>
                <w:szCs w:val="22"/>
              </w:rPr>
            </w:pPr>
            <w:r w:rsidRPr="00F9237C">
              <w:rPr>
                <w:szCs w:val="22"/>
              </w:rPr>
              <w:t>14 693</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41926EF2" w14:textId="77777777" w:rsidR="0070585C" w:rsidRPr="00F9237C" w:rsidRDefault="0070585C" w:rsidP="00936F9F">
            <w:pPr>
              <w:jc w:val="right"/>
              <w:rPr>
                <w:szCs w:val="22"/>
              </w:rPr>
            </w:pPr>
            <w:r w:rsidRPr="00F9237C">
              <w:rPr>
                <w:szCs w:val="22"/>
              </w:rPr>
              <w:t>1 067</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B71C72" w14:textId="77777777" w:rsidR="0070585C" w:rsidRPr="00F9237C" w:rsidRDefault="0070585C" w:rsidP="00936F9F">
            <w:pPr>
              <w:jc w:val="right"/>
              <w:rPr>
                <w:szCs w:val="22"/>
              </w:rPr>
            </w:pPr>
            <w:r w:rsidRPr="00F9237C">
              <w:rPr>
                <w:szCs w:val="22"/>
              </w:rPr>
              <w:t>143,981</w:t>
            </w:r>
          </w:p>
        </w:tc>
      </w:tr>
      <w:tr w:rsidR="0070585C" w:rsidRPr="008B42CF" w14:paraId="1691E83E"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A0F87BA" w14:textId="77777777" w:rsidR="0070585C" w:rsidRPr="00D0481B" w:rsidRDefault="0070585C" w:rsidP="00936F9F">
            <w:pPr>
              <w:ind w:left="709" w:hanging="709"/>
              <w:rPr>
                <w:b/>
                <w:bCs/>
                <w:color w:val="000000"/>
                <w:szCs w:val="24"/>
              </w:rPr>
            </w:pPr>
            <w:r w:rsidRPr="00D0481B">
              <w:rPr>
                <w:b/>
                <w:bCs/>
                <w:color w:val="000000"/>
                <w:szCs w:val="24"/>
              </w:rPr>
              <w:t>19 - 21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D6BDF8" w14:textId="77777777" w:rsidR="0070585C" w:rsidRPr="00F9237C" w:rsidRDefault="0070585C" w:rsidP="00936F9F">
            <w:pPr>
              <w:jc w:val="right"/>
              <w:rPr>
                <w:szCs w:val="22"/>
              </w:rPr>
            </w:pPr>
            <w:r w:rsidRPr="00F9237C">
              <w:rPr>
                <w:szCs w:val="22"/>
              </w:rPr>
              <w:t>65 376</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9428CF0" w14:textId="77777777" w:rsidR="0070585C" w:rsidRPr="00F9237C" w:rsidRDefault="0070585C" w:rsidP="00936F9F">
            <w:pPr>
              <w:jc w:val="right"/>
              <w:rPr>
                <w:szCs w:val="22"/>
              </w:rPr>
            </w:pPr>
            <w:r w:rsidRPr="00F9237C">
              <w:rPr>
                <w:szCs w:val="22"/>
              </w:rPr>
              <w:t>64 676</w:t>
            </w:r>
          </w:p>
        </w:tc>
        <w:tc>
          <w:tcPr>
            <w:tcW w:w="1417" w:type="dxa"/>
            <w:tcBorders>
              <w:top w:val="single" w:sz="4" w:space="0" w:color="auto"/>
              <w:left w:val="single" w:sz="8" w:space="0" w:color="auto"/>
              <w:bottom w:val="single" w:sz="4" w:space="0" w:color="auto"/>
              <w:right w:val="single" w:sz="8" w:space="0" w:color="auto"/>
            </w:tcBorders>
            <w:vAlign w:val="center"/>
          </w:tcPr>
          <w:p w14:paraId="1925B5B9" w14:textId="77777777" w:rsidR="0070585C" w:rsidRPr="00F9237C" w:rsidRDefault="0070585C" w:rsidP="00936F9F">
            <w:pPr>
              <w:jc w:val="right"/>
              <w:rPr>
                <w:szCs w:val="22"/>
              </w:rPr>
            </w:pPr>
            <w:r w:rsidRPr="00F9237C">
              <w:rPr>
                <w:szCs w:val="22"/>
              </w:rPr>
              <w:t>53 565</w:t>
            </w:r>
          </w:p>
        </w:tc>
        <w:tc>
          <w:tcPr>
            <w:tcW w:w="1276" w:type="dxa"/>
            <w:tcBorders>
              <w:top w:val="single" w:sz="4" w:space="0" w:color="auto"/>
              <w:left w:val="single" w:sz="8" w:space="0" w:color="auto"/>
              <w:bottom w:val="single" w:sz="4" w:space="0" w:color="auto"/>
              <w:right w:val="single" w:sz="8" w:space="0" w:color="auto"/>
            </w:tcBorders>
            <w:vAlign w:val="center"/>
          </w:tcPr>
          <w:p w14:paraId="56B933AD" w14:textId="77777777" w:rsidR="0070585C" w:rsidRPr="00F9237C" w:rsidRDefault="0070585C" w:rsidP="00936F9F">
            <w:pPr>
              <w:jc w:val="right"/>
              <w:rPr>
                <w:szCs w:val="22"/>
              </w:rPr>
            </w:pPr>
            <w:r w:rsidRPr="00F9237C">
              <w:rPr>
                <w:szCs w:val="22"/>
              </w:rPr>
              <w:t>11 111</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1A0059E7" w14:textId="77777777" w:rsidR="0070585C" w:rsidRPr="00F9237C" w:rsidRDefault="0070585C" w:rsidP="00936F9F">
            <w:pPr>
              <w:jc w:val="right"/>
              <w:rPr>
                <w:szCs w:val="22"/>
              </w:rPr>
            </w:pPr>
            <w:r w:rsidRPr="00F9237C">
              <w:rPr>
                <w:szCs w:val="22"/>
              </w:rPr>
              <w:t>700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85B588" w14:textId="77777777" w:rsidR="0070585C" w:rsidRPr="00F9237C" w:rsidRDefault="0070585C" w:rsidP="00936F9F">
            <w:pPr>
              <w:jc w:val="right"/>
              <w:rPr>
                <w:szCs w:val="22"/>
              </w:rPr>
            </w:pPr>
            <w:r w:rsidRPr="00F9237C">
              <w:rPr>
                <w:szCs w:val="22"/>
              </w:rPr>
              <w:t>127,613</w:t>
            </w:r>
          </w:p>
        </w:tc>
      </w:tr>
      <w:tr w:rsidR="0070585C" w:rsidRPr="008B42CF" w14:paraId="35C5D3BB" w14:textId="77777777" w:rsidTr="00F83DD6">
        <w:trPr>
          <w:trHeight w:hRule="exact" w:val="284"/>
        </w:trPr>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6875116" w14:textId="77777777" w:rsidR="0070585C" w:rsidRPr="00D0481B" w:rsidRDefault="0070585C" w:rsidP="00936F9F">
            <w:pPr>
              <w:ind w:left="709" w:hanging="709"/>
              <w:rPr>
                <w:b/>
                <w:bCs/>
                <w:color w:val="000000"/>
                <w:szCs w:val="24"/>
              </w:rPr>
            </w:pPr>
            <w:r w:rsidRPr="00D0481B">
              <w:rPr>
                <w:b/>
                <w:bCs/>
                <w:color w:val="000000"/>
                <w:szCs w:val="24"/>
              </w:rPr>
              <w:t>KZÚV</w:t>
            </w:r>
          </w:p>
        </w:tc>
        <w:tc>
          <w:tcPr>
            <w:tcW w:w="113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03EAC88" w14:textId="77777777" w:rsidR="0070585C" w:rsidRPr="00F9237C" w:rsidRDefault="0070585C" w:rsidP="00936F9F">
            <w:pPr>
              <w:jc w:val="right"/>
              <w:rPr>
                <w:szCs w:val="22"/>
              </w:rPr>
            </w:pPr>
            <w:r w:rsidRPr="00F9237C">
              <w:rPr>
                <w:szCs w:val="22"/>
              </w:rPr>
              <w:t>312 706</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F6DBAD8" w14:textId="77777777" w:rsidR="0070585C" w:rsidRPr="00F9237C" w:rsidRDefault="0070585C" w:rsidP="00936F9F">
            <w:pPr>
              <w:jc w:val="right"/>
              <w:rPr>
                <w:szCs w:val="22"/>
              </w:rPr>
            </w:pPr>
            <w:r w:rsidRPr="00F9237C">
              <w:rPr>
                <w:szCs w:val="22"/>
              </w:rPr>
              <w:t>310 206</w:t>
            </w:r>
          </w:p>
        </w:tc>
        <w:tc>
          <w:tcPr>
            <w:tcW w:w="1417" w:type="dxa"/>
            <w:tcBorders>
              <w:top w:val="single" w:sz="4" w:space="0" w:color="auto"/>
              <w:left w:val="single" w:sz="8" w:space="0" w:color="auto"/>
              <w:bottom w:val="single" w:sz="8" w:space="0" w:color="auto"/>
              <w:right w:val="single" w:sz="8" w:space="0" w:color="auto"/>
            </w:tcBorders>
            <w:vAlign w:val="center"/>
          </w:tcPr>
          <w:p w14:paraId="6FA5B759" w14:textId="77777777" w:rsidR="0070585C" w:rsidRPr="00F9237C" w:rsidRDefault="0070585C" w:rsidP="00936F9F">
            <w:pPr>
              <w:jc w:val="right"/>
              <w:rPr>
                <w:szCs w:val="22"/>
              </w:rPr>
            </w:pPr>
            <w:r w:rsidRPr="00F9237C">
              <w:rPr>
                <w:szCs w:val="22"/>
              </w:rPr>
              <w:t>226 284</w:t>
            </w:r>
          </w:p>
        </w:tc>
        <w:tc>
          <w:tcPr>
            <w:tcW w:w="1276" w:type="dxa"/>
            <w:tcBorders>
              <w:top w:val="single" w:sz="4" w:space="0" w:color="auto"/>
              <w:left w:val="single" w:sz="8" w:space="0" w:color="auto"/>
              <w:bottom w:val="single" w:sz="8" w:space="0" w:color="auto"/>
              <w:right w:val="single" w:sz="8" w:space="0" w:color="auto"/>
            </w:tcBorders>
            <w:vAlign w:val="center"/>
          </w:tcPr>
          <w:p w14:paraId="4377CB17" w14:textId="77777777" w:rsidR="0070585C" w:rsidRPr="00F9237C" w:rsidRDefault="0070585C" w:rsidP="00936F9F">
            <w:pPr>
              <w:jc w:val="right"/>
              <w:rPr>
                <w:szCs w:val="22"/>
              </w:rPr>
            </w:pPr>
            <w:r w:rsidRPr="00F9237C">
              <w:rPr>
                <w:szCs w:val="22"/>
              </w:rPr>
              <w:t>83 922</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65B711A3" w14:textId="77777777" w:rsidR="0070585C" w:rsidRPr="00F9237C" w:rsidRDefault="0070585C" w:rsidP="00936F9F">
            <w:pPr>
              <w:jc w:val="right"/>
              <w:rPr>
                <w:szCs w:val="22"/>
              </w:rPr>
            </w:pPr>
            <w:r w:rsidRPr="00F9237C">
              <w:rPr>
                <w:szCs w:val="22"/>
              </w:rPr>
              <w:t>2 500</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B2C83B7" w14:textId="77777777" w:rsidR="0070585C" w:rsidRPr="00F9237C" w:rsidRDefault="0070585C" w:rsidP="00936F9F">
            <w:pPr>
              <w:jc w:val="right"/>
              <w:rPr>
                <w:szCs w:val="22"/>
              </w:rPr>
            </w:pPr>
            <w:r w:rsidRPr="00F9237C">
              <w:rPr>
                <w:szCs w:val="22"/>
              </w:rPr>
              <w:t>693,459</w:t>
            </w:r>
          </w:p>
        </w:tc>
      </w:tr>
    </w:tbl>
    <w:p w14:paraId="14608440" w14:textId="041A8CF7" w:rsidR="0070585C" w:rsidRPr="00D61619" w:rsidRDefault="0070585C" w:rsidP="0070585C">
      <w:pPr>
        <w:rPr>
          <w:color w:val="000000"/>
          <w:szCs w:val="24"/>
          <w:u w:val="single"/>
        </w:rPr>
      </w:pPr>
      <w:r w:rsidRPr="00D61619">
        <w:rPr>
          <w:color w:val="000000"/>
          <w:szCs w:val="24"/>
          <w:u w:val="single"/>
        </w:rPr>
        <w:t>Úprava republikových normativů z titulu posílení fina</w:t>
      </w:r>
      <w:r w:rsidR="00F83DD6">
        <w:rPr>
          <w:color w:val="000000"/>
          <w:szCs w:val="24"/>
          <w:u w:val="single"/>
        </w:rPr>
        <w:t>ncování vzdělávání dětí, žáků a </w:t>
      </w:r>
      <w:r w:rsidRPr="00D61619">
        <w:rPr>
          <w:color w:val="000000"/>
          <w:szCs w:val="24"/>
          <w:u w:val="single"/>
        </w:rPr>
        <w:t>studentů se speciálními vzdělávacími potřebami</w:t>
      </w:r>
    </w:p>
    <w:p w14:paraId="55BE58E0" w14:textId="77777777" w:rsidR="0070585C" w:rsidRDefault="0070585C" w:rsidP="0070585C">
      <w:pPr>
        <w:rPr>
          <w:color w:val="000000"/>
          <w:szCs w:val="24"/>
          <w:highlight w:val="cyan"/>
          <w:u w:val="single"/>
        </w:rPr>
      </w:pPr>
    </w:p>
    <w:p w14:paraId="02646A1D" w14:textId="77777777" w:rsidR="0070585C" w:rsidRPr="00D61619" w:rsidRDefault="0070585C" w:rsidP="0070585C">
      <w:pPr>
        <w:pStyle w:val="Text"/>
      </w:pPr>
      <w:r w:rsidRPr="00D61619">
        <w:t xml:space="preserve">RN 2018 stanovené materiálem „Principy rozpisu rozpočtu přímých výdajů RgŠ územních samosprávných celků na rok 2018, č.j. MSMT-34213/2017“ byly v prvním kroku </w:t>
      </w:r>
      <w:r w:rsidRPr="00D61619">
        <w:lastRenderedPageBreak/>
        <w:t>jejich konstrukce sníženy z titulu financování společného vzdělávání prostřednictvím vyhlášky č. 27/2016 Sb., o vzdělávání žáků se speciálními vzdělávacími potřebami a žáků nadaných, ve znění pozdějších předpisů. Tento krok způsobil v jednotlivých krajích potíže při rozpisu rozpočtu a při stanovení krajských normativů na rok 2018. V souvislosti s tímto byly v průběhu roku 2018 na základě usnesení vlády č. 352 ze dne 6. června 2018 navýšeny prostředky kapitoly MŠMT pro rok 2018 na posílení financování vzdělávání dětí a žáků se speciálními vzdělávacími potřebami v celkové výši 1,023 mld. Kč, limit počtu zaměstnanců byl zvýšen o 2 581. V roce 2018 byly tyto prostředky rozepisovány na jednotlivé kraje v rámci úprav rozpisu rozpočtu 2018.</w:t>
      </w:r>
    </w:p>
    <w:p w14:paraId="61477AC1" w14:textId="77BEBD09" w:rsidR="0070585C" w:rsidRPr="00D61619" w:rsidRDefault="0070585C" w:rsidP="0070585C">
      <w:pPr>
        <w:pStyle w:val="Text"/>
      </w:pPr>
      <w:r w:rsidRPr="00D61619">
        <w:t xml:space="preserve">Financování podpory dětí a žáků se speciálními vzdělávacími potřebami ve školách a třídách zřízených podle § 16 odst. 9 školského zákona bylo v předchozích letech zahrnuto do </w:t>
      </w:r>
      <w:r w:rsidR="00A839F5">
        <w:t>RN</w:t>
      </w:r>
      <w:r w:rsidRPr="00D61619">
        <w:t>. Pro rok 2019 byl rozpočet RgŠ posílen z titulu zlepšení finančního zabezpečení těchto škol a tříd v oblasti mzdových prostředků. Z tohoto titulu je do RN promítnuto zvýšení mzdové části normativu v celkovém objemu 1,023 mld. Kč.</w:t>
      </w:r>
    </w:p>
    <w:p w14:paraId="0E3D1C01" w14:textId="77777777" w:rsidR="0070585C" w:rsidRPr="00CC5B18" w:rsidRDefault="0070585C" w:rsidP="0070585C">
      <w:pPr>
        <w:tabs>
          <w:tab w:val="left" w:pos="0"/>
        </w:tabs>
        <w:rPr>
          <w:b/>
          <w:color w:val="000000"/>
          <w:szCs w:val="24"/>
          <w:highlight w:val="cyan"/>
        </w:rPr>
      </w:pPr>
    </w:p>
    <w:p w14:paraId="59680D55" w14:textId="77777777" w:rsidR="0070585C" w:rsidRPr="006B757C" w:rsidRDefault="0070585C" w:rsidP="000502A7">
      <w:pPr>
        <w:keepNext/>
        <w:rPr>
          <w:b/>
          <w:color w:val="000000"/>
          <w:szCs w:val="24"/>
          <w:highlight w:val="cyan"/>
        </w:rPr>
      </w:pPr>
      <w:r w:rsidRPr="006B757C">
        <w:rPr>
          <w:b/>
          <w:color w:val="000000"/>
          <w:szCs w:val="24"/>
        </w:rPr>
        <w:t>Zvýšení RN 2018 z titulu posílení financování vzdělávání dětí, žáků a studentů se speciálními vzdělávacími potřebami:</w:t>
      </w:r>
      <w:r w:rsidRPr="006B757C">
        <w:rPr>
          <w:b/>
          <w:color w:val="000000"/>
          <w:szCs w:val="24"/>
          <w:highlight w:val="cyan"/>
        </w:rPr>
        <w:t xml:space="preserve"> </w:t>
      </w:r>
    </w:p>
    <w:tbl>
      <w:tblPr>
        <w:tblW w:w="8939" w:type="dxa"/>
        <w:tblInd w:w="70" w:type="dxa"/>
        <w:tblLayout w:type="fixed"/>
        <w:tblCellMar>
          <w:left w:w="70" w:type="dxa"/>
          <w:right w:w="70" w:type="dxa"/>
        </w:tblCellMar>
        <w:tblLook w:val="04A0" w:firstRow="1" w:lastRow="0" w:firstColumn="1" w:lastColumn="0" w:noHBand="0" w:noVBand="1"/>
      </w:tblPr>
      <w:tblGrid>
        <w:gridCol w:w="1505"/>
        <w:gridCol w:w="1281"/>
        <w:gridCol w:w="1183"/>
        <w:gridCol w:w="1184"/>
        <w:gridCol w:w="1184"/>
        <w:gridCol w:w="1184"/>
        <w:gridCol w:w="1418"/>
      </w:tblGrid>
      <w:tr w:rsidR="0070585C" w:rsidRPr="00D61619" w14:paraId="2715D190" w14:textId="77777777" w:rsidTr="00F83DD6">
        <w:trPr>
          <w:trHeight w:val="1351"/>
        </w:trPr>
        <w:tc>
          <w:tcPr>
            <w:tcW w:w="1505" w:type="dxa"/>
            <w:tcBorders>
              <w:top w:val="single" w:sz="12" w:space="0" w:color="auto"/>
              <w:left w:val="single" w:sz="12" w:space="0" w:color="auto"/>
              <w:right w:val="single" w:sz="12" w:space="0" w:color="auto"/>
            </w:tcBorders>
            <w:noWrap/>
            <w:vAlign w:val="center"/>
            <w:hideMark/>
          </w:tcPr>
          <w:p w14:paraId="07D44DD9" w14:textId="77777777" w:rsidR="0070585C" w:rsidRPr="00D61619" w:rsidRDefault="0070585C" w:rsidP="00936F9F">
            <w:pPr>
              <w:ind w:left="709" w:hanging="709"/>
              <w:jc w:val="center"/>
              <w:rPr>
                <w:b/>
                <w:bCs/>
                <w:color w:val="000000"/>
                <w:szCs w:val="24"/>
              </w:rPr>
            </w:pPr>
          </w:p>
          <w:p w14:paraId="76BB3ABF" w14:textId="77777777" w:rsidR="0070585C" w:rsidRPr="00D61619" w:rsidRDefault="0070585C" w:rsidP="00936F9F">
            <w:pPr>
              <w:ind w:left="709" w:hanging="709"/>
              <w:jc w:val="center"/>
              <w:rPr>
                <w:b/>
                <w:bCs/>
                <w:color w:val="000000"/>
                <w:szCs w:val="24"/>
              </w:rPr>
            </w:pPr>
          </w:p>
          <w:p w14:paraId="07C9A514" w14:textId="77777777" w:rsidR="0070585C" w:rsidRPr="00D61619" w:rsidRDefault="0070585C" w:rsidP="00936F9F">
            <w:pPr>
              <w:ind w:left="709" w:hanging="709"/>
              <w:jc w:val="center"/>
              <w:rPr>
                <w:rFonts w:ascii="Calibri" w:hAnsi="Calibri"/>
                <w:b/>
                <w:bCs/>
                <w:color w:val="000000"/>
                <w:szCs w:val="24"/>
              </w:rPr>
            </w:pPr>
          </w:p>
        </w:tc>
        <w:tc>
          <w:tcPr>
            <w:tcW w:w="1281" w:type="dxa"/>
            <w:tcBorders>
              <w:top w:val="single" w:sz="12" w:space="0" w:color="auto"/>
              <w:left w:val="single" w:sz="12" w:space="0" w:color="auto"/>
              <w:right w:val="single" w:sz="12" w:space="0" w:color="auto"/>
            </w:tcBorders>
            <w:noWrap/>
            <w:vAlign w:val="center"/>
            <w:hideMark/>
          </w:tcPr>
          <w:p w14:paraId="5DCEB520" w14:textId="77777777" w:rsidR="0070585C" w:rsidRPr="00D61619" w:rsidRDefault="0070585C" w:rsidP="00936F9F">
            <w:pPr>
              <w:ind w:left="709" w:hanging="709"/>
              <w:jc w:val="center"/>
              <w:rPr>
                <w:b/>
                <w:bCs/>
                <w:color w:val="000000"/>
                <w:szCs w:val="24"/>
              </w:rPr>
            </w:pPr>
            <w:r w:rsidRPr="00D61619">
              <w:rPr>
                <w:b/>
                <w:bCs/>
                <w:color w:val="000000"/>
                <w:szCs w:val="24"/>
              </w:rPr>
              <w:t>NIV</w:t>
            </w:r>
          </w:p>
          <w:p w14:paraId="5E0763B1"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5C8859B0" w14:textId="77777777" w:rsidR="0070585C" w:rsidRPr="00D61619" w:rsidRDefault="0070585C" w:rsidP="00936F9F">
            <w:pPr>
              <w:jc w:val="center"/>
              <w:rPr>
                <w:rFonts w:ascii="Calibri" w:hAnsi="Calibri"/>
                <w:b/>
                <w:bCs/>
                <w:color w:val="000000"/>
                <w:szCs w:val="24"/>
              </w:rPr>
            </w:pPr>
            <w:r w:rsidRPr="00D61619">
              <w:rPr>
                <w:b/>
                <w:bCs/>
                <w:color w:val="000000"/>
                <w:szCs w:val="24"/>
              </w:rPr>
              <w:t>Kč/žáka</w:t>
            </w:r>
          </w:p>
        </w:tc>
        <w:tc>
          <w:tcPr>
            <w:tcW w:w="1183" w:type="dxa"/>
            <w:tcBorders>
              <w:top w:val="single" w:sz="12" w:space="0" w:color="auto"/>
              <w:left w:val="single" w:sz="12" w:space="0" w:color="auto"/>
              <w:right w:val="single" w:sz="12" w:space="0" w:color="auto"/>
            </w:tcBorders>
            <w:noWrap/>
            <w:vAlign w:val="center"/>
            <w:hideMark/>
          </w:tcPr>
          <w:p w14:paraId="75E58D5A" w14:textId="77777777" w:rsidR="0070585C" w:rsidRPr="00D61619" w:rsidRDefault="0070585C" w:rsidP="00936F9F">
            <w:pPr>
              <w:ind w:left="709" w:hanging="709"/>
              <w:jc w:val="center"/>
              <w:rPr>
                <w:b/>
                <w:bCs/>
                <w:color w:val="000000"/>
                <w:szCs w:val="24"/>
              </w:rPr>
            </w:pPr>
            <w:r w:rsidRPr="00D61619">
              <w:rPr>
                <w:b/>
                <w:bCs/>
                <w:color w:val="000000"/>
                <w:szCs w:val="24"/>
              </w:rPr>
              <w:t>MP</w:t>
            </w:r>
          </w:p>
          <w:p w14:paraId="026C9C6D"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1BB9B646" w14:textId="77777777" w:rsidR="0070585C" w:rsidRPr="00D61619" w:rsidRDefault="0070585C" w:rsidP="00936F9F">
            <w:pPr>
              <w:jc w:val="center"/>
              <w:rPr>
                <w:b/>
                <w:bCs/>
                <w:szCs w:val="24"/>
              </w:rPr>
            </w:pPr>
            <w:r w:rsidRPr="00D61619">
              <w:rPr>
                <w:b/>
                <w:bCs/>
                <w:szCs w:val="24"/>
              </w:rPr>
              <w:t>vč. odvodů</w:t>
            </w:r>
          </w:p>
          <w:p w14:paraId="3E926982" w14:textId="77777777" w:rsidR="0070585C" w:rsidRPr="00D61619" w:rsidRDefault="0070585C" w:rsidP="00936F9F">
            <w:pPr>
              <w:ind w:left="709" w:hanging="709"/>
              <w:jc w:val="center"/>
              <w:rPr>
                <w:b/>
                <w:bCs/>
                <w:color w:val="000000"/>
                <w:szCs w:val="24"/>
              </w:rPr>
            </w:pPr>
            <w:r w:rsidRPr="00D61619">
              <w:rPr>
                <w:b/>
                <w:bCs/>
                <w:szCs w:val="24"/>
              </w:rPr>
              <w:t>Kč/žáka</w:t>
            </w:r>
          </w:p>
        </w:tc>
        <w:tc>
          <w:tcPr>
            <w:tcW w:w="1184" w:type="dxa"/>
            <w:tcBorders>
              <w:top w:val="single" w:sz="12" w:space="0" w:color="auto"/>
              <w:left w:val="single" w:sz="12" w:space="0" w:color="auto"/>
              <w:right w:val="single" w:sz="12" w:space="0" w:color="auto"/>
            </w:tcBorders>
            <w:vAlign w:val="center"/>
            <w:hideMark/>
          </w:tcPr>
          <w:p w14:paraId="11E6750C" w14:textId="77777777" w:rsidR="0070585C" w:rsidRPr="00D61619" w:rsidRDefault="0070585C" w:rsidP="00936F9F">
            <w:pPr>
              <w:ind w:left="709" w:hanging="709"/>
              <w:jc w:val="center"/>
              <w:rPr>
                <w:b/>
                <w:bCs/>
                <w:color w:val="000000"/>
                <w:szCs w:val="24"/>
              </w:rPr>
            </w:pPr>
            <w:r w:rsidRPr="00D61619">
              <w:rPr>
                <w:b/>
                <w:bCs/>
                <w:color w:val="000000"/>
                <w:szCs w:val="24"/>
              </w:rPr>
              <w:t>MPP</w:t>
            </w:r>
          </w:p>
          <w:p w14:paraId="51251883"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172A3A8D" w14:textId="77777777" w:rsidR="0070585C" w:rsidRPr="00D61619" w:rsidRDefault="0070585C" w:rsidP="00936F9F">
            <w:pPr>
              <w:jc w:val="center"/>
              <w:rPr>
                <w:b/>
                <w:bCs/>
                <w:szCs w:val="24"/>
              </w:rPr>
            </w:pPr>
            <w:r w:rsidRPr="00D61619">
              <w:rPr>
                <w:b/>
                <w:bCs/>
                <w:szCs w:val="24"/>
              </w:rPr>
              <w:t>vč. odvodů</w:t>
            </w:r>
          </w:p>
          <w:p w14:paraId="4A14E859" w14:textId="77777777" w:rsidR="0070585C" w:rsidRPr="00D61619" w:rsidRDefault="0070585C" w:rsidP="00936F9F">
            <w:pPr>
              <w:ind w:left="709" w:hanging="709"/>
              <w:jc w:val="center"/>
              <w:rPr>
                <w:b/>
                <w:bCs/>
                <w:color w:val="000000"/>
                <w:szCs w:val="24"/>
              </w:rPr>
            </w:pPr>
            <w:r w:rsidRPr="00D61619">
              <w:rPr>
                <w:b/>
                <w:bCs/>
                <w:szCs w:val="24"/>
              </w:rPr>
              <w:t>Kč/žáka</w:t>
            </w:r>
          </w:p>
        </w:tc>
        <w:tc>
          <w:tcPr>
            <w:tcW w:w="1184" w:type="dxa"/>
            <w:tcBorders>
              <w:top w:val="single" w:sz="12" w:space="0" w:color="auto"/>
              <w:left w:val="single" w:sz="12" w:space="0" w:color="auto"/>
              <w:right w:val="single" w:sz="12" w:space="0" w:color="auto"/>
            </w:tcBorders>
            <w:vAlign w:val="center"/>
            <w:hideMark/>
          </w:tcPr>
          <w:p w14:paraId="1F226FDB" w14:textId="77777777" w:rsidR="0070585C" w:rsidRPr="00D61619" w:rsidRDefault="0070585C" w:rsidP="00936F9F">
            <w:pPr>
              <w:ind w:left="709" w:hanging="709"/>
              <w:jc w:val="center"/>
              <w:rPr>
                <w:b/>
                <w:bCs/>
                <w:color w:val="000000"/>
                <w:szCs w:val="24"/>
              </w:rPr>
            </w:pPr>
            <w:r w:rsidRPr="00D61619">
              <w:rPr>
                <w:b/>
                <w:bCs/>
                <w:color w:val="000000"/>
                <w:szCs w:val="24"/>
              </w:rPr>
              <w:t>MPN</w:t>
            </w:r>
          </w:p>
          <w:p w14:paraId="0729F004"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6EE9798E" w14:textId="77777777" w:rsidR="0070585C" w:rsidRPr="00D61619" w:rsidRDefault="0070585C" w:rsidP="00936F9F">
            <w:pPr>
              <w:ind w:left="13" w:hanging="13"/>
              <w:jc w:val="center"/>
              <w:rPr>
                <w:b/>
                <w:bCs/>
                <w:szCs w:val="24"/>
              </w:rPr>
            </w:pPr>
            <w:r w:rsidRPr="00D61619">
              <w:rPr>
                <w:b/>
                <w:bCs/>
                <w:szCs w:val="24"/>
              </w:rPr>
              <w:t>vč. odvodů</w:t>
            </w:r>
          </w:p>
          <w:p w14:paraId="0DE92DF5" w14:textId="77777777" w:rsidR="0070585C" w:rsidRPr="00D61619" w:rsidRDefault="0070585C" w:rsidP="00936F9F">
            <w:pPr>
              <w:ind w:left="709" w:hanging="709"/>
              <w:jc w:val="center"/>
              <w:rPr>
                <w:b/>
                <w:bCs/>
                <w:color w:val="000000"/>
                <w:szCs w:val="24"/>
              </w:rPr>
            </w:pPr>
            <w:r w:rsidRPr="00D61619">
              <w:rPr>
                <w:b/>
                <w:bCs/>
                <w:szCs w:val="24"/>
              </w:rPr>
              <w:t>Kč/žáka</w:t>
            </w:r>
          </w:p>
        </w:tc>
        <w:tc>
          <w:tcPr>
            <w:tcW w:w="1184" w:type="dxa"/>
            <w:tcBorders>
              <w:top w:val="single" w:sz="12" w:space="0" w:color="auto"/>
              <w:left w:val="single" w:sz="12" w:space="0" w:color="auto"/>
              <w:right w:val="single" w:sz="12" w:space="0" w:color="auto"/>
            </w:tcBorders>
            <w:noWrap/>
            <w:vAlign w:val="center"/>
            <w:hideMark/>
          </w:tcPr>
          <w:p w14:paraId="4594BCBC" w14:textId="77777777" w:rsidR="0070585C" w:rsidRPr="00D61619" w:rsidRDefault="0070585C" w:rsidP="00936F9F">
            <w:pPr>
              <w:ind w:left="709" w:hanging="709"/>
              <w:jc w:val="center"/>
              <w:rPr>
                <w:b/>
                <w:bCs/>
                <w:color w:val="000000"/>
                <w:szCs w:val="24"/>
              </w:rPr>
            </w:pPr>
            <w:r w:rsidRPr="00D61619">
              <w:rPr>
                <w:b/>
                <w:bCs/>
                <w:color w:val="000000"/>
                <w:szCs w:val="24"/>
              </w:rPr>
              <w:t>ONIV</w:t>
            </w:r>
          </w:p>
          <w:p w14:paraId="761962FE" w14:textId="77777777" w:rsidR="0070585C" w:rsidRPr="00D61619" w:rsidRDefault="0070585C" w:rsidP="00936F9F">
            <w:pPr>
              <w:ind w:left="709" w:hanging="709"/>
              <w:jc w:val="center"/>
              <w:rPr>
                <w:b/>
                <w:bCs/>
                <w:szCs w:val="24"/>
              </w:rPr>
            </w:pPr>
            <w:r w:rsidRPr="00D61619">
              <w:rPr>
                <w:b/>
                <w:bCs/>
                <w:szCs w:val="24"/>
              </w:rPr>
              <w:t>celkem</w:t>
            </w:r>
          </w:p>
          <w:p w14:paraId="46F79D4A" w14:textId="77777777" w:rsidR="0070585C" w:rsidRPr="00D61619" w:rsidRDefault="0070585C" w:rsidP="00936F9F">
            <w:pPr>
              <w:ind w:left="709" w:hanging="709"/>
              <w:jc w:val="center"/>
              <w:rPr>
                <w:rFonts w:ascii="Calibri" w:hAnsi="Calibri"/>
                <w:b/>
                <w:bCs/>
                <w:color w:val="000000"/>
                <w:szCs w:val="24"/>
              </w:rPr>
            </w:pPr>
            <w:r w:rsidRPr="00D61619">
              <w:rPr>
                <w:b/>
                <w:bCs/>
                <w:szCs w:val="24"/>
              </w:rPr>
              <w:t>Kč/žáka</w:t>
            </w:r>
          </w:p>
        </w:tc>
        <w:tc>
          <w:tcPr>
            <w:tcW w:w="1418" w:type="dxa"/>
            <w:tcBorders>
              <w:top w:val="single" w:sz="12" w:space="0" w:color="auto"/>
              <w:left w:val="single" w:sz="12" w:space="0" w:color="auto"/>
              <w:right w:val="single" w:sz="12" w:space="0" w:color="auto"/>
            </w:tcBorders>
            <w:noWrap/>
            <w:vAlign w:val="center"/>
            <w:hideMark/>
          </w:tcPr>
          <w:p w14:paraId="2459F2D5" w14:textId="77777777" w:rsidR="0070585C" w:rsidRPr="00D61619" w:rsidRDefault="0070585C" w:rsidP="00936F9F">
            <w:pPr>
              <w:ind w:left="709" w:hanging="709"/>
              <w:jc w:val="center"/>
              <w:rPr>
                <w:b/>
                <w:bCs/>
                <w:color w:val="000000"/>
                <w:szCs w:val="24"/>
              </w:rPr>
            </w:pPr>
            <w:r w:rsidRPr="00D61619">
              <w:rPr>
                <w:b/>
                <w:bCs/>
                <w:color w:val="000000"/>
                <w:szCs w:val="24"/>
              </w:rPr>
              <w:t>Zam.</w:t>
            </w:r>
          </w:p>
          <w:p w14:paraId="29C58BC7" w14:textId="77777777" w:rsidR="0070585C" w:rsidRPr="00D61619" w:rsidRDefault="0070585C" w:rsidP="00936F9F">
            <w:pPr>
              <w:ind w:left="709" w:hanging="709"/>
              <w:jc w:val="center"/>
              <w:rPr>
                <w:b/>
                <w:bCs/>
                <w:szCs w:val="24"/>
              </w:rPr>
            </w:pPr>
            <w:r w:rsidRPr="00D61619">
              <w:rPr>
                <w:b/>
                <w:bCs/>
                <w:szCs w:val="24"/>
              </w:rPr>
              <w:t> </w:t>
            </w:r>
          </w:p>
          <w:p w14:paraId="1A902630" w14:textId="77777777" w:rsidR="0070585C" w:rsidRPr="00D61619" w:rsidRDefault="0070585C" w:rsidP="00936F9F">
            <w:pPr>
              <w:ind w:left="709" w:hanging="709"/>
              <w:jc w:val="center"/>
              <w:rPr>
                <w:rFonts w:ascii="Calibri" w:hAnsi="Calibri"/>
                <w:b/>
                <w:bCs/>
                <w:color w:val="000000"/>
                <w:szCs w:val="24"/>
              </w:rPr>
            </w:pPr>
            <w:r w:rsidRPr="00D61619">
              <w:rPr>
                <w:b/>
                <w:bCs/>
                <w:szCs w:val="24"/>
              </w:rPr>
              <w:t>Z./1000ž</w:t>
            </w:r>
          </w:p>
        </w:tc>
      </w:tr>
      <w:tr w:rsidR="0070585C" w:rsidRPr="00D61619" w14:paraId="476ADCE6" w14:textId="77777777" w:rsidTr="00F83DD6">
        <w:trPr>
          <w:trHeight w:val="315"/>
        </w:trPr>
        <w:tc>
          <w:tcPr>
            <w:tcW w:w="1505" w:type="dxa"/>
            <w:tcBorders>
              <w:top w:val="single" w:sz="12" w:space="0" w:color="auto"/>
              <w:left w:val="single" w:sz="12" w:space="0" w:color="auto"/>
              <w:bottom w:val="single" w:sz="4" w:space="0" w:color="auto"/>
              <w:right w:val="single" w:sz="12" w:space="0" w:color="auto"/>
            </w:tcBorders>
            <w:noWrap/>
            <w:vAlign w:val="center"/>
            <w:hideMark/>
          </w:tcPr>
          <w:p w14:paraId="0B1537CA" w14:textId="77777777" w:rsidR="0070585C" w:rsidRPr="00D61619" w:rsidRDefault="0070585C" w:rsidP="00936F9F">
            <w:pPr>
              <w:ind w:left="709" w:hanging="709"/>
              <w:jc w:val="left"/>
              <w:rPr>
                <w:b/>
                <w:bCs/>
                <w:color w:val="000000"/>
                <w:szCs w:val="24"/>
              </w:rPr>
            </w:pPr>
            <w:r w:rsidRPr="00D61619">
              <w:rPr>
                <w:b/>
                <w:bCs/>
                <w:color w:val="000000"/>
                <w:szCs w:val="24"/>
              </w:rPr>
              <w:t>3 - 5 let</w:t>
            </w:r>
          </w:p>
        </w:tc>
        <w:tc>
          <w:tcPr>
            <w:tcW w:w="1281" w:type="dxa"/>
            <w:tcBorders>
              <w:top w:val="single" w:sz="12" w:space="0" w:color="auto"/>
              <w:left w:val="single" w:sz="12" w:space="0" w:color="auto"/>
              <w:bottom w:val="single" w:sz="4" w:space="0" w:color="auto"/>
              <w:right w:val="single" w:sz="12" w:space="0" w:color="auto"/>
            </w:tcBorders>
            <w:noWrap/>
            <w:vAlign w:val="center"/>
          </w:tcPr>
          <w:p w14:paraId="4809F5E2" w14:textId="77777777" w:rsidR="0070585C" w:rsidRPr="00D61619" w:rsidRDefault="0070585C" w:rsidP="00936F9F">
            <w:pPr>
              <w:ind w:left="709" w:hanging="709"/>
              <w:jc w:val="right"/>
              <w:rPr>
                <w:bCs/>
                <w:color w:val="000000"/>
                <w:szCs w:val="24"/>
              </w:rPr>
            </w:pPr>
          </w:p>
        </w:tc>
        <w:tc>
          <w:tcPr>
            <w:tcW w:w="1183" w:type="dxa"/>
            <w:tcBorders>
              <w:top w:val="single" w:sz="12" w:space="0" w:color="auto"/>
              <w:left w:val="single" w:sz="12" w:space="0" w:color="auto"/>
              <w:bottom w:val="single" w:sz="4" w:space="0" w:color="auto"/>
              <w:right w:val="single" w:sz="12" w:space="0" w:color="auto"/>
            </w:tcBorders>
            <w:noWrap/>
            <w:vAlign w:val="center"/>
          </w:tcPr>
          <w:p w14:paraId="412AAD1A" w14:textId="77777777" w:rsidR="0070585C" w:rsidRPr="00D61619" w:rsidRDefault="0070585C" w:rsidP="00936F9F">
            <w:pPr>
              <w:ind w:left="709" w:hanging="709"/>
              <w:jc w:val="right"/>
              <w:rPr>
                <w:bCs/>
                <w:color w:val="000000"/>
                <w:szCs w:val="24"/>
              </w:rPr>
            </w:pPr>
          </w:p>
        </w:tc>
        <w:tc>
          <w:tcPr>
            <w:tcW w:w="1184" w:type="dxa"/>
            <w:tcBorders>
              <w:top w:val="single" w:sz="12" w:space="0" w:color="auto"/>
              <w:left w:val="single" w:sz="12" w:space="0" w:color="auto"/>
              <w:bottom w:val="single" w:sz="4" w:space="0" w:color="auto"/>
              <w:right w:val="single" w:sz="12" w:space="0" w:color="auto"/>
            </w:tcBorders>
          </w:tcPr>
          <w:p w14:paraId="1D3F9BA9" w14:textId="77777777" w:rsidR="0070585C" w:rsidRPr="00D61619" w:rsidRDefault="0070585C" w:rsidP="00936F9F">
            <w:pPr>
              <w:jc w:val="right"/>
            </w:pPr>
            <w:r>
              <w:t>540</w:t>
            </w:r>
          </w:p>
        </w:tc>
        <w:tc>
          <w:tcPr>
            <w:tcW w:w="1184" w:type="dxa"/>
            <w:tcBorders>
              <w:top w:val="single" w:sz="12" w:space="0" w:color="auto"/>
              <w:left w:val="single" w:sz="12" w:space="0" w:color="auto"/>
              <w:bottom w:val="single" w:sz="4" w:space="0" w:color="auto"/>
              <w:right w:val="single" w:sz="12" w:space="0" w:color="auto"/>
            </w:tcBorders>
            <w:vAlign w:val="center"/>
          </w:tcPr>
          <w:p w14:paraId="2C435460" w14:textId="77777777" w:rsidR="0070585C" w:rsidRPr="00D61619" w:rsidRDefault="0070585C" w:rsidP="00936F9F">
            <w:pPr>
              <w:ind w:left="709" w:hanging="709"/>
              <w:jc w:val="right"/>
              <w:rPr>
                <w:bCs/>
                <w:color w:val="000000"/>
                <w:szCs w:val="24"/>
              </w:rPr>
            </w:pPr>
          </w:p>
        </w:tc>
        <w:tc>
          <w:tcPr>
            <w:tcW w:w="1184" w:type="dxa"/>
            <w:tcBorders>
              <w:top w:val="single" w:sz="12" w:space="0" w:color="auto"/>
              <w:left w:val="single" w:sz="12" w:space="0" w:color="auto"/>
              <w:bottom w:val="single" w:sz="4" w:space="0" w:color="auto"/>
              <w:right w:val="single" w:sz="12" w:space="0" w:color="auto"/>
            </w:tcBorders>
            <w:noWrap/>
          </w:tcPr>
          <w:p w14:paraId="2E08A046" w14:textId="77777777" w:rsidR="0070585C" w:rsidRPr="00D61619" w:rsidRDefault="0070585C" w:rsidP="00936F9F">
            <w:pPr>
              <w:jc w:val="right"/>
            </w:pPr>
          </w:p>
        </w:tc>
        <w:tc>
          <w:tcPr>
            <w:tcW w:w="1418" w:type="dxa"/>
            <w:tcBorders>
              <w:top w:val="single" w:sz="12" w:space="0" w:color="auto"/>
              <w:left w:val="single" w:sz="12" w:space="0" w:color="auto"/>
              <w:bottom w:val="single" w:sz="4" w:space="0" w:color="auto"/>
              <w:right w:val="single" w:sz="12" w:space="0" w:color="auto"/>
            </w:tcBorders>
            <w:noWrap/>
          </w:tcPr>
          <w:p w14:paraId="1BF95627" w14:textId="77777777" w:rsidR="0070585C" w:rsidRPr="00D61619" w:rsidRDefault="0070585C" w:rsidP="00936F9F">
            <w:pPr>
              <w:jc w:val="right"/>
            </w:pPr>
            <w:r>
              <w:t>1,362</w:t>
            </w:r>
          </w:p>
        </w:tc>
      </w:tr>
      <w:tr w:rsidR="0070585C" w:rsidRPr="00D61619" w14:paraId="7CF67F3B" w14:textId="77777777" w:rsidTr="00F83DD6">
        <w:trPr>
          <w:trHeight w:val="315"/>
        </w:trPr>
        <w:tc>
          <w:tcPr>
            <w:tcW w:w="1505" w:type="dxa"/>
            <w:tcBorders>
              <w:top w:val="nil"/>
              <w:left w:val="single" w:sz="12" w:space="0" w:color="auto"/>
              <w:bottom w:val="single" w:sz="4" w:space="0" w:color="auto"/>
              <w:right w:val="single" w:sz="12" w:space="0" w:color="auto"/>
            </w:tcBorders>
            <w:noWrap/>
            <w:vAlign w:val="center"/>
            <w:hideMark/>
          </w:tcPr>
          <w:p w14:paraId="69A94F60" w14:textId="77777777" w:rsidR="0070585C" w:rsidRPr="00D61619" w:rsidRDefault="0070585C" w:rsidP="00936F9F">
            <w:pPr>
              <w:ind w:left="709" w:hanging="709"/>
              <w:jc w:val="left"/>
              <w:rPr>
                <w:b/>
                <w:bCs/>
                <w:color w:val="000000"/>
                <w:szCs w:val="24"/>
              </w:rPr>
            </w:pPr>
            <w:r w:rsidRPr="00D61619">
              <w:rPr>
                <w:b/>
                <w:bCs/>
                <w:color w:val="000000"/>
                <w:szCs w:val="24"/>
              </w:rPr>
              <w:t>6 - 14 let</w:t>
            </w:r>
          </w:p>
        </w:tc>
        <w:tc>
          <w:tcPr>
            <w:tcW w:w="1281" w:type="dxa"/>
            <w:tcBorders>
              <w:top w:val="nil"/>
              <w:left w:val="single" w:sz="12" w:space="0" w:color="auto"/>
              <w:bottom w:val="single" w:sz="4" w:space="0" w:color="auto"/>
              <w:right w:val="single" w:sz="12" w:space="0" w:color="auto"/>
            </w:tcBorders>
            <w:noWrap/>
            <w:vAlign w:val="center"/>
          </w:tcPr>
          <w:p w14:paraId="1F56FE54" w14:textId="77777777" w:rsidR="0070585C" w:rsidRPr="00D61619" w:rsidRDefault="0070585C" w:rsidP="00936F9F">
            <w:pPr>
              <w:ind w:left="709" w:hanging="709"/>
              <w:jc w:val="right"/>
              <w:rPr>
                <w:bCs/>
                <w:color w:val="000000"/>
                <w:szCs w:val="24"/>
              </w:rPr>
            </w:pPr>
          </w:p>
        </w:tc>
        <w:tc>
          <w:tcPr>
            <w:tcW w:w="1183" w:type="dxa"/>
            <w:tcBorders>
              <w:top w:val="nil"/>
              <w:left w:val="single" w:sz="12" w:space="0" w:color="auto"/>
              <w:bottom w:val="single" w:sz="4" w:space="0" w:color="auto"/>
              <w:right w:val="single" w:sz="12" w:space="0" w:color="auto"/>
            </w:tcBorders>
            <w:noWrap/>
            <w:vAlign w:val="center"/>
          </w:tcPr>
          <w:p w14:paraId="676797EF"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tcPr>
          <w:p w14:paraId="0C3C873D" w14:textId="77777777" w:rsidR="0070585C" w:rsidRPr="00D61619" w:rsidRDefault="0070585C" w:rsidP="00936F9F">
            <w:pPr>
              <w:jc w:val="right"/>
            </w:pPr>
            <w:r>
              <w:t>838</w:t>
            </w:r>
          </w:p>
        </w:tc>
        <w:tc>
          <w:tcPr>
            <w:tcW w:w="1184" w:type="dxa"/>
            <w:tcBorders>
              <w:top w:val="nil"/>
              <w:left w:val="single" w:sz="12" w:space="0" w:color="auto"/>
              <w:bottom w:val="single" w:sz="4" w:space="0" w:color="auto"/>
              <w:right w:val="single" w:sz="12" w:space="0" w:color="auto"/>
            </w:tcBorders>
            <w:vAlign w:val="center"/>
          </w:tcPr>
          <w:p w14:paraId="091CF9B8"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noWrap/>
          </w:tcPr>
          <w:p w14:paraId="37A4B10E" w14:textId="77777777" w:rsidR="0070585C" w:rsidRPr="00D61619" w:rsidRDefault="0070585C" w:rsidP="00936F9F">
            <w:pPr>
              <w:jc w:val="right"/>
            </w:pPr>
          </w:p>
        </w:tc>
        <w:tc>
          <w:tcPr>
            <w:tcW w:w="1418" w:type="dxa"/>
            <w:tcBorders>
              <w:top w:val="nil"/>
              <w:left w:val="single" w:sz="12" w:space="0" w:color="auto"/>
              <w:bottom w:val="single" w:sz="4" w:space="0" w:color="auto"/>
              <w:right w:val="single" w:sz="12" w:space="0" w:color="auto"/>
            </w:tcBorders>
            <w:noWrap/>
          </w:tcPr>
          <w:p w14:paraId="44293C2E" w14:textId="77777777" w:rsidR="0070585C" w:rsidRPr="00D61619" w:rsidRDefault="0070585C" w:rsidP="00936F9F">
            <w:pPr>
              <w:jc w:val="right"/>
            </w:pPr>
            <w:r>
              <w:t>2,113</w:t>
            </w:r>
          </w:p>
        </w:tc>
      </w:tr>
      <w:tr w:rsidR="0070585C" w:rsidRPr="00D61619" w14:paraId="644D13EE" w14:textId="77777777" w:rsidTr="00F83DD6">
        <w:trPr>
          <w:trHeight w:val="315"/>
        </w:trPr>
        <w:tc>
          <w:tcPr>
            <w:tcW w:w="1505" w:type="dxa"/>
            <w:tcBorders>
              <w:top w:val="nil"/>
              <w:left w:val="single" w:sz="12" w:space="0" w:color="auto"/>
              <w:bottom w:val="single" w:sz="4" w:space="0" w:color="auto"/>
              <w:right w:val="single" w:sz="12" w:space="0" w:color="auto"/>
            </w:tcBorders>
            <w:noWrap/>
            <w:vAlign w:val="center"/>
            <w:hideMark/>
          </w:tcPr>
          <w:p w14:paraId="177C086D" w14:textId="77777777" w:rsidR="0070585C" w:rsidRPr="00D61619" w:rsidRDefault="0070585C" w:rsidP="00936F9F">
            <w:pPr>
              <w:ind w:left="709" w:hanging="709"/>
              <w:jc w:val="left"/>
              <w:rPr>
                <w:b/>
                <w:bCs/>
                <w:color w:val="000000"/>
                <w:szCs w:val="24"/>
              </w:rPr>
            </w:pPr>
            <w:r w:rsidRPr="00D61619">
              <w:rPr>
                <w:b/>
                <w:bCs/>
                <w:color w:val="000000"/>
                <w:szCs w:val="24"/>
              </w:rPr>
              <w:t>15 - 18 let</w:t>
            </w:r>
          </w:p>
        </w:tc>
        <w:tc>
          <w:tcPr>
            <w:tcW w:w="1281" w:type="dxa"/>
            <w:tcBorders>
              <w:top w:val="nil"/>
              <w:left w:val="single" w:sz="12" w:space="0" w:color="auto"/>
              <w:bottom w:val="single" w:sz="4" w:space="0" w:color="auto"/>
              <w:right w:val="single" w:sz="12" w:space="0" w:color="auto"/>
            </w:tcBorders>
            <w:noWrap/>
            <w:vAlign w:val="center"/>
          </w:tcPr>
          <w:p w14:paraId="0C5BF92B" w14:textId="77777777" w:rsidR="0070585C" w:rsidRPr="00D61619" w:rsidRDefault="0070585C" w:rsidP="00936F9F">
            <w:pPr>
              <w:ind w:left="709" w:hanging="709"/>
              <w:jc w:val="right"/>
              <w:rPr>
                <w:bCs/>
                <w:color w:val="000000"/>
                <w:szCs w:val="24"/>
              </w:rPr>
            </w:pPr>
          </w:p>
        </w:tc>
        <w:tc>
          <w:tcPr>
            <w:tcW w:w="1183" w:type="dxa"/>
            <w:tcBorders>
              <w:top w:val="nil"/>
              <w:left w:val="single" w:sz="12" w:space="0" w:color="auto"/>
              <w:bottom w:val="single" w:sz="4" w:space="0" w:color="auto"/>
              <w:right w:val="single" w:sz="12" w:space="0" w:color="auto"/>
            </w:tcBorders>
            <w:noWrap/>
            <w:vAlign w:val="center"/>
          </w:tcPr>
          <w:p w14:paraId="3F72A99B"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tcPr>
          <w:p w14:paraId="2CE187FC" w14:textId="77777777" w:rsidR="0070585C" w:rsidRPr="00D61619" w:rsidRDefault="0070585C" w:rsidP="00936F9F">
            <w:pPr>
              <w:jc w:val="right"/>
            </w:pPr>
            <w:r>
              <w:t>97</w:t>
            </w:r>
          </w:p>
        </w:tc>
        <w:tc>
          <w:tcPr>
            <w:tcW w:w="1184" w:type="dxa"/>
            <w:tcBorders>
              <w:top w:val="nil"/>
              <w:left w:val="single" w:sz="12" w:space="0" w:color="auto"/>
              <w:bottom w:val="single" w:sz="4" w:space="0" w:color="auto"/>
              <w:right w:val="single" w:sz="12" w:space="0" w:color="auto"/>
            </w:tcBorders>
            <w:vAlign w:val="center"/>
          </w:tcPr>
          <w:p w14:paraId="632A9EDE"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noWrap/>
          </w:tcPr>
          <w:p w14:paraId="751DA00F" w14:textId="77777777" w:rsidR="0070585C" w:rsidRPr="00D61619" w:rsidRDefault="0070585C" w:rsidP="00936F9F">
            <w:pPr>
              <w:jc w:val="right"/>
            </w:pPr>
          </w:p>
        </w:tc>
        <w:tc>
          <w:tcPr>
            <w:tcW w:w="1418" w:type="dxa"/>
            <w:tcBorders>
              <w:top w:val="nil"/>
              <w:left w:val="single" w:sz="12" w:space="0" w:color="auto"/>
              <w:bottom w:val="single" w:sz="4" w:space="0" w:color="auto"/>
              <w:right w:val="single" w:sz="12" w:space="0" w:color="auto"/>
            </w:tcBorders>
            <w:noWrap/>
          </w:tcPr>
          <w:p w14:paraId="0C92517E" w14:textId="77777777" w:rsidR="0070585C" w:rsidRPr="00D61619" w:rsidRDefault="0070585C" w:rsidP="00936F9F">
            <w:pPr>
              <w:jc w:val="right"/>
            </w:pPr>
            <w:r>
              <w:t>0,246</w:t>
            </w:r>
          </w:p>
        </w:tc>
      </w:tr>
      <w:tr w:rsidR="0070585C" w:rsidRPr="00D61619" w14:paraId="42A949DE" w14:textId="77777777" w:rsidTr="00F83DD6">
        <w:trPr>
          <w:trHeight w:val="315"/>
        </w:trPr>
        <w:tc>
          <w:tcPr>
            <w:tcW w:w="1505" w:type="dxa"/>
            <w:tcBorders>
              <w:top w:val="nil"/>
              <w:left w:val="single" w:sz="12" w:space="0" w:color="auto"/>
              <w:bottom w:val="single" w:sz="4" w:space="0" w:color="auto"/>
              <w:right w:val="single" w:sz="12" w:space="0" w:color="auto"/>
            </w:tcBorders>
            <w:noWrap/>
            <w:vAlign w:val="center"/>
            <w:hideMark/>
          </w:tcPr>
          <w:p w14:paraId="7C028466" w14:textId="77777777" w:rsidR="0070585C" w:rsidRPr="00D61619" w:rsidRDefault="0070585C" w:rsidP="00936F9F">
            <w:pPr>
              <w:ind w:left="709" w:hanging="709"/>
              <w:jc w:val="left"/>
              <w:rPr>
                <w:b/>
                <w:bCs/>
                <w:color w:val="000000"/>
                <w:szCs w:val="24"/>
              </w:rPr>
            </w:pPr>
            <w:r w:rsidRPr="00D61619">
              <w:rPr>
                <w:b/>
                <w:bCs/>
                <w:color w:val="000000"/>
                <w:szCs w:val="24"/>
              </w:rPr>
              <w:t>19 - 21 let</w:t>
            </w:r>
          </w:p>
        </w:tc>
        <w:tc>
          <w:tcPr>
            <w:tcW w:w="1281" w:type="dxa"/>
            <w:tcBorders>
              <w:top w:val="nil"/>
              <w:left w:val="single" w:sz="12" w:space="0" w:color="auto"/>
              <w:bottom w:val="single" w:sz="4" w:space="0" w:color="auto"/>
              <w:right w:val="single" w:sz="12" w:space="0" w:color="auto"/>
            </w:tcBorders>
            <w:noWrap/>
            <w:vAlign w:val="center"/>
          </w:tcPr>
          <w:p w14:paraId="079E2F53" w14:textId="77777777" w:rsidR="0070585C" w:rsidRPr="00D61619" w:rsidRDefault="0070585C" w:rsidP="00936F9F">
            <w:pPr>
              <w:ind w:left="709" w:hanging="709"/>
              <w:jc w:val="right"/>
              <w:rPr>
                <w:bCs/>
                <w:color w:val="000000"/>
                <w:szCs w:val="24"/>
              </w:rPr>
            </w:pPr>
          </w:p>
        </w:tc>
        <w:tc>
          <w:tcPr>
            <w:tcW w:w="1183" w:type="dxa"/>
            <w:tcBorders>
              <w:top w:val="nil"/>
              <w:left w:val="single" w:sz="12" w:space="0" w:color="auto"/>
              <w:bottom w:val="single" w:sz="4" w:space="0" w:color="auto"/>
              <w:right w:val="single" w:sz="12" w:space="0" w:color="auto"/>
            </w:tcBorders>
            <w:noWrap/>
            <w:vAlign w:val="center"/>
          </w:tcPr>
          <w:p w14:paraId="5A8A36C7"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vAlign w:val="center"/>
          </w:tcPr>
          <w:p w14:paraId="03644FE8"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vAlign w:val="center"/>
          </w:tcPr>
          <w:p w14:paraId="3A5A2211"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4" w:space="0" w:color="auto"/>
              <w:right w:val="single" w:sz="12" w:space="0" w:color="auto"/>
            </w:tcBorders>
            <w:noWrap/>
            <w:vAlign w:val="center"/>
          </w:tcPr>
          <w:p w14:paraId="2ED9B527" w14:textId="77777777" w:rsidR="0070585C" w:rsidRPr="00D61619" w:rsidRDefault="0070585C" w:rsidP="00936F9F">
            <w:pPr>
              <w:ind w:left="709" w:hanging="709"/>
              <w:jc w:val="right"/>
              <w:rPr>
                <w:bCs/>
                <w:color w:val="000000"/>
                <w:szCs w:val="24"/>
              </w:rPr>
            </w:pPr>
          </w:p>
        </w:tc>
        <w:tc>
          <w:tcPr>
            <w:tcW w:w="1418" w:type="dxa"/>
            <w:tcBorders>
              <w:top w:val="nil"/>
              <w:left w:val="single" w:sz="12" w:space="0" w:color="auto"/>
              <w:bottom w:val="single" w:sz="4" w:space="0" w:color="auto"/>
              <w:right w:val="single" w:sz="12" w:space="0" w:color="auto"/>
            </w:tcBorders>
            <w:noWrap/>
            <w:vAlign w:val="center"/>
          </w:tcPr>
          <w:p w14:paraId="71075DE0" w14:textId="77777777" w:rsidR="0070585C" w:rsidRPr="00D61619" w:rsidRDefault="0070585C" w:rsidP="00936F9F">
            <w:pPr>
              <w:ind w:left="709" w:hanging="709"/>
              <w:jc w:val="right"/>
              <w:rPr>
                <w:bCs/>
                <w:color w:val="000000"/>
                <w:szCs w:val="24"/>
              </w:rPr>
            </w:pPr>
          </w:p>
        </w:tc>
      </w:tr>
      <w:tr w:rsidR="0070585C" w:rsidRPr="00D61619" w14:paraId="004DF467" w14:textId="77777777" w:rsidTr="00F83DD6">
        <w:trPr>
          <w:trHeight w:val="315"/>
        </w:trPr>
        <w:tc>
          <w:tcPr>
            <w:tcW w:w="1505" w:type="dxa"/>
            <w:tcBorders>
              <w:top w:val="nil"/>
              <w:left w:val="single" w:sz="12" w:space="0" w:color="auto"/>
              <w:bottom w:val="single" w:sz="12" w:space="0" w:color="auto"/>
              <w:right w:val="single" w:sz="12" w:space="0" w:color="auto"/>
            </w:tcBorders>
            <w:noWrap/>
            <w:vAlign w:val="center"/>
            <w:hideMark/>
          </w:tcPr>
          <w:p w14:paraId="7383AE46" w14:textId="77777777" w:rsidR="0070585C" w:rsidRPr="00D61619" w:rsidRDefault="0070585C" w:rsidP="00936F9F">
            <w:pPr>
              <w:ind w:left="709" w:hanging="709"/>
              <w:jc w:val="left"/>
              <w:rPr>
                <w:b/>
                <w:bCs/>
                <w:color w:val="000000"/>
                <w:szCs w:val="24"/>
              </w:rPr>
            </w:pPr>
            <w:r w:rsidRPr="00D61619">
              <w:rPr>
                <w:b/>
                <w:bCs/>
                <w:color w:val="000000"/>
                <w:szCs w:val="24"/>
              </w:rPr>
              <w:t>KZÚV</w:t>
            </w:r>
          </w:p>
        </w:tc>
        <w:tc>
          <w:tcPr>
            <w:tcW w:w="1281" w:type="dxa"/>
            <w:tcBorders>
              <w:top w:val="nil"/>
              <w:left w:val="single" w:sz="12" w:space="0" w:color="auto"/>
              <w:bottom w:val="single" w:sz="12" w:space="0" w:color="auto"/>
              <w:right w:val="single" w:sz="12" w:space="0" w:color="auto"/>
            </w:tcBorders>
            <w:noWrap/>
            <w:vAlign w:val="center"/>
          </w:tcPr>
          <w:p w14:paraId="1DC1B176" w14:textId="77777777" w:rsidR="0070585C" w:rsidRPr="00D61619" w:rsidRDefault="0070585C" w:rsidP="00936F9F">
            <w:pPr>
              <w:ind w:left="709" w:hanging="709"/>
              <w:jc w:val="right"/>
              <w:rPr>
                <w:bCs/>
                <w:color w:val="000000"/>
                <w:szCs w:val="24"/>
              </w:rPr>
            </w:pPr>
          </w:p>
        </w:tc>
        <w:tc>
          <w:tcPr>
            <w:tcW w:w="1183" w:type="dxa"/>
            <w:tcBorders>
              <w:top w:val="nil"/>
              <w:left w:val="single" w:sz="12" w:space="0" w:color="auto"/>
              <w:bottom w:val="single" w:sz="12" w:space="0" w:color="auto"/>
              <w:right w:val="single" w:sz="12" w:space="0" w:color="auto"/>
            </w:tcBorders>
            <w:noWrap/>
            <w:vAlign w:val="center"/>
          </w:tcPr>
          <w:p w14:paraId="2AC1C36D"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12" w:space="0" w:color="auto"/>
              <w:right w:val="single" w:sz="12" w:space="0" w:color="auto"/>
            </w:tcBorders>
            <w:vAlign w:val="center"/>
          </w:tcPr>
          <w:p w14:paraId="6672F1FB"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12" w:space="0" w:color="auto"/>
              <w:right w:val="single" w:sz="12" w:space="0" w:color="auto"/>
            </w:tcBorders>
            <w:vAlign w:val="center"/>
          </w:tcPr>
          <w:p w14:paraId="62BA0BAA" w14:textId="77777777" w:rsidR="0070585C" w:rsidRPr="00D61619" w:rsidRDefault="0070585C" w:rsidP="00936F9F">
            <w:pPr>
              <w:ind w:left="709" w:hanging="709"/>
              <w:jc w:val="right"/>
              <w:rPr>
                <w:bCs/>
                <w:color w:val="000000"/>
                <w:szCs w:val="24"/>
              </w:rPr>
            </w:pPr>
          </w:p>
        </w:tc>
        <w:tc>
          <w:tcPr>
            <w:tcW w:w="1184" w:type="dxa"/>
            <w:tcBorders>
              <w:top w:val="nil"/>
              <w:left w:val="single" w:sz="12" w:space="0" w:color="auto"/>
              <w:bottom w:val="single" w:sz="12" w:space="0" w:color="auto"/>
              <w:right w:val="single" w:sz="12" w:space="0" w:color="auto"/>
            </w:tcBorders>
            <w:noWrap/>
            <w:vAlign w:val="center"/>
          </w:tcPr>
          <w:p w14:paraId="165E5EAA" w14:textId="77777777" w:rsidR="0070585C" w:rsidRPr="00D61619" w:rsidRDefault="0070585C" w:rsidP="00936F9F">
            <w:pPr>
              <w:ind w:left="709" w:hanging="709"/>
              <w:jc w:val="right"/>
              <w:rPr>
                <w:bCs/>
                <w:color w:val="000000"/>
                <w:szCs w:val="24"/>
              </w:rPr>
            </w:pPr>
          </w:p>
        </w:tc>
        <w:tc>
          <w:tcPr>
            <w:tcW w:w="1418" w:type="dxa"/>
            <w:tcBorders>
              <w:top w:val="nil"/>
              <w:left w:val="single" w:sz="12" w:space="0" w:color="auto"/>
              <w:bottom w:val="single" w:sz="12" w:space="0" w:color="auto"/>
              <w:right w:val="single" w:sz="12" w:space="0" w:color="auto"/>
            </w:tcBorders>
            <w:noWrap/>
            <w:vAlign w:val="center"/>
          </w:tcPr>
          <w:p w14:paraId="3D62546F" w14:textId="77777777" w:rsidR="0070585C" w:rsidRPr="00D61619" w:rsidRDefault="0070585C" w:rsidP="00936F9F">
            <w:pPr>
              <w:ind w:left="709" w:hanging="709"/>
              <w:jc w:val="right"/>
              <w:rPr>
                <w:bCs/>
                <w:color w:val="000000"/>
                <w:szCs w:val="24"/>
              </w:rPr>
            </w:pPr>
          </w:p>
        </w:tc>
      </w:tr>
    </w:tbl>
    <w:p w14:paraId="49A5D13C" w14:textId="77777777" w:rsidR="0070585C" w:rsidRPr="00CC5B18" w:rsidRDefault="0070585C" w:rsidP="0070585C">
      <w:pPr>
        <w:tabs>
          <w:tab w:val="left" w:pos="1418"/>
        </w:tabs>
        <w:ind w:left="567"/>
        <w:rPr>
          <w:color w:val="000000"/>
          <w:szCs w:val="24"/>
          <w:highlight w:val="cyan"/>
          <w:u w:val="single"/>
        </w:rPr>
      </w:pPr>
    </w:p>
    <w:p w14:paraId="7958BF04" w14:textId="77777777" w:rsidR="0070585C" w:rsidRPr="00D61619" w:rsidRDefault="0070585C" w:rsidP="0070585C">
      <w:pPr>
        <w:ind w:left="567" w:hanging="567"/>
        <w:rPr>
          <w:color w:val="000000"/>
          <w:szCs w:val="24"/>
          <w:u w:val="single"/>
        </w:rPr>
      </w:pPr>
      <w:r w:rsidRPr="00D61619">
        <w:rPr>
          <w:b/>
          <w:color w:val="000000"/>
          <w:szCs w:val="24"/>
        </w:rPr>
        <w:t>Po první úpravě tedy RN činí:</w:t>
      </w:r>
    </w:p>
    <w:tbl>
      <w:tblPr>
        <w:tblW w:w="8948" w:type="dxa"/>
        <w:tblInd w:w="57" w:type="dxa"/>
        <w:tblLayout w:type="fixed"/>
        <w:tblCellMar>
          <w:left w:w="70" w:type="dxa"/>
          <w:right w:w="70" w:type="dxa"/>
        </w:tblCellMar>
        <w:tblLook w:val="04A0" w:firstRow="1" w:lastRow="0" w:firstColumn="1" w:lastColumn="0" w:noHBand="0" w:noVBand="1"/>
      </w:tblPr>
      <w:tblGrid>
        <w:gridCol w:w="1413"/>
        <w:gridCol w:w="1276"/>
        <w:gridCol w:w="1419"/>
        <w:gridCol w:w="1278"/>
        <w:gridCol w:w="1135"/>
        <w:gridCol w:w="1134"/>
        <w:gridCol w:w="1275"/>
        <w:gridCol w:w="18"/>
      </w:tblGrid>
      <w:tr w:rsidR="0070585C" w:rsidRPr="00D61619" w14:paraId="59D7A718" w14:textId="77777777" w:rsidTr="00F83DD6">
        <w:trPr>
          <w:trHeight w:val="1055"/>
        </w:trPr>
        <w:tc>
          <w:tcPr>
            <w:tcW w:w="1413"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5CA4EAF9" w14:textId="77777777" w:rsidR="0070585C" w:rsidRPr="00D61619" w:rsidRDefault="0070585C" w:rsidP="00936F9F">
            <w:pPr>
              <w:ind w:left="709" w:hanging="709"/>
              <w:jc w:val="center"/>
              <w:rPr>
                <w:b/>
                <w:bCs/>
                <w:color w:val="000000"/>
                <w:szCs w:val="24"/>
              </w:rPr>
            </w:pPr>
            <w:r w:rsidRPr="00D61619">
              <w:rPr>
                <w:b/>
                <w:bCs/>
                <w:color w:val="000000"/>
                <w:szCs w:val="24"/>
              </w:rPr>
              <w:t xml:space="preserve">Věková </w:t>
            </w:r>
          </w:p>
          <w:p w14:paraId="3DD7294D" w14:textId="77777777" w:rsidR="0070585C" w:rsidRPr="00D61619" w:rsidRDefault="0070585C" w:rsidP="00936F9F">
            <w:pPr>
              <w:ind w:left="709" w:hanging="709"/>
              <w:jc w:val="center"/>
              <w:rPr>
                <w:b/>
                <w:bCs/>
                <w:szCs w:val="24"/>
              </w:rPr>
            </w:pPr>
            <w:r w:rsidRPr="00D61619">
              <w:rPr>
                <w:b/>
                <w:bCs/>
                <w:szCs w:val="24"/>
              </w:rPr>
              <w:t>kategorie</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02583675" w14:textId="77777777" w:rsidR="0070585C" w:rsidRPr="00D61619" w:rsidRDefault="0070585C" w:rsidP="00936F9F">
            <w:pPr>
              <w:ind w:left="709" w:hanging="709"/>
              <w:jc w:val="center"/>
              <w:rPr>
                <w:b/>
                <w:bCs/>
                <w:color w:val="000000"/>
                <w:szCs w:val="24"/>
              </w:rPr>
            </w:pPr>
            <w:r w:rsidRPr="00D61619">
              <w:rPr>
                <w:b/>
                <w:bCs/>
                <w:color w:val="000000"/>
                <w:szCs w:val="24"/>
              </w:rPr>
              <w:t>NIV</w:t>
            </w:r>
          </w:p>
          <w:p w14:paraId="0D2DE4EC" w14:textId="77777777" w:rsidR="0070585C" w:rsidRPr="00D61619" w:rsidRDefault="0070585C" w:rsidP="00936F9F">
            <w:pPr>
              <w:jc w:val="center"/>
              <w:rPr>
                <w:b/>
                <w:bCs/>
                <w:szCs w:val="24"/>
              </w:rPr>
            </w:pPr>
            <w:r w:rsidRPr="00D61619">
              <w:rPr>
                <w:b/>
                <w:bCs/>
                <w:szCs w:val="24"/>
              </w:rPr>
              <w:t>celkem</w:t>
            </w:r>
          </w:p>
          <w:p w14:paraId="34B3F0FA" w14:textId="77777777" w:rsidR="0070585C" w:rsidRPr="00D61619" w:rsidRDefault="0070585C" w:rsidP="00936F9F">
            <w:pPr>
              <w:ind w:left="709" w:hanging="709"/>
              <w:jc w:val="center"/>
              <w:rPr>
                <w:rFonts w:ascii="Calibri" w:hAnsi="Calibri"/>
                <w:b/>
                <w:bCs/>
                <w:color w:val="000000"/>
                <w:szCs w:val="24"/>
              </w:rPr>
            </w:pPr>
            <w:r w:rsidRPr="00D61619">
              <w:rPr>
                <w:b/>
                <w:bCs/>
                <w:szCs w:val="24"/>
              </w:rPr>
              <w:t>Kč/žáka</w:t>
            </w:r>
          </w:p>
        </w:tc>
        <w:tc>
          <w:tcPr>
            <w:tcW w:w="1419"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76307CFA" w14:textId="77777777" w:rsidR="0070585C" w:rsidRPr="00D61619" w:rsidRDefault="0070585C" w:rsidP="00936F9F">
            <w:pPr>
              <w:ind w:left="709" w:hanging="709"/>
              <w:jc w:val="center"/>
              <w:rPr>
                <w:b/>
                <w:bCs/>
                <w:color w:val="000000"/>
                <w:szCs w:val="24"/>
              </w:rPr>
            </w:pPr>
            <w:r w:rsidRPr="00D61619">
              <w:rPr>
                <w:b/>
                <w:bCs/>
                <w:color w:val="000000"/>
                <w:szCs w:val="24"/>
              </w:rPr>
              <w:t>MP</w:t>
            </w:r>
          </w:p>
          <w:p w14:paraId="3D376F6E"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12BAA0B6" w14:textId="77777777" w:rsidR="0070585C" w:rsidRPr="00D61619" w:rsidRDefault="0070585C" w:rsidP="00936F9F">
            <w:pPr>
              <w:jc w:val="center"/>
              <w:rPr>
                <w:b/>
                <w:bCs/>
                <w:szCs w:val="24"/>
              </w:rPr>
            </w:pPr>
            <w:r w:rsidRPr="00D61619">
              <w:rPr>
                <w:b/>
                <w:bCs/>
                <w:szCs w:val="24"/>
              </w:rPr>
              <w:t>vč. odvodů</w:t>
            </w:r>
          </w:p>
          <w:p w14:paraId="1CB4201D" w14:textId="77777777" w:rsidR="0070585C" w:rsidRPr="00D61619" w:rsidRDefault="0070585C" w:rsidP="00936F9F">
            <w:pPr>
              <w:ind w:left="709" w:hanging="709"/>
              <w:jc w:val="center"/>
              <w:rPr>
                <w:b/>
                <w:bCs/>
                <w:color w:val="000000"/>
                <w:szCs w:val="24"/>
              </w:rPr>
            </w:pPr>
            <w:r w:rsidRPr="00D61619">
              <w:rPr>
                <w:b/>
                <w:bCs/>
                <w:szCs w:val="24"/>
              </w:rPr>
              <w:t>Kč/žáka</w:t>
            </w:r>
          </w:p>
        </w:tc>
        <w:tc>
          <w:tcPr>
            <w:tcW w:w="127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40C2A4" w14:textId="77777777" w:rsidR="0070585C" w:rsidRPr="00D61619" w:rsidRDefault="0070585C" w:rsidP="00936F9F">
            <w:pPr>
              <w:ind w:left="709" w:hanging="709"/>
              <w:jc w:val="center"/>
              <w:rPr>
                <w:b/>
                <w:bCs/>
                <w:color w:val="000000"/>
                <w:szCs w:val="24"/>
              </w:rPr>
            </w:pPr>
            <w:r w:rsidRPr="00D61619">
              <w:rPr>
                <w:b/>
                <w:bCs/>
                <w:color w:val="000000"/>
                <w:szCs w:val="24"/>
              </w:rPr>
              <w:t>MPP</w:t>
            </w:r>
          </w:p>
          <w:p w14:paraId="6077D9B4"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70E7BD35" w14:textId="77777777" w:rsidR="0070585C" w:rsidRPr="00D61619" w:rsidRDefault="0070585C" w:rsidP="00936F9F">
            <w:pPr>
              <w:jc w:val="center"/>
              <w:rPr>
                <w:b/>
                <w:bCs/>
                <w:szCs w:val="24"/>
              </w:rPr>
            </w:pPr>
            <w:r w:rsidRPr="00D61619">
              <w:rPr>
                <w:b/>
                <w:bCs/>
                <w:szCs w:val="24"/>
              </w:rPr>
              <w:t>vč. odvodů</w:t>
            </w:r>
          </w:p>
          <w:p w14:paraId="05528CE6" w14:textId="77777777" w:rsidR="0070585C" w:rsidRPr="00D61619" w:rsidRDefault="0070585C" w:rsidP="00936F9F">
            <w:pPr>
              <w:ind w:left="709" w:hanging="709"/>
              <w:jc w:val="center"/>
              <w:rPr>
                <w:b/>
                <w:bCs/>
                <w:color w:val="000000"/>
                <w:szCs w:val="24"/>
              </w:rPr>
            </w:pPr>
            <w:r w:rsidRPr="00D61619">
              <w:rPr>
                <w:b/>
                <w:bCs/>
                <w:szCs w:val="24"/>
              </w:rPr>
              <w:t>Kč/žáka</w:t>
            </w:r>
          </w:p>
        </w:tc>
        <w:tc>
          <w:tcPr>
            <w:tcW w:w="113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F403BC" w14:textId="77777777" w:rsidR="0070585C" w:rsidRPr="00D61619" w:rsidRDefault="0070585C" w:rsidP="00936F9F">
            <w:pPr>
              <w:ind w:left="709" w:hanging="709"/>
              <w:jc w:val="center"/>
              <w:rPr>
                <w:b/>
                <w:bCs/>
                <w:color w:val="000000"/>
                <w:szCs w:val="24"/>
              </w:rPr>
            </w:pPr>
            <w:r w:rsidRPr="00D61619">
              <w:rPr>
                <w:b/>
                <w:bCs/>
                <w:color w:val="000000"/>
                <w:szCs w:val="24"/>
              </w:rPr>
              <w:t>MPN</w:t>
            </w:r>
          </w:p>
          <w:p w14:paraId="0E401546" w14:textId="77777777" w:rsidR="0070585C" w:rsidRPr="00D61619" w:rsidRDefault="0070585C" w:rsidP="00936F9F">
            <w:pPr>
              <w:ind w:left="709" w:hanging="709"/>
              <w:jc w:val="center"/>
              <w:rPr>
                <w:b/>
                <w:bCs/>
                <w:color w:val="000000"/>
                <w:szCs w:val="24"/>
              </w:rPr>
            </w:pPr>
            <w:r w:rsidRPr="00D61619">
              <w:rPr>
                <w:b/>
                <w:bCs/>
                <w:color w:val="000000"/>
                <w:szCs w:val="24"/>
              </w:rPr>
              <w:t>celkem</w:t>
            </w:r>
          </w:p>
          <w:p w14:paraId="4B7CC6F7" w14:textId="77777777" w:rsidR="0070585C" w:rsidRPr="00D61619" w:rsidRDefault="0070585C" w:rsidP="00936F9F">
            <w:pPr>
              <w:ind w:left="13" w:hanging="13"/>
              <w:jc w:val="center"/>
              <w:rPr>
                <w:b/>
                <w:bCs/>
                <w:szCs w:val="24"/>
              </w:rPr>
            </w:pPr>
            <w:r w:rsidRPr="00D61619">
              <w:rPr>
                <w:b/>
                <w:bCs/>
                <w:szCs w:val="24"/>
              </w:rPr>
              <w:t>vč. odvodů</w:t>
            </w:r>
          </w:p>
          <w:p w14:paraId="0CE9D5D7" w14:textId="77777777" w:rsidR="0070585C" w:rsidRPr="00D61619" w:rsidRDefault="0070585C" w:rsidP="00936F9F">
            <w:pPr>
              <w:ind w:left="709" w:hanging="709"/>
              <w:jc w:val="center"/>
              <w:rPr>
                <w:b/>
                <w:bCs/>
                <w:color w:val="000000"/>
                <w:szCs w:val="24"/>
              </w:rPr>
            </w:pPr>
            <w:r w:rsidRPr="00D61619">
              <w:rPr>
                <w:b/>
                <w:bCs/>
                <w:szCs w:val="24"/>
              </w:rPr>
              <w:t>Kč/žáka</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01BD3FFF" w14:textId="77777777" w:rsidR="0070585C" w:rsidRPr="00D61619" w:rsidRDefault="0070585C" w:rsidP="00936F9F">
            <w:pPr>
              <w:ind w:left="709" w:hanging="709"/>
              <w:jc w:val="center"/>
              <w:rPr>
                <w:b/>
                <w:bCs/>
                <w:color w:val="000000"/>
                <w:szCs w:val="24"/>
              </w:rPr>
            </w:pPr>
            <w:r w:rsidRPr="00D61619">
              <w:rPr>
                <w:b/>
                <w:bCs/>
                <w:color w:val="000000"/>
                <w:szCs w:val="24"/>
              </w:rPr>
              <w:t>ONIV</w:t>
            </w:r>
          </w:p>
          <w:p w14:paraId="544CD787" w14:textId="77777777" w:rsidR="0070585C" w:rsidRPr="00D61619" w:rsidRDefault="0070585C" w:rsidP="00936F9F">
            <w:pPr>
              <w:ind w:left="709" w:hanging="709"/>
              <w:jc w:val="center"/>
              <w:rPr>
                <w:b/>
                <w:bCs/>
                <w:szCs w:val="24"/>
              </w:rPr>
            </w:pPr>
            <w:r w:rsidRPr="00D61619">
              <w:rPr>
                <w:b/>
                <w:bCs/>
                <w:szCs w:val="24"/>
              </w:rPr>
              <w:t>celkem</w:t>
            </w:r>
          </w:p>
          <w:p w14:paraId="22F5313C" w14:textId="77777777" w:rsidR="0070585C" w:rsidRPr="00D61619" w:rsidRDefault="0070585C" w:rsidP="00936F9F">
            <w:pPr>
              <w:ind w:left="709" w:hanging="709"/>
              <w:jc w:val="center"/>
              <w:rPr>
                <w:rFonts w:ascii="Calibri" w:hAnsi="Calibri"/>
                <w:b/>
                <w:bCs/>
                <w:color w:val="000000"/>
                <w:szCs w:val="24"/>
              </w:rPr>
            </w:pPr>
            <w:r w:rsidRPr="00D61619">
              <w:rPr>
                <w:b/>
                <w:bCs/>
                <w:szCs w:val="24"/>
              </w:rPr>
              <w:t>Kč/žáka</w:t>
            </w:r>
          </w:p>
        </w:tc>
        <w:tc>
          <w:tcPr>
            <w:tcW w:w="1293" w:type="dxa"/>
            <w:gridSpan w:val="2"/>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336E9773" w14:textId="77777777" w:rsidR="0070585C" w:rsidRPr="00D61619" w:rsidRDefault="0070585C" w:rsidP="00936F9F">
            <w:pPr>
              <w:ind w:left="709" w:hanging="709"/>
              <w:jc w:val="center"/>
              <w:rPr>
                <w:b/>
                <w:bCs/>
                <w:color w:val="000000"/>
                <w:szCs w:val="24"/>
              </w:rPr>
            </w:pPr>
            <w:r w:rsidRPr="00D61619">
              <w:rPr>
                <w:b/>
                <w:bCs/>
                <w:color w:val="000000"/>
                <w:szCs w:val="24"/>
              </w:rPr>
              <w:t>Zam.</w:t>
            </w:r>
          </w:p>
          <w:p w14:paraId="34B4E9A6" w14:textId="77777777" w:rsidR="0070585C" w:rsidRPr="00D61619" w:rsidRDefault="0070585C" w:rsidP="00936F9F">
            <w:pPr>
              <w:ind w:left="709" w:hanging="709"/>
              <w:jc w:val="center"/>
              <w:rPr>
                <w:b/>
                <w:bCs/>
                <w:szCs w:val="24"/>
              </w:rPr>
            </w:pPr>
            <w:r w:rsidRPr="00D61619">
              <w:rPr>
                <w:b/>
                <w:bCs/>
                <w:szCs w:val="24"/>
              </w:rPr>
              <w:t> </w:t>
            </w:r>
          </w:p>
          <w:p w14:paraId="1B745B1A" w14:textId="77777777" w:rsidR="0070585C" w:rsidRPr="00D61619" w:rsidRDefault="0070585C" w:rsidP="00936F9F">
            <w:pPr>
              <w:ind w:left="709" w:hanging="709"/>
              <w:jc w:val="center"/>
              <w:rPr>
                <w:rFonts w:ascii="Calibri" w:hAnsi="Calibri"/>
                <w:b/>
                <w:bCs/>
                <w:color w:val="000000"/>
                <w:szCs w:val="24"/>
              </w:rPr>
            </w:pPr>
            <w:r w:rsidRPr="00D61619">
              <w:rPr>
                <w:b/>
                <w:bCs/>
                <w:szCs w:val="24"/>
              </w:rPr>
              <w:t>Z./1000ž</w:t>
            </w:r>
          </w:p>
        </w:tc>
      </w:tr>
      <w:tr w:rsidR="0070585C" w:rsidRPr="00D61619" w14:paraId="4D68A012" w14:textId="77777777" w:rsidTr="00F83DD6">
        <w:trPr>
          <w:trHeight w:hRule="exact" w:val="284"/>
        </w:trPr>
        <w:tc>
          <w:tcPr>
            <w:tcW w:w="141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1323BD4" w14:textId="77777777" w:rsidR="0070585C" w:rsidRPr="00D61619" w:rsidRDefault="0070585C" w:rsidP="00936F9F">
            <w:pPr>
              <w:ind w:left="709" w:hanging="709"/>
              <w:jc w:val="left"/>
              <w:rPr>
                <w:b/>
                <w:bCs/>
                <w:color w:val="000000"/>
                <w:szCs w:val="24"/>
              </w:rPr>
            </w:pPr>
            <w:r w:rsidRPr="00D61619">
              <w:rPr>
                <w:b/>
                <w:bCs/>
                <w:color w:val="000000"/>
                <w:szCs w:val="24"/>
              </w:rPr>
              <w:t>3 - 5 let</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14:paraId="3F2E1460" w14:textId="77777777" w:rsidR="0070585C" w:rsidRPr="00D61619" w:rsidRDefault="0070585C" w:rsidP="00936F9F">
            <w:pPr>
              <w:jc w:val="right"/>
              <w:rPr>
                <w:szCs w:val="22"/>
              </w:rPr>
            </w:pPr>
            <w:r>
              <w:rPr>
                <w:szCs w:val="22"/>
              </w:rPr>
              <w:t>51 480</w:t>
            </w:r>
          </w:p>
        </w:tc>
        <w:tc>
          <w:tcPr>
            <w:tcW w:w="141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5D070FA" w14:textId="77777777" w:rsidR="0070585C" w:rsidRPr="00D61619" w:rsidRDefault="0070585C" w:rsidP="00936F9F">
            <w:pPr>
              <w:jc w:val="right"/>
              <w:rPr>
                <w:szCs w:val="22"/>
              </w:rPr>
            </w:pPr>
            <w:r>
              <w:rPr>
                <w:szCs w:val="22"/>
              </w:rPr>
              <w:t>50 981</w:t>
            </w:r>
          </w:p>
        </w:tc>
        <w:tc>
          <w:tcPr>
            <w:tcW w:w="1278" w:type="dxa"/>
            <w:tcBorders>
              <w:top w:val="single" w:sz="8" w:space="0" w:color="auto"/>
              <w:left w:val="single" w:sz="8" w:space="0" w:color="auto"/>
              <w:bottom w:val="single" w:sz="4" w:space="0" w:color="auto"/>
              <w:right w:val="single" w:sz="8" w:space="0" w:color="auto"/>
            </w:tcBorders>
            <w:vAlign w:val="center"/>
          </w:tcPr>
          <w:p w14:paraId="088B1950" w14:textId="77777777" w:rsidR="0070585C" w:rsidRPr="00D61619" w:rsidRDefault="0070585C" w:rsidP="00936F9F">
            <w:pPr>
              <w:jc w:val="right"/>
              <w:rPr>
                <w:szCs w:val="22"/>
              </w:rPr>
            </w:pPr>
            <w:r>
              <w:rPr>
                <w:szCs w:val="22"/>
              </w:rPr>
              <w:t>39 266</w:t>
            </w:r>
          </w:p>
        </w:tc>
        <w:tc>
          <w:tcPr>
            <w:tcW w:w="1135" w:type="dxa"/>
            <w:tcBorders>
              <w:top w:val="single" w:sz="8" w:space="0" w:color="auto"/>
              <w:left w:val="single" w:sz="8" w:space="0" w:color="auto"/>
              <w:bottom w:val="single" w:sz="4" w:space="0" w:color="auto"/>
              <w:right w:val="single" w:sz="8" w:space="0" w:color="auto"/>
            </w:tcBorders>
            <w:vAlign w:val="center"/>
          </w:tcPr>
          <w:p w14:paraId="5B56DA84" w14:textId="77777777" w:rsidR="0070585C" w:rsidRPr="00D61619" w:rsidRDefault="0070585C" w:rsidP="00936F9F">
            <w:pPr>
              <w:jc w:val="right"/>
              <w:rPr>
                <w:szCs w:val="22"/>
              </w:rPr>
            </w:pPr>
            <w:r>
              <w:rPr>
                <w:szCs w:val="22"/>
              </w:rPr>
              <w:t>11 715</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2E09EC98" w14:textId="77777777" w:rsidR="0070585C" w:rsidRPr="00D61619" w:rsidRDefault="0070585C" w:rsidP="00936F9F">
            <w:pPr>
              <w:jc w:val="right"/>
              <w:rPr>
                <w:szCs w:val="22"/>
              </w:rPr>
            </w:pPr>
            <w:r w:rsidRPr="00D61619">
              <w:rPr>
                <w:szCs w:val="22"/>
              </w:rPr>
              <w:t>499</w:t>
            </w:r>
          </w:p>
        </w:tc>
        <w:tc>
          <w:tcPr>
            <w:tcW w:w="1293"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4DC6599C" w14:textId="77777777" w:rsidR="0070585C" w:rsidRPr="00D61619" w:rsidRDefault="0070585C" w:rsidP="00936F9F">
            <w:pPr>
              <w:jc w:val="right"/>
              <w:rPr>
                <w:szCs w:val="22"/>
              </w:rPr>
            </w:pPr>
            <w:r w:rsidRPr="00D61619">
              <w:rPr>
                <w:szCs w:val="22"/>
              </w:rPr>
              <w:t>12</w:t>
            </w:r>
            <w:r>
              <w:rPr>
                <w:szCs w:val="22"/>
              </w:rPr>
              <w:t>6</w:t>
            </w:r>
            <w:r w:rsidRPr="00D61619">
              <w:rPr>
                <w:szCs w:val="22"/>
              </w:rPr>
              <w:t>,</w:t>
            </w:r>
            <w:r>
              <w:rPr>
                <w:szCs w:val="22"/>
              </w:rPr>
              <w:t>488</w:t>
            </w:r>
          </w:p>
        </w:tc>
      </w:tr>
      <w:tr w:rsidR="0070585C" w:rsidRPr="00D61619" w14:paraId="1FA0EF22" w14:textId="77777777" w:rsidTr="00F83DD6">
        <w:trPr>
          <w:trHeight w:hRule="exact" w:val="284"/>
        </w:trPr>
        <w:tc>
          <w:tcPr>
            <w:tcW w:w="141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1D1A9AE" w14:textId="77777777" w:rsidR="0070585C" w:rsidRPr="00D61619" w:rsidRDefault="0070585C" w:rsidP="00936F9F">
            <w:pPr>
              <w:ind w:left="709" w:hanging="709"/>
              <w:jc w:val="left"/>
              <w:rPr>
                <w:b/>
                <w:bCs/>
                <w:color w:val="000000"/>
                <w:szCs w:val="24"/>
              </w:rPr>
            </w:pPr>
            <w:r w:rsidRPr="00D61619">
              <w:rPr>
                <w:b/>
                <w:bCs/>
                <w:color w:val="000000"/>
                <w:szCs w:val="24"/>
              </w:rPr>
              <w:t>6 - 14 let</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23675B91" w14:textId="77777777" w:rsidR="0070585C" w:rsidRPr="00D61619" w:rsidRDefault="0070585C" w:rsidP="00936F9F">
            <w:pPr>
              <w:jc w:val="right"/>
              <w:rPr>
                <w:szCs w:val="22"/>
              </w:rPr>
            </w:pPr>
            <w:r>
              <w:rPr>
                <w:szCs w:val="22"/>
              </w:rPr>
              <w:t>65 439</w:t>
            </w:r>
          </w:p>
        </w:tc>
        <w:tc>
          <w:tcPr>
            <w:tcW w:w="141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309DF8" w14:textId="77777777" w:rsidR="0070585C" w:rsidRPr="00D61619" w:rsidRDefault="0070585C" w:rsidP="00936F9F">
            <w:pPr>
              <w:jc w:val="right"/>
              <w:rPr>
                <w:szCs w:val="22"/>
              </w:rPr>
            </w:pPr>
            <w:r>
              <w:rPr>
                <w:szCs w:val="22"/>
              </w:rPr>
              <w:t>64 362</w:t>
            </w:r>
          </w:p>
        </w:tc>
        <w:tc>
          <w:tcPr>
            <w:tcW w:w="1278" w:type="dxa"/>
            <w:tcBorders>
              <w:top w:val="single" w:sz="4" w:space="0" w:color="auto"/>
              <w:left w:val="single" w:sz="8" w:space="0" w:color="auto"/>
              <w:bottom w:val="single" w:sz="4" w:space="0" w:color="auto"/>
              <w:right w:val="single" w:sz="8" w:space="0" w:color="auto"/>
            </w:tcBorders>
            <w:vAlign w:val="center"/>
          </w:tcPr>
          <w:p w14:paraId="17291A33" w14:textId="77777777" w:rsidR="0070585C" w:rsidRPr="00D61619" w:rsidRDefault="0070585C" w:rsidP="00936F9F">
            <w:pPr>
              <w:jc w:val="right"/>
              <w:rPr>
                <w:szCs w:val="22"/>
              </w:rPr>
            </w:pPr>
            <w:r>
              <w:rPr>
                <w:szCs w:val="22"/>
              </w:rPr>
              <w:t>53 388</w:t>
            </w:r>
          </w:p>
        </w:tc>
        <w:tc>
          <w:tcPr>
            <w:tcW w:w="1135" w:type="dxa"/>
            <w:tcBorders>
              <w:top w:val="single" w:sz="4" w:space="0" w:color="auto"/>
              <w:left w:val="single" w:sz="8" w:space="0" w:color="auto"/>
              <w:bottom w:val="single" w:sz="4" w:space="0" w:color="auto"/>
              <w:right w:val="single" w:sz="8" w:space="0" w:color="auto"/>
            </w:tcBorders>
            <w:vAlign w:val="center"/>
          </w:tcPr>
          <w:p w14:paraId="1EDEC79C" w14:textId="77777777" w:rsidR="0070585C" w:rsidRPr="00D61619" w:rsidRDefault="0070585C" w:rsidP="00936F9F">
            <w:pPr>
              <w:jc w:val="right"/>
              <w:rPr>
                <w:szCs w:val="22"/>
              </w:rPr>
            </w:pPr>
            <w:r>
              <w:rPr>
                <w:szCs w:val="22"/>
              </w:rPr>
              <w:t>10 974</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639C5E2C" w14:textId="77777777" w:rsidR="0070585C" w:rsidRPr="00D61619" w:rsidRDefault="0070585C" w:rsidP="00936F9F">
            <w:pPr>
              <w:jc w:val="right"/>
              <w:rPr>
                <w:szCs w:val="22"/>
              </w:rPr>
            </w:pPr>
            <w:r w:rsidRPr="00D61619">
              <w:rPr>
                <w:szCs w:val="22"/>
              </w:rPr>
              <w:t>1 077</w:t>
            </w:r>
          </w:p>
        </w:tc>
        <w:tc>
          <w:tcPr>
            <w:tcW w:w="12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0D5A829" w14:textId="77777777" w:rsidR="0070585C" w:rsidRPr="00D61619" w:rsidRDefault="0070585C" w:rsidP="00936F9F">
            <w:pPr>
              <w:jc w:val="right"/>
              <w:rPr>
                <w:szCs w:val="22"/>
              </w:rPr>
            </w:pPr>
            <w:r w:rsidRPr="00D61619">
              <w:rPr>
                <w:szCs w:val="22"/>
              </w:rPr>
              <w:t>12</w:t>
            </w:r>
            <w:r>
              <w:rPr>
                <w:szCs w:val="22"/>
              </w:rPr>
              <w:t>7</w:t>
            </w:r>
            <w:r w:rsidRPr="00D61619">
              <w:rPr>
                <w:szCs w:val="22"/>
              </w:rPr>
              <w:t>,</w:t>
            </w:r>
            <w:r>
              <w:rPr>
                <w:szCs w:val="22"/>
              </w:rPr>
              <w:t>848</w:t>
            </w:r>
          </w:p>
        </w:tc>
      </w:tr>
      <w:tr w:rsidR="0070585C" w:rsidRPr="00D61619" w14:paraId="42303781" w14:textId="77777777" w:rsidTr="00F83DD6">
        <w:trPr>
          <w:trHeight w:hRule="exact" w:val="284"/>
        </w:trPr>
        <w:tc>
          <w:tcPr>
            <w:tcW w:w="141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C02B4B4" w14:textId="77777777" w:rsidR="0070585C" w:rsidRPr="00D61619" w:rsidRDefault="0070585C" w:rsidP="00936F9F">
            <w:pPr>
              <w:ind w:left="709" w:hanging="709"/>
              <w:jc w:val="left"/>
              <w:rPr>
                <w:b/>
                <w:bCs/>
                <w:color w:val="000000"/>
                <w:szCs w:val="24"/>
              </w:rPr>
            </w:pPr>
            <w:r w:rsidRPr="00D61619">
              <w:rPr>
                <w:b/>
                <w:bCs/>
                <w:color w:val="000000"/>
                <w:szCs w:val="24"/>
              </w:rPr>
              <w:t>15 - 18 let</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0EDB626E" w14:textId="77777777" w:rsidR="0070585C" w:rsidRPr="00D61619" w:rsidRDefault="0070585C" w:rsidP="00936F9F">
            <w:pPr>
              <w:jc w:val="right"/>
              <w:rPr>
                <w:szCs w:val="22"/>
              </w:rPr>
            </w:pPr>
            <w:r>
              <w:rPr>
                <w:szCs w:val="22"/>
              </w:rPr>
              <w:t>76 446</w:t>
            </w:r>
          </w:p>
        </w:tc>
        <w:tc>
          <w:tcPr>
            <w:tcW w:w="141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5BC997" w14:textId="77777777" w:rsidR="0070585C" w:rsidRPr="00D61619" w:rsidRDefault="0070585C" w:rsidP="00936F9F">
            <w:pPr>
              <w:jc w:val="right"/>
              <w:rPr>
                <w:szCs w:val="22"/>
              </w:rPr>
            </w:pPr>
            <w:r>
              <w:rPr>
                <w:szCs w:val="22"/>
              </w:rPr>
              <w:t>75 379</w:t>
            </w:r>
          </w:p>
        </w:tc>
        <w:tc>
          <w:tcPr>
            <w:tcW w:w="1278" w:type="dxa"/>
            <w:tcBorders>
              <w:top w:val="single" w:sz="4" w:space="0" w:color="auto"/>
              <w:left w:val="single" w:sz="8" w:space="0" w:color="auto"/>
              <w:bottom w:val="single" w:sz="4" w:space="0" w:color="auto"/>
              <w:right w:val="single" w:sz="8" w:space="0" w:color="auto"/>
            </w:tcBorders>
            <w:vAlign w:val="center"/>
          </w:tcPr>
          <w:p w14:paraId="09515F1B" w14:textId="77777777" w:rsidR="0070585C" w:rsidRPr="00D61619" w:rsidRDefault="0070585C" w:rsidP="00936F9F">
            <w:pPr>
              <w:jc w:val="right"/>
              <w:rPr>
                <w:szCs w:val="22"/>
              </w:rPr>
            </w:pPr>
            <w:r>
              <w:rPr>
                <w:szCs w:val="22"/>
              </w:rPr>
              <w:t>60 686</w:t>
            </w:r>
          </w:p>
        </w:tc>
        <w:tc>
          <w:tcPr>
            <w:tcW w:w="1135" w:type="dxa"/>
            <w:tcBorders>
              <w:top w:val="single" w:sz="4" w:space="0" w:color="auto"/>
              <w:left w:val="single" w:sz="8" w:space="0" w:color="auto"/>
              <w:bottom w:val="single" w:sz="4" w:space="0" w:color="auto"/>
              <w:right w:val="single" w:sz="8" w:space="0" w:color="auto"/>
            </w:tcBorders>
            <w:vAlign w:val="center"/>
          </w:tcPr>
          <w:p w14:paraId="11BA3999" w14:textId="77777777" w:rsidR="0070585C" w:rsidRPr="00D61619" w:rsidRDefault="0070585C" w:rsidP="00936F9F">
            <w:pPr>
              <w:jc w:val="right"/>
              <w:rPr>
                <w:szCs w:val="22"/>
              </w:rPr>
            </w:pPr>
            <w:r>
              <w:rPr>
                <w:szCs w:val="22"/>
              </w:rPr>
              <w:t>14 693</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30404B32" w14:textId="77777777" w:rsidR="0070585C" w:rsidRPr="00D61619" w:rsidRDefault="0070585C" w:rsidP="00936F9F">
            <w:pPr>
              <w:jc w:val="right"/>
              <w:rPr>
                <w:szCs w:val="22"/>
              </w:rPr>
            </w:pPr>
            <w:r w:rsidRPr="00D61619">
              <w:rPr>
                <w:szCs w:val="22"/>
              </w:rPr>
              <w:t>1 067</w:t>
            </w:r>
          </w:p>
        </w:tc>
        <w:tc>
          <w:tcPr>
            <w:tcW w:w="12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D9181E0" w14:textId="77777777" w:rsidR="0070585C" w:rsidRPr="00D61619" w:rsidRDefault="0070585C" w:rsidP="00936F9F">
            <w:pPr>
              <w:jc w:val="right"/>
              <w:rPr>
                <w:szCs w:val="22"/>
              </w:rPr>
            </w:pPr>
            <w:r w:rsidRPr="00D61619">
              <w:rPr>
                <w:szCs w:val="22"/>
              </w:rPr>
              <w:t>14</w:t>
            </w:r>
            <w:r>
              <w:rPr>
                <w:szCs w:val="22"/>
              </w:rPr>
              <w:t>4</w:t>
            </w:r>
            <w:r w:rsidRPr="00D61619">
              <w:rPr>
                <w:szCs w:val="22"/>
              </w:rPr>
              <w:t>,</w:t>
            </w:r>
            <w:r>
              <w:rPr>
                <w:szCs w:val="22"/>
              </w:rPr>
              <w:t>227</w:t>
            </w:r>
          </w:p>
        </w:tc>
      </w:tr>
      <w:tr w:rsidR="0070585C" w:rsidRPr="00D61619" w14:paraId="56896A2C" w14:textId="77777777" w:rsidTr="00F83DD6">
        <w:trPr>
          <w:trHeight w:hRule="exact" w:val="284"/>
        </w:trPr>
        <w:tc>
          <w:tcPr>
            <w:tcW w:w="141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ECE347E" w14:textId="77777777" w:rsidR="0070585C" w:rsidRPr="00D61619" w:rsidRDefault="0070585C" w:rsidP="00936F9F">
            <w:pPr>
              <w:ind w:left="709" w:hanging="709"/>
              <w:jc w:val="left"/>
              <w:rPr>
                <w:b/>
                <w:bCs/>
                <w:color w:val="000000"/>
                <w:szCs w:val="24"/>
              </w:rPr>
            </w:pPr>
            <w:r w:rsidRPr="00D61619">
              <w:rPr>
                <w:b/>
                <w:bCs/>
                <w:color w:val="000000"/>
                <w:szCs w:val="24"/>
              </w:rPr>
              <w:t>19 - 21 let</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57C09D70" w14:textId="77777777" w:rsidR="0070585C" w:rsidRPr="00D61619" w:rsidRDefault="0070585C" w:rsidP="00936F9F">
            <w:pPr>
              <w:jc w:val="right"/>
              <w:rPr>
                <w:szCs w:val="22"/>
              </w:rPr>
            </w:pPr>
            <w:r>
              <w:rPr>
                <w:szCs w:val="22"/>
              </w:rPr>
              <w:t>65 376</w:t>
            </w:r>
          </w:p>
        </w:tc>
        <w:tc>
          <w:tcPr>
            <w:tcW w:w="141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364BF76" w14:textId="77777777" w:rsidR="0070585C" w:rsidRPr="00D61619" w:rsidRDefault="0070585C" w:rsidP="00936F9F">
            <w:pPr>
              <w:jc w:val="right"/>
              <w:rPr>
                <w:szCs w:val="22"/>
              </w:rPr>
            </w:pPr>
            <w:r>
              <w:rPr>
                <w:szCs w:val="22"/>
              </w:rPr>
              <w:t>64 676</w:t>
            </w:r>
          </w:p>
        </w:tc>
        <w:tc>
          <w:tcPr>
            <w:tcW w:w="1278" w:type="dxa"/>
            <w:tcBorders>
              <w:top w:val="single" w:sz="4" w:space="0" w:color="auto"/>
              <w:left w:val="single" w:sz="8" w:space="0" w:color="auto"/>
              <w:bottom w:val="single" w:sz="4" w:space="0" w:color="auto"/>
              <w:right w:val="single" w:sz="8" w:space="0" w:color="auto"/>
            </w:tcBorders>
            <w:vAlign w:val="center"/>
          </w:tcPr>
          <w:p w14:paraId="1B11C951" w14:textId="77777777" w:rsidR="0070585C" w:rsidRPr="00D61619" w:rsidRDefault="0070585C" w:rsidP="00936F9F">
            <w:pPr>
              <w:jc w:val="right"/>
              <w:rPr>
                <w:szCs w:val="22"/>
              </w:rPr>
            </w:pPr>
            <w:r>
              <w:rPr>
                <w:szCs w:val="22"/>
              </w:rPr>
              <w:t>53 565</w:t>
            </w:r>
          </w:p>
        </w:tc>
        <w:tc>
          <w:tcPr>
            <w:tcW w:w="1135" w:type="dxa"/>
            <w:tcBorders>
              <w:top w:val="single" w:sz="4" w:space="0" w:color="auto"/>
              <w:left w:val="single" w:sz="8" w:space="0" w:color="auto"/>
              <w:bottom w:val="single" w:sz="4" w:space="0" w:color="auto"/>
              <w:right w:val="single" w:sz="8" w:space="0" w:color="auto"/>
            </w:tcBorders>
            <w:vAlign w:val="center"/>
          </w:tcPr>
          <w:p w14:paraId="1464EBCA" w14:textId="77777777" w:rsidR="0070585C" w:rsidRPr="00D61619" w:rsidRDefault="0070585C" w:rsidP="00936F9F">
            <w:pPr>
              <w:jc w:val="right"/>
              <w:rPr>
                <w:szCs w:val="22"/>
              </w:rPr>
            </w:pPr>
            <w:r>
              <w:rPr>
                <w:szCs w:val="22"/>
              </w:rPr>
              <w:t>11 111</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7EB6632B" w14:textId="77777777" w:rsidR="0070585C" w:rsidRPr="00D61619" w:rsidRDefault="0070585C" w:rsidP="00936F9F">
            <w:pPr>
              <w:jc w:val="right"/>
              <w:rPr>
                <w:szCs w:val="22"/>
              </w:rPr>
            </w:pPr>
            <w:r w:rsidRPr="00D61619">
              <w:rPr>
                <w:szCs w:val="22"/>
              </w:rPr>
              <w:t>700</w:t>
            </w:r>
          </w:p>
        </w:tc>
        <w:tc>
          <w:tcPr>
            <w:tcW w:w="129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6077111" w14:textId="77777777" w:rsidR="0070585C" w:rsidRPr="00D61619" w:rsidRDefault="0070585C" w:rsidP="00936F9F">
            <w:pPr>
              <w:jc w:val="right"/>
              <w:rPr>
                <w:szCs w:val="22"/>
              </w:rPr>
            </w:pPr>
            <w:r w:rsidRPr="00D61619">
              <w:rPr>
                <w:szCs w:val="22"/>
              </w:rPr>
              <w:t>127,61</w:t>
            </w:r>
            <w:r>
              <w:rPr>
                <w:szCs w:val="22"/>
              </w:rPr>
              <w:t>3</w:t>
            </w:r>
          </w:p>
        </w:tc>
      </w:tr>
      <w:tr w:rsidR="0070585C" w:rsidRPr="00D61619" w14:paraId="597FD0B4" w14:textId="77777777" w:rsidTr="00F83DD6">
        <w:trPr>
          <w:gridAfter w:val="1"/>
          <w:wAfter w:w="18" w:type="dxa"/>
          <w:trHeight w:hRule="exact" w:val="284"/>
        </w:trPr>
        <w:tc>
          <w:tcPr>
            <w:tcW w:w="141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0BB0162" w14:textId="77777777" w:rsidR="0070585C" w:rsidRPr="00D61619" w:rsidRDefault="0070585C" w:rsidP="00936F9F">
            <w:pPr>
              <w:ind w:left="709" w:hanging="709"/>
              <w:jc w:val="left"/>
              <w:rPr>
                <w:b/>
                <w:bCs/>
                <w:color w:val="000000"/>
                <w:szCs w:val="24"/>
              </w:rPr>
            </w:pPr>
            <w:r w:rsidRPr="00D61619">
              <w:rPr>
                <w:b/>
                <w:bCs/>
                <w:color w:val="000000"/>
                <w:szCs w:val="24"/>
              </w:rPr>
              <w:t>KZÚV</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14:paraId="5130FFEA" w14:textId="77777777" w:rsidR="0070585C" w:rsidRPr="00D61619" w:rsidRDefault="0070585C" w:rsidP="00936F9F">
            <w:pPr>
              <w:jc w:val="right"/>
              <w:rPr>
                <w:szCs w:val="22"/>
              </w:rPr>
            </w:pPr>
            <w:r>
              <w:rPr>
                <w:szCs w:val="22"/>
              </w:rPr>
              <w:t>312 706</w:t>
            </w:r>
          </w:p>
        </w:tc>
        <w:tc>
          <w:tcPr>
            <w:tcW w:w="141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FD6A2D3" w14:textId="77777777" w:rsidR="0070585C" w:rsidRPr="00D61619" w:rsidRDefault="0070585C" w:rsidP="00936F9F">
            <w:pPr>
              <w:jc w:val="right"/>
              <w:rPr>
                <w:szCs w:val="22"/>
              </w:rPr>
            </w:pPr>
            <w:r>
              <w:rPr>
                <w:szCs w:val="22"/>
              </w:rPr>
              <w:t>310 206</w:t>
            </w:r>
          </w:p>
        </w:tc>
        <w:tc>
          <w:tcPr>
            <w:tcW w:w="1278" w:type="dxa"/>
            <w:tcBorders>
              <w:top w:val="single" w:sz="4" w:space="0" w:color="auto"/>
              <w:left w:val="single" w:sz="8" w:space="0" w:color="auto"/>
              <w:bottom w:val="single" w:sz="8" w:space="0" w:color="auto"/>
              <w:right w:val="single" w:sz="8" w:space="0" w:color="auto"/>
            </w:tcBorders>
            <w:vAlign w:val="center"/>
          </w:tcPr>
          <w:p w14:paraId="48316B4B" w14:textId="77777777" w:rsidR="0070585C" w:rsidRPr="00D61619" w:rsidRDefault="0070585C" w:rsidP="00936F9F">
            <w:pPr>
              <w:jc w:val="right"/>
              <w:rPr>
                <w:szCs w:val="22"/>
              </w:rPr>
            </w:pPr>
            <w:r>
              <w:rPr>
                <w:szCs w:val="22"/>
              </w:rPr>
              <w:t>226 284</w:t>
            </w:r>
          </w:p>
        </w:tc>
        <w:tc>
          <w:tcPr>
            <w:tcW w:w="1135" w:type="dxa"/>
            <w:tcBorders>
              <w:top w:val="single" w:sz="4" w:space="0" w:color="auto"/>
              <w:left w:val="single" w:sz="8" w:space="0" w:color="auto"/>
              <w:bottom w:val="single" w:sz="8" w:space="0" w:color="auto"/>
              <w:right w:val="single" w:sz="8" w:space="0" w:color="auto"/>
            </w:tcBorders>
            <w:vAlign w:val="center"/>
          </w:tcPr>
          <w:p w14:paraId="2AEDF2A4" w14:textId="77777777" w:rsidR="0070585C" w:rsidRPr="00D61619" w:rsidRDefault="0070585C" w:rsidP="00936F9F">
            <w:pPr>
              <w:jc w:val="right"/>
              <w:rPr>
                <w:szCs w:val="22"/>
              </w:rPr>
            </w:pPr>
            <w:r>
              <w:rPr>
                <w:szCs w:val="22"/>
              </w:rPr>
              <w:t>83 922</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0582419E" w14:textId="77777777" w:rsidR="0070585C" w:rsidRPr="00D61619" w:rsidRDefault="0070585C" w:rsidP="00936F9F">
            <w:pPr>
              <w:jc w:val="right"/>
              <w:rPr>
                <w:szCs w:val="22"/>
              </w:rPr>
            </w:pPr>
            <w:r w:rsidRPr="00D61619">
              <w:rPr>
                <w:szCs w:val="22"/>
              </w:rPr>
              <w:t>2 500</w:t>
            </w:r>
          </w:p>
        </w:tc>
        <w:tc>
          <w:tcPr>
            <w:tcW w:w="1275"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11BFB2D" w14:textId="77777777" w:rsidR="0070585C" w:rsidRPr="00D61619" w:rsidRDefault="0070585C" w:rsidP="00936F9F">
            <w:pPr>
              <w:jc w:val="right"/>
              <w:rPr>
                <w:szCs w:val="22"/>
              </w:rPr>
            </w:pPr>
            <w:r w:rsidRPr="00D61619">
              <w:rPr>
                <w:szCs w:val="22"/>
              </w:rPr>
              <w:t>693,459</w:t>
            </w:r>
          </w:p>
        </w:tc>
      </w:tr>
    </w:tbl>
    <w:p w14:paraId="099E81FA" w14:textId="77777777" w:rsidR="00F83DD6" w:rsidRDefault="00F83DD6" w:rsidP="0070585C">
      <w:pPr>
        <w:rPr>
          <w:color w:val="000000"/>
          <w:szCs w:val="24"/>
          <w:highlight w:val="cyan"/>
          <w:u w:val="single"/>
        </w:rPr>
      </w:pPr>
    </w:p>
    <w:p w14:paraId="55423D12" w14:textId="77777777" w:rsidR="0070585C" w:rsidRDefault="0070585C" w:rsidP="0070585C">
      <w:pPr>
        <w:rPr>
          <w:color w:val="000000"/>
          <w:szCs w:val="24"/>
          <w:highlight w:val="cyan"/>
          <w:u w:val="single"/>
        </w:rPr>
      </w:pPr>
      <w:r w:rsidRPr="001A7807">
        <w:rPr>
          <w:color w:val="000000"/>
          <w:szCs w:val="24"/>
          <w:u w:val="single"/>
        </w:rPr>
        <w:t>Zvýšení mzdové složky RN roku 2018 odpovídající zvýšení odměňování zaměstnanců ve školství</w:t>
      </w:r>
      <w:r w:rsidRPr="00CC5B18">
        <w:rPr>
          <w:color w:val="000000"/>
          <w:szCs w:val="24"/>
          <w:highlight w:val="cyan"/>
          <w:u w:val="single"/>
        </w:rPr>
        <w:t xml:space="preserve"> </w:t>
      </w:r>
    </w:p>
    <w:p w14:paraId="692DB527" w14:textId="77777777" w:rsidR="0070585C" w:rsidRPr="00CC5B18" w:rsidRDefault="0070585C" w:rsidP="0070585C">
      <w:pPr>
        <w:rPr>
          <w:color w:val="000000"/>
          <w:szCs w:val="24"/>
          <w:highlight w:val="cyan"/>
          <w:u w:val="single"/>
        </w:rPr>
      </w:pPr>
    </w:p>
    <w:p w14:paraId="198B7C4D" w14:textId="77777777" w:rsidR="0070585C" w:rsidRDefault="0070585C" w:rsidP="0070585C">
      <w:pPr>
        <w:pStyle w:val="Text"/>
      </w:pPr>
      <w:r w:rsidRPr="006B757C">
        <w:t>N</w:t>
      </w:r>
      <w:r>
        <w:t>a zvýšení odměňování pedagogických pracovníků byl v roce 2019 rozpočet RgŠ ÚSC ve mzdových prostředcích posílen celkem o </w:t>
      </w:r>
      <w:r w:rsidRPr="005E34D6">
        <w:t>13</w:t>
      </w:r>
      <w:r>
        <w:t> </w:t>
      </w:r>
      <w:r w:rsidRPr="005E34D6">
        <w:t>201</w:t>
      </w:r>
      <w:r>
        <w:t> </w:t>
      </w:r>
      <w:r w:rsidRPr="005E34D6">
        <w:t>598</w:t>
      </w:r>
      <w:r>
        <w:t> </w:t>
      </w:r>
      <w:r w:rsidRPr="005E34D6">
        <w:t>874</w:t>
      </w:r>
      <w:r>
        <w:t xml:space="preserve"> Kč </w:t>
      </w:r>
      <w:r w:rsidRPr="006B757C">
        <w:t>(včetně odvodů)</w:t>
      </w:r>
      <w:r>
        <w:t xml:space="preserve">, což odpovídá zvýšení odměňování o 15 %, z toho bylo </w:t>
      </w:r>
      <w:r w:rsidRPr="00683002">
        <w:t>1 052 910 758 Kč</w:t>
      </w:r>
      <w:r>
        <w:t xml:space="preserve"> (tj. 1 %) alokováno do rozvojového programu </w:t>
      </w:r>
      <w:r w:rsidRPr="00683002">
        <w:t>„Částečné vy</w:t>
      </w:r>
      <w:r>
        <w:t>rovnání mezikrajových rozdílů v </w:t>
      </w:r>
      <w:r w:rsidRPr="00683002">
        <w:t xml:space="preserve">odměňování pedagogických pracovníků </w:t>
      </w:r>
      <w:r>
        <w:t>mateřských, základních a středních škol, konzervatoří a </w:t>
      </w:r>
      <w:r w:rsidRPr="00683002">
        <w:t xml:space="preserve">školních </w:t>
      </w:r>
      <w:r w:rsidRPr="00683002">
        <w:lastRenderedPageBreak/>
        <w:t>družin v roce 2019, č.j. MSMT-33424/2018-1“</w:t>
      </w:r>
      <w:r>
        <w:t xml:space="preserve">. V oblasti mzdových prostředků pedagogů byl tedy RN zvýšen o 14 %. </w:t>
      </w:r>
    </w:p>
    <w:p w14:paraId="172C555D" w14:textId="4272DE84" w:rsidR="0070585C" w:rsidRDefault="0070585C" w:rsidP="0070585C">
      <w:pPr>
        <w:pStyle w:val="Text"/>
      </w:pPr>
      <w:r w:rsidRPr="006B757C">
        <w:t>N</w:t>
      </w:r>
      <w:r>
        <w:t>a zvýšení odměňování nepedagogických zaměstnanců byl v roce 2019 rozpočet RgŠ ÚSC ve mzdových prostředcích posílen o </w:t>
      </w:r>
      <w:r w:rsidRPr="005E34D6">
        <w:t>1</w:t>
      </w:r>
      <w:r>
        <w:t xml:space="preserve"> 940 465 392 Kč </w:t>
      </w:r>
      <w:r w:rsidRPr="006B757C">
        <w:t>(včetně odvodů)</w:t>
      </w:r>
      <w:r>
        <w:t>, což odpovídá zvýšení odměňování o 10 %. Toto zvýšení se plně promítlo do zvýšení RN v oblasti mzdových prostředků nepedagog</w:t>
      </w:r>
      <w:r w:rsidR="00E3565A">
        <w:t>ických zaměstnanců</w:t>
      </w:r>
      <w:r>
        <w:t xml:space="preserve">. </w:t>
      </w:r>
    </w:p>
    <w:p w14:paraId="1AD39DE4" w14:textId="77777777" w:rsidR="0070585C" w:rsidRPr="006B757C" w:rsidRDefault="0070585C" w:rsidP="0070585C">
      <w:pPr>
        <w:pStyle w:val="Text"/>
      </w:pPr>
      <w:r w:rsidRPr="006B757C">
        <w:t>Zvýšené odměňování bylo částečně promítnuto do platových tarifů zaměstnanců ve školství, a to novelou nařízení vlády č. 341/2017 Sb., o platových poměrech zaměstnanců ve veřejných službách a správě, ve znění pozdějších předpisů, účinnou od 1. ledna 2019. Platové tarify byly zvýšeny u pedagogických pracovníků o 10 % a u nepedagogických zaměstnanců o 5 %.</w:t>
      </w:r>
    </w:p>
    <w:p w14:paraId="435CE3C8" w14:textId="77777777" w:rsidR="0070585C" w:rsidRPr="00CC5B18" w:rsidRDefault="0070585C" w:rsidP="0070585C">
      <w:pPr>
        <w:tabs>
          <w:tab w:val="left" w:pos="851"/>
        </w:tabs>
        <w:rPr>
          <w:rFonts w:cs="Calibri"/>
          <w:szCs w:val="24"/>
          <w:highlight w:val="cyan"/>
        </w:rPr>
      </w:pPr>
    </w:p>
    <w:p w14:paraId="5D9B5316" w14:textId="77777777" w:rsidR="0070585C" w:rsidRPr="006B757C" w:rsidRDefault="0070585C" w:rsidP="0070585C">
      <w:pPr>
        <w:tabs>
          <w:tab w:val="left" w:pos="851"/>
        </w:tabs>
        <w:rPr>
          <w:b/>
          <w:szCs w:val="24"/>
        </w:rPr>
      </w:pPr>
      <w:r w:rsidRPr="006B757C">
        <w:rPr>
          <w:b/>
          <w:color w:val="000000"/>
          <w:szCs w:val="24"/>
        </w:rPr>
        <w:t>Zvýšení RN 2018 v oblasti mzdové složky je ve výši odpovídající jednotlivým zvýšením odměňování:</w:t>
      </w:r>
      <w:r w:rsidRPr="006B757C">
        <w:rPr>
          <w:b/>
          <w:szCs w:val="24"/>
        </w:rPr>
        <w:t xml:space="preserve"> </w:t>
      </w:r>
    </w:p>
    <w:tbl>
      <w:tblPr>
        <w:tblW w:w="8876" w:type="dxa"/>
        <w:tblInd w:w="70" w:type="dxa"/>
        <w:tblLayout w:type="fixed"/>
        <w:tblCellMar>
          <w:left w:w="70" w:type="dxa"/>
          <w:right w:w="70" w:type="dxa"/>
        </w:tblCellMar>
        <w:tblLook w:val="04A0" w:firstRow="1" w:lastRow="0" w:firstColumn="1" w:lastColumn="0" w:noHBand="0" w:noVBand="1"/>
      </w:tblPr>
      <w:tblGrid>
        <w:gridCol w:w="1463"/>
        <w:gridCol w:w="1134"/>
        <w:gridCol w:w="1275"/>
        <w:gridCol w:w="1276"/>
        <w:gridCol w:w="1276"/>
        <w:gridCol w:w="1226"/>
        <w:gridCol w:w="1226"/>
      </w:tblGrid>
      <w:tr w:rsidR="0070585C" w:rsidRPr="006B757C" w14:paraId="7A46D461" w14:textId="77777777" w:rsidTr="00F83DD6">
        <w:trPr>
          <w:trHeight w:val="1212"/>
        </w:trPr>
        <w:tc>
          <w:tcPr>
            <w:tcW w:w="1463" w:type="dxa"/>
            <w:tcBorders>
              <w:top w:val="single" w:sz="12" w:space="0" w:color="auto"/>
              <w:left w:val="single" w:sz="12" w:space="0" w:color="auto"/>
              <w:right w:val="single" w:sz="12" w:space="0" w:color="auto"/>
            </w:tcBorders>
            <w:shd w:val="clear" w:color="auto" w:fill="auto"/>
            <w:noWrap/>
            <w:vAlign w:val="center"/>
            <w:hideMark/>
          </w:tcPr>
          <w:p w14:paraId="2ACF4E42" w14:textId="77777777" w:rsidR="0070585C" w:rsidRPr="006B757C" w:rsidRDefault="0070585C" w:rsidP="00936F9F">
            <w:pPr>
              <w:ind w:left="709" w:hanging="709"/>
              <w:jc w:val="center"/>
              <w:rPr>
                <w:b/>
                <w:bCs/>
                <w:color w:val="000000"/>
                <w:szCs w:val="24"/>
              </w:rPr>
            </w:pPr>
            <w:r w:rsidRPr="006B757C">
              <w:rPr>
                <w:b/>
                <w:bCs/>
                <w:color w:val="000000"/>
                <w:szCs w:val="24"/>
              </w:rPr>
              <w:t>Věková</w:t>
            </w:r>
          </w:p>
          <w:p w14:paraId="6DF9F697" w14:textId="77777777" w:rsidR="0070585C" w:rsidRPr="006B757C" w:rsidRDefault="0070585C" w:rsidP="00936F9F">
            <w:pPr>
              <w:ind w:left="709" w:hanging="709"/>
              <w:jc w:val="center"/>
              <w:rPr>
                <w:b/>
                <w:bCs/>
                <w:szCs w:val="24"/>
              </w:rPr>
            </w:pPr>
            <w:r w:rsidRPr="006B757C">
              <w:rPr>
                <w:b/>
                <w:bCs/>
                <w:szCs w:val="24"/>
              </w:rPr>
              <w:t>kategorie</w:t>
            </w:r>
          </w:p>
        </w:tc>
        <w:tc>
          <w:tcPr>
            <w:tcW w:w="1134" w:type="dxa"/>
            <w:tcBorders>
              <w:top w:val="single" w:sz="12" w:space="0" w:color="auto"/>
              <w:left w:val="single" w:sz="12" w:space="0" w:color="auto"/>
              <w:right w:val="single" w:sz="12" w:space="0" w:color="auto"/>
            </w:tcBorders>
            <w:shd w:val="clear" w:color="auto" w:fill="auto"/>
            <w:noWrap/>
            <w:vAlign w:val="center"/>
            <w:hideMark/>
          </w:tcPr>
          <w:p w14:paraId="2975FD09" w14:textId="77777777" w:rsidR="0070585C" w:rsidRPr="006B757C" w:rsidRDefault="0070585C" w:rsidP="00936F9F">
            <w:pPr>
              <w:ind w:left="709" w:hanging="709"/>
              <w:jc w:val="center"/>
              <w:rPr>
                <w:b/>
                <w:bCs/>
                <w:color w:val="000000"/>
                <w:szCs w:val="24"/>
              </w:rPr>
            </w:pPr>
            <w:r w:rsidRPr="006B757C">
              <w:rPr>
                <w:b/>
                <w:bCs/>
                <w:color w:val="000000"/>
                <w:szCs w:val="24"/>
              </w:rPr>
              <w:t>NIV</w:t>
            </w:r>
          </w:p>
          <w:p w14:paraId="2E79179D" w14:textId="77777777" w:rsidR="0070585C" w:rsidRPr="006B757C" w:rsidRDefault="0070585C" w:rsidP="00936F9F">
            <w:pPr>
              <w:jc w:val="center"/>
              <w:rPr>
                <w:b/>
                <w:bCs/>
                <w:szCs w:val="24"/>
              </w:rPr>
            </w:pPr>
            <w:r w:rsidRPr="006B757C">
              <w:rPr>
                <w:b/>
                <w:bCs/>
                <w:szCs w:val="24"/>
              </w:rPr>
              <w:t>celkem</w:t>
            </w:r>
          </w:p>
          <w:p w14:paraId="768BB79A" w14:textId="77777777" w:rsidR="0070585C" w:rsidRPr="006B757C" w:rsidRDefault="0070585C" w:rsidP="00936F9F">
            <w:pPr>
              <w:ind w:left="709" w:hanging="709"/>
              <w:jc w:val="center"/>
              <w:rPr>
                <w:rFonts w:ascii="Calibri" w:hAnsi="Calibri"/>
                <w:b/>
                <w:bCs/>
                <w:color w:val="000000"/>
                <w:szCs w:val="24"/>
              </w:rPr>
            </w:pPr>
            <w:r w:rsidRPr="006B757C">
              <w:rPr>
                <w:b/>
                <w:bCs/>
                <w:szCs w:val="24"/>
              </w:rPr>
              <w:t>Kč/žáka</w:t>
            </w:r>
          </w:p>
        </w:tc>
        <w:tc>
          <w:tcPr>
            <w:tcW w:w="1275" w:type="dxa"/>
            <w:tcBorders>
              <w:top w:val="single" w:sz="12" w:space="0" w:color="auto"/>
              <w:left w:val="single" w:sz="12" w:space="0" w:color="auto"/>
              <w:right w:val="single" w:sz="12" w:space="0" w:color="auto"/>
            </w:tcBorders>
            <w:shd w:val="clear" w:color="auto" w:fill="auto"/>
            <w:noWrap/>
            <w:vAlign w:val="center"/>
            <w:hideMark/>
          </w:tcPr>
          <w:p w14:paraId="690F796B" w14:textId="77777777" w:rsidR="0070585C" w:rsidRPr="006B757C" w:rsidRDefault="0070585C" w:rsidP="00936F9F">
            <w:pPr>
              <w:ind w:left="709" w:hanging="709"/>
              <w:jc w:val="center"/>
              <w:rPr>
                <w:b/>
                <w:bCs/>
                <w:color w:val="000000"/>
                <w:szCs w:val="24"/>
              </w:rPr>
            </w:pPr>
            <w:r w:rsidRPr="006B757C">
              <w:rPr>
                <w:b/>
                <w:bCs/>
                <w:color w:val="000000"/>
                <w:szCs w:val="24"/>
              </w:rPr>
              <w:t>MP</w:t>
            </w:r>
          </w:p>
          <w:p w14:paraId="11B1DC0F" w14:textId="77777777" w:rsidR="0070585C" w:rsidRPr="006B757C" w:rsidRDefault="0070585C" w:rsidP="00936F9F">
            <w:pPr>
              <w:ind w:left="709" w:hanging="709"/>
              <w:jc w:val="center"/>
              <w:rPr>
                <w:b/>
                <w:bCs/>
                <w:color w:val="000000"/>
                <w:szCs w:val="24"/>
              </w:rPr>
            </w:pPr>
            <w:r w:rsidRPr="006B757C">
              <w:rPr>
                <w:b/>
                <w:bCs/>
                <w:color w:val="000000"/>
                <w:szCs w:val="24"/>
              </w:rPr>
              <w:t>celkem</w:t>
            </w:r>
          </w:p>
          <w:p w14:paraId="6F53EB49" w14:textId="77777777" w:rsidR="0070585C" w:rsidRPr="006B757C" w:rsidRDefault="0070585C" w:rsidP="00936F9F">
            <w:pPr>
              <w:jc w:val="center"/>
              <w:rPr>
                <w:b/>
                <w:bCs/>
                <w:szCs w:val="24"/>
              </w:rPr>
            </w:pPr>
            <w:r w:rsidRPr="006B757C">
              <w:rPr>
                <w:b/>
                <w:bCs/>
                <w:szCs w:val="24"/>
              </w:rPr>
              <w:t>vč. odvodů</w:t>
            </w:r>
          </w:p>
          <w:p w14:paraId="0176466F" w14:textId="77777777" w:rsidR="0070585C" w:rsidRPr="006B757C" w:rsidRDefault="0070585C" w:rsidP="00936F9F">
            <w:pPr>
              <w:ind w:left="709" w:hanging="709"/>
              <w:jc w:val="center"/>
              <w:rPr>
                <w:b/>
                <w:bCs/>
                <w:color w:val="000000"/>
                <w:szCs w:val="24"/>
              </w:rPr>
            </w:pPr>
            <w:r w:rsidRPr="006B757C">
              <w:rPr>
                <w:b/>
                <w:bCs/>
                <w:szCs w:val="24"/>
              </w:rPr>
              <w:t>Kč/žáka</w:t>
            </w:r>
          </w:p>
        </w:tc>
        <w:tc>
          <w:tcPr>
            <w:tcW w:w="1276" w:type="dxa"/>
            <w:tcBorders>
              <w:top w:val="single" w:sz="12" w:space="0" w:color="auto"/>
              <w:left w:val="single" w:sz="12" w:space="0" w:color="auto"/>
              <w:right w:val="single" w:sz="12" w:space="0" w:color="auto"/>
            </w:tcBorders>
            <w:vAlign w:val="center"/>
          </w:tcPr>
          <w:p w14:paraId="3178CDFE" w14:textId="77777777" w:rsidR="0070585C" w:rsidRPr="006B757C" w:rsidRDefault="0070585C" w:rsidP="00936F9F">
            <w:pPr>
              <w:ind w:left="709" w:hanging="709"/>
              <w:jc w:val="center"/>
              <w:rPr>
                <w:b/>
                <w:bCs/>
                <w:color w:val="000000"/>
                <w:szCs w:val="24"/>
              </w:rPr>
            </w:pPr>
            <w:r w:rsidRPr="006B757C">
              <w:rPr>
                <w:b/>
                <w:bCs/>
                <w:color w:val="000000"/>
                <w:szCs w:val="24"/>
              </w:rPr>
              <w:t>MPP</w:t>
            </w:r>
          </w:p>
          <w:p w14:paraId="02834F90" w14:textId="77777777" w:rsidR="0070585C" w:rsidRPr="006B757C" w:rsidRDefault="0070585C" w:rsidP="00936F9F">
            <w:pPr>
              <w:ind w:left="709" w:hanging="709"/>
              <w:jc w:val="center"/>
              <w:rPr>
                <w:b/>
                <w:bCs/>
                <w:color w:val="000000"/>
                <w:szCs w:val="24"/>
              </w:rPr>
            </w:pPr>
            <w:r w:rsidRPr="006B757C">
              <w:rPr>
                <w:b/>
                <w:bCs/>
                <w:color w:val="000000"/>
                <w:szCs w:val="24"/>
              </w:rPr>
              <w:t>celkem</w:t>
            </w:r>
          </w:p>
          <w:p w14:paraId="028FEE77" w14:textId="77777777" w:rsidR="0070585C" w:rsidRPr="006B757C" w:rsidRDefault="0070585C" w:rsidP="00936F9F">
            <w:pPr>
              <w:jc w:val="center"/>
              <w:rPr>
                <w:b/>
                <w:bCs/>
                <w:szCs w:val="24"/>
              </w:rPr>
            </w:pPr>
            <w:r w:rsidRPr="006B757C">
              <w:rPr>
                <w:b/>
                <w:bCs/>
                <w:szCs w:val="24"/>
              </w:rPr>
              <w:t>vč. odvodů</w:t>
            </w:r>
          </w:p>
          <w:p w14:paraId="66BC0E54" w14:textId="77777777" w:rsidR="0070585C" w:rsidRPr="006B757C" w:rsidRDefault="0070585C" w:rsidP="00936F9F">
            <w:pPr>
              <w:ind w:left="709" w:hanging="709"/>
              <w:jc w:val="center"/>
              <w:rPr>
                <w:b/>
                <w:bCs/>
                <w:color w:val="000000"/>
                <w:szCs w:val="24"/>
              </w:rPr>
            </w:pPr>
            <w:r w:rsidRPr="006B757C">
              <w:rPr>
                <w:b/>
                <w:bCs/>
                <w:szCs w:val="24"/>
              </w:rPr>
              <w:t>Kč/žáka</w:t>
            </w:r>
          </w:p>
        </w:tc>
        <w:tc>
          <w:tcPr>
            <w:tcW w:w="1276" w:type="dxa"/>
            <w:tcBorders>
              <w:top w:val="single" w:sz="12" w:space="0" w:color="auto"/>
              <w:left w:val="single" w:sz="12" w:space="0" w:color="auto"/>
              <w:right w:val="single" w:sz="12" w:space="0" w:color="auto"/>
            </w:tcBorders>
            <w:vAlign w:val="center"/>
          </w:tcPr>
          <w:p w14:paraId="577EA375" w14:textId="77777777" w:rsidR="0070585C" w:rsidRPr="006B757C" w:rsidRDefault="0070585C" w:rsidP="00936F9F">
            <w:pPr>
              <w:ind w:left="709" w:hanging="709"/>
              <w:jc w:val="center"/>
              <w:rPr>
                <w:b/>
                <w:bCs/>
                <w:color w:val="000000"/>
                <w:szCs w:val="24"/>
              </w:rPr>
            </w:pPr>
            <w:r w:rsidRPr="006B757C">
              <w:rPr>
                <w:b/>
                <w:bCs/>
                <w:color w:val="000000"/>
                <w:szCs w:val="24"/>
              </w:rPr>
              <w:t>MPN</w:t>
            </w:r>
          </w:p>
          <w:p w14:paraId="3051B285" w14:textId="77777777" w:rsidR="0070585C" w:rsidRPr="006B757C" w:rsidRDefault="0070585C" w:rsidP="00936F9F">
            <w:pPr>
              <w:ind w:left="709" w:hanging="709"/>
              <w:jc w:val="center"/>
              <w:rPr>
                <w:b/>
                <w:bCs/>
                <w:color w:val="000000"/>
                <w:szCs w:val="24"/>
              </w:rPr>
            </w:pPr>
            <w:r w:rsidRPr="006B757C">
              <w:rPr>
                <w:b/>
                <w:bCs/>
                <w:color w:val="000000"/>
                <w:szCs w:val="24"/>
              </w:rPr>
              <w:t>celkem</w:t>
            </w:r>
          </w:p>
          <w:p w14:paraId="493A6B30" w14:textId="77777777" w:rsidR="0070585C" w:rsidRPr="006B757C" w:rsidRDefault="0070585C" w:rsidP="00936F9F">
            <w:pPr>
              <w:ind w:left="13" w:hanging="13"/>
              <w:jc w:val="center"/>
              <w:rPr>
                <w:b/>
                <w:bCs/>
                <w:szCs w:val="24"/>
              </w:rPr>
            </w:pPr>
            <w:r w:rsidRPr="006B757C">
              <w:rPr>
                <w:b/>
                <w:bCs/>
                <w:szCs w:val="24"/>
              </w:rPr>
              <w:t>vč. odvodů</w:t>
            </w:r>
          </w:p>
          <w:p w14:paraId="612EE63B" w14:textId="77777777" w:rsidR="0070585C" w:rsidRPr="006B757C" w:rsidRDefault="0070585C" w:rsidP="00936F9F">
            <w:pPr>
              <w:ind w:left="709" w:hanging="709"/>
              <w:jc w:val="center"/>
              <w:rPr>
                <w:b/>
                <w:bCs/>
                <w:color w:val="000000"/>
                <w:szCs w:val="24"/>
              </w:rPr>
            </w:pPr>
            <w:r w:rsidRPr="006B757C">
              <w:rPr>
                <w:b/>
                <w:bCs/>
                <w:szCs w:val="24"/>
              </w:rPr>
              <w:t>Kč/žáka</w:t>
            </w:r>
          </w:p>
        </w:tc>
        <w:tc>
          <w:tcPr>
            <w:tcW w:w="1226" w:type="dxa"/>
            <w:tcBorders>
              <w:top w:val="single" w:sz="12" w:space="0" w:color="auto"/>
              <w:left w:val="single" w:sz="12" w:space="0" w:color="auto"/>
              <w:right w:val="single" w:sz="12" w:space="0" w:color="auto"/>
            </w:tcBorders>
            <w:shd w:val="clear" w:color="auto" w:fill="auto"/>
            <w:noWrap/>
            <w:vAlign w:val="center"/>
            <w:hideMark/>
          </w:tcPr>
          <w:p w14:paraId="5F433E72" w14:textId="77777777" w:rsidR="0070585C" w:rsidRPr="006B757C" w:rsidRDefault="0070585C" w:rsidP="00936F9F">
            <w:pPr>
              <w:ind w:left="709" w:hanging="709"/>
              <w:jc w:val="center"/>
              <w:rPr>
                <w:b/>
                <w:bCs/>
                <w:color w:val="000000"/>
                <w:szCs w:val="24"/>
              </w:rPr>
            </w:pPr>
            <w:r w:rsidRPr="006B757C">
              <w:rPr>
                <w:b/>
                <w:bCs/>
                <w:color w:val="000000"/>
                <w:szCs w:val="24"/>
              </w:rPr>
              <w:t>ONIV</w:t>
            </w:r>
          </w:p>
          <w:p w14:paraId="31BF9386" w14:textId="77777777" w:rsidR="0070585C" w:rsidRPr="006B757C" w:rsidRDefault="0070585C" w:rsidP="00936F9F">
            <w:pPr>
              <w:ind w:left="709" w:hanging="709"/>
              <w:jc w:val="center"/>
              <w:rPr>
                <w:b/>
                <w:bCs/>
                <w:szCs w:val="24"/>
              </w:rPr>
            </w:pPr>
            <w:r w:rsidRPr="006B757C">
              <w:rPr>
                <w:b/>
                <w:bCs/>
                <w:szCs w:val="24"/>
              </w:rPr>
              <w:t>celkem</w:t>
            </w:r>
          </w:p>
          <w:p w14:paraId="1D8B5C0A" w14:textId="77777777" w:rsidR="0070585C" w:rsidRPr="006B757C" w:rsidRDefault="0070585C" w:rsidP="00936F9F">
            <w:pPr>
              <w:ind w:left="709" w:hanging="709"/>
              <w:jc w:val="center"/>
              <w:rPr>
                <w:rFonts w:ascii="Calibri" w:hAnsi="Calibri"/>
                <w:b/>
                <w:bCs/>
                <w:color w:val="000000"/>
                <w:szCs w:val="24"/>
              </w:rPr>
            </w:pPr>
            <w:r w:rsidRPr="006B757C">
              <w:rPr>
                <w:b/>
                <w:bCs/>
                <w:szCs w:val="24"/>
              </w:rPr>
              <w:t>Kč/žáka</w:t>
            </w:r>
          </w:p>
        </w:tc>
        <w:tc>
          <w:tcPr>
            <w:tcW w:w="1226" w:type="dxa"/>
            <w:tcBorders>
              <w:top w:val="single" w:sz="12" w:space="0" w:color="auto"/>
              <w:left w:val="single" w:sz="12" w:space="0" w:color="auto"/>
              <w:right w:val="single" w:sz="12" w:space="0" w:color="auto"/>
            </w:tcBorders>
            <w:shd w:val="clear" w:color="auto" w:fill="auto"/>
            <w:noWrap/>
            <w:vAlign w:val="center"/>
            <w:hideMark/>
          </w:tcPr>
          <w:p w14:paraId="0656B5BE" w14:textId="77777777" w:rsidR="0070585C" w:rsidRPr="006B757C" w:rsidRDefault="0070585C" w:rsidP="00936F9F">
            <w:pPr>
              <w:ind w:left="709" w:hanging="709"/>
              <w:jc w:val="center"/>
              <w:rPr>
                <w:b/>
                <w:bCs/>
                <w:color w:val="000000"/>
                <w:szCs w:val="24"/>
              </w:rPr>
            </w:pPr>
            <w:r w:rsidRPr="006B757C">
              <w:rPr>
                <w:b/>
                <w:bCs/>
                <w:color w:val="000000"/>
                <w:szCs w:val="24"/>
              </w:rPr>
              <w:t>Zam.</w:t>
            </w:r>
          </w:p>
          <w:p w14:paraId="4786DFCA" w14:textId="77777777" w:rsidR="0070585C" w:rsidRPr="006B757C" w:rsidRDefault="0070585C" w:rsidP="00936F9F">
            <w:pPr>
              <w:ind w:left="709" w:hanging="709"/>
              <w:jc w:val="center"/>
              <w:rPr>
                <w:b/>
                <w:bCs/>
                <w:szCs w:val="24"/>
              </w:rPr>
            </w:pPr>
          </w:p>
          <w:p w14:paraId="1C4410D7" w14:textId="77777777" w:rsidR="0070585C" w:rsidRPr="006B757C" w:rsidRDefault="0070585C" w:rsidP="00936F9F">
            <w:pPr>
              <w:ind w:left="709" w:hanging="709"/>
              <w:jc w:val="center"/>
              <w:rPr>
                <w:rFonts w:ascii="Calibri" w:hAnsi="Calibri"/>
                <w:b/>
                <w:bCs/>
                <w:color w:val="000000"/>
                <w:szCs w:val="24"/>
              </w:rPr>
            </w:pPr>
            <w:r w:rsidRPr="006B757C">
              <w:rPr>
                <w:b/>
                <w:bCs/>
                <w:szCs w:val="24"/>
              </w:rPr>
              <w:t>Z./1000ž</w:t>
            </w:r>
          </w:p>
        </w:tc>
      </w:tr>
      <w:tr w:rsidR="0070585C" w:rsidRPr="006B757C" w14:paraId="344F82B1" w14:textId="77777777" w:rsidTr="00F83DD6">
        <w:trPr>
          <w:trHeight w:val="315"/>
        </w:trPr>
        <w:tc>
          <w:tcPr>
            <w:tcW w:w="146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A4E89FF" w14:textId="77777777" w:rsidR="0070585C" w:rsidRPr="006B757C" w:rsidRDefault="0070585C" w:rsidP="00936F9F">
            <w:pPr>
              <w:ind w:left="709" w:hanging="709"/>
              <w:jc w:val="left"/>
              <w:rPr>
                <w:b/>
                <w:bCs/>
                <w:color w:val="000000"/>
                <w:szCs w:val="24"/>
              </w:rPr>
            </w:pPr>
            <w:r w:rsidRPr="006B757C">
              <w:rPr>
                <w:b/>
                <w:bCs/>
                <w:color w:val="000000"/>
                <w:szCs w:val="24"/>
              </w:rPr>
              <w:t>3 - 5 let</w:t>
            </w:r>
          </w:p>
        </w:tc>
        <w:tc>
          <w:tcPr>
            <w:tcW w:w="1134"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0210BFC0" w14:textId="77777777" w:rsidR="0070585C" w:rsidRPr="006B757C" w:rsidRDefault="0070585C" w:rsidP="00936F9F">
            <w:pPr>
              <w:jc w:val="right"/>
              <w:rPr>
                <w:szCs w:val="22"/>
              </w:rPr>
            </w:pPr>
          </w:p>
        </w:tc>
        <w:tc>
          <w:tcPr>
            <w:tcW w:w="1275"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5798E07F" w14:textId="77777777" w:rsidR="0070585C" w:rsidRPr="006B757C" w:rsidRDefault="0070585C" w:rsidP="00936F9F">
            <w:pPr>
              <w:jc w:val="right"/>
              <w:rPr>
                <w:szCs w:val="22"/>
              </w:rPr>
            </w:pPr>
          </w:p>
        </w:tc>
        <w:tc>
          <w:tcPr>
            <w:tcW w:w="1276" w:type="dxa"/>
            <w:tcBorders>
              <w:top w:val="single" w:sz="12" w:space="0" w:color="auto"/>
              <w:left w:val="single" w:sz="12" w:space="0" w:color="auto"/>
              <w:bottom w:val="single" w:sz="4" w:space="0" w:color="auto"/>
              <w:right w:val="single" w:sz="12" w:space="0" w:color="auto"/>
            </w:tcBorders>
          </w:tcPr>
          <w:p w14:paraId="1EE94760" w14:textId="77777777" w:rsidR="0070585C" w:rsidRPr="006B757C" w:rsidRDefault="0070585C" w:rsidP="00936F9F">
            <w:pPr>
              <w:jc w:val="right"/>
            </w:pPr>
            <w:r>
              <w:t>5 497</w:t>
            </w:r>
          </w:p>
        </w:tc>
        <w:tc>
          <w:tcPr>
            <w:tcW w:w="1276" w:type="dxa"/>
            <w:tcBorders>
              <w:top w:val="single" w:sz="12" w:space="0" w:color="auto"/>
              <w:left w:val="single" w:sz="12" w:space="0" w:color="auto"/>
              <w:bottom w:val="single" w:sz="4" w:space="0" w:color="auto"/>
              <w:right w:val="single" w:sz="12" w:space="0" w:color="auto"/>
            </w:tcBorders>
          </w:tcPr>
          <w:p w14:paraId="7663F32E" w14:textId="77777777" w:rsidR="0070585C" w:rsidRPr="006B757C" w:rsidRDefault="0070585C" w:rsidP="00936F9F">
            <w:pPr>
              <w:jc w:val="right"/>
            </w:pPr>
            <w:r>
              <w:t>1 172</w:t>
            </w:r>
          </w:p>
        </w:tc>
        <w:tc>
          <w:tcPr>
            <w:tcW w:w="1226"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73752C96" w14:textId="77777777" w:rsidR="0070585C" w:rsidRPr="006B757C" w:rsidRDefault="0070585C" w:rsidP="00936F9F">
            <w:pPr>
              <w:jc w:val="right"/>
              <w:rPr>
                <w:szCs w:val="22"/>
              </w:rPr>
            </w:pPr>
          </w:p>
        </w:tc>
        <w:tc>
          <w:tcPr>
            <w:tcW w:w="1226" w:type="dxa"/>
            <w:tcBorders>
              <w:top w:val="single" w:sz="12" w:space="0" w:color="auto"/>
              <w:left w:val="single" w:sz="12" w:space="0" w:color="auto"/>
              <w:bottom w:val="single" w:sz="4" w:space="0" w:color="auto"/>
              <w:right w:val="single" w:sz="12" w:space="0" w:color="auto"/>
            </w:tcBorders>
            <w:shd w:val="clear" w:color="auto" w:fill="auto"/>
            <w:noWrap/>
            <w:vAlign w:val="bottom"/>
          </w:tcPr>
          <w:p w14:paraId="713C6083" w14:textId="77777777" w:rsidR="0070585C" w:rsidRPr="006B757C" w:rsidRDefault="0070585C" w:rsidP="00936F9F">
            <w:pPr>
              <w:jc w:val="right"/>
              <w:rPr>
                <w:szCs w:val="22"/>
              </w:rPr>
            </w:pPr>
          </w:p>
        </w:tc>
      </w:tr>
      <w:tr w:rsidR="0070585C" w:rsidRPr="006B757C" w14:paraId="0D8C1F98" w14:textId="77777777" w:rsidTr="00F83DD6">
        <w:trPr>
          <w:trHeight w:val="315"/>
        </w:trPr>
        <w:tc>
          <w:tcPr>
            <w:tcW w:w="1463" w:type="dxa"/>
            <w:tcBorders>
              <w:top w:val="nil"/>
              <w:left w:val="single" w:sz="12" w:space="0" w:color="auto"/>
              <w:bottom w:val="single" w:sz="4" w:space="0" w:color="auto"/>
              <w:right w:val="single" w:sz="12" w:space="0" w:color="auto"/>
            </w:tcBorders>
            <w:shd w:val="clear" w:color="auto" w:fill="auto"/>
            <w:noWrap/>
            <w:vAlign w:val="center"/>
            <w:hideMark/>
          </w:tcPr>
          <w:p w14:paraId="695598F0" w14:textId="77777777" w:rsidR="0070585C" w:rsidRPr="006B757C" w:rsidRDefault="0070585C" w:rsidP="00936F9F">
            <w:pPr>
              <w:ind w:left="709" w:hanging="709"/>
              <w:jc w:val="left"/>
              <w:rPr>
                <w:b/>
                <w:bCs/>
                <w:color w:val="000000"/>
                <w:szCs w:val="24"/>
              </w:rPr>
            </w:pPr>
            <w:r w:rsidRPr="006B757C">
              <w:rPr>
                <w:b/>
                <w:bCs/>
                <w:color w:val="000000"/>
                <w:szCs w:val="24"/>
              </w:rPr>
              <w:t>6 - 14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14:paraId="13D92AD2" w14:textId="77777777" w:rsidR="0070585C" w:rsidRPr="006B757C" w:rsidRDefault="0070585C" w:rsidP="00936F9F">
            <w:pPr>
              <w:jc w:val="right"/>
              <w:rPr>
                <w:szCs w:val="22"/>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14:paraId="0D4C88E4" w14:textId="77777777" w:rsidR="0070585C" w:rsidRPr="006B757C" w:rsidRDefault="0070585C" w:rsidP="00936F9F">
            <w:pPr>
              <w:jc w:val="right"/>
              <w:rPr>
                <w:szCs w:val="22"/>
              </w:rPr>
            </w:pPr>
          </w:p>
        </w:tc>
        <w:tc>
          <w:tcPr>
            <w:tcW w:w="1276" w:type="dxa"/>
            <w:tcBorders>
              <w:top w:val="nil"/>
              <w:left w:val="single" w:sz="12" w:space="0" w:color="auto"/>
              <w:bottom w:val="single" w:sz="4" w:space="0" w:color="auto"/>
              <w:right w:val="single" w:sz="12" w:space="0" w:color="auto"/>
            </w:tcBorders>
          </w:tcPr>
          <w:p w14:paraId="4C2C5B0F" w14:textId="77777777" w:rsidR="0070585C" w:rsidRPr="006B757C" w:rsidRDefault="0070585C" w:rsidP="00936F9F">
            <w:pPr>
              <w:jc w:val="right"/>
            </w:pPr>
            <w:r>
              <w:t>7 474</w:t>
            </w:r>
          </w:p>
        </w:tc>
        <w:tc>
          <w:tcPr>
            <w:tcW w:w="1276" w:type="dxa"/>
            <w:tcBorders>
              <w:top w:val="nil"/>
              <w:left w:val="single" w:sz="12" w:space="0" w:color="auto"/>
              <w:bottom w:val="single" w:sz="4" w:space="0" w:color="auto"/>
              <w:right w:val="single" w:sz="12" w:space="0" w:color="auto"/>
            </w:tcBorders>
          </w:tcPr>
          <w:p w14:paraId="5CAE2C2F" w14:textId="77777777" w:rsidR="0070585C" w:rsidRPr="006B757C" w:rsidRDefault="0070585C" w:rsidP="00936F9F">
            <w:pPr>
              <w:jc w:val="right"/>
            </w:pPr>
            <w:r>
              <w:t>1 097</w:t>
            </w:r>
          </w:p>
        </w:tc>
        <w:tc>
          <w:tcPr>
            <w:tcW w:w="1226" w:type="dxa"/>
            <w:tcBorders>
              <w:top w:val="nil"/>
              <w:left w:val="single" w:sz="12" w:space="0" w:color="auto"/>
              <w:bottom w:val="single" w:sz="4" w:space="0" w:color="auto"/>
              <w:right w:val="single" w:sz="12" w:space="0" w:color="auto"/>
            </w:tcBorders>
            <w:shd w:val="clear" w:color="auto" w:fill="auto"/>
            <w:noWrap/>
            <w:vAlign w:val="bottom"/>
          </w:tcPr>
          <w:p w14:paraId="20E1E9D5" w14:textId="77777777" w:rsidR="0070585C" w:rsidRPr="006B757C" w:rsidRDefault="0070585C" w:rsidP="00936F9F">
            <w:pPr>
              <w:jc w:val="right"/>
              <w:rPr>
                <w:szCs w:val="22"/>
              </w:rPr>
            </w:pPr>
          </w:p>
        </w:tc>
        <w:tc>
          <w:tcPr>
            <w:tcW w:w="1226" w:type="dxa"/>
            <w:tcBorders>
              <w:top w:val="nil"/>
              <w:left w:val="single" w:sz="12" w:space="0" w:color="auto"/>
              <w:bottom w:val="single" w:sz="4" w:space="0" w:color="auto"/>
              <w:right w:val="single" w:sz="12" w:space="0" w:color="auto"/>
            </w:tcBorders>
            <w:shd w:val="clear" w:color="auto" w:fill="auto"/>
            <w:noWrap/>
            <w:vAlign w:val="bottom"/>
          </w:tcPr>
          <w:p w14:paraId="15D4534B" w14:textId="77777777" w:rsidR="0070585C" w:rsidRPr="006B757C" w:rsidRDefault="0070585C" w:rsidP="00936F9F">
            <w:pPr>
              <w:jc w:val="right"/>
              <w:rPr>
                <w:szCs w:val="22"/>
              </w:rPr>
            </w:pPr>
          </w:p>
        </w:tc>
      </w:tr>
      <w:tr w:rsidR="0070585C" w:rsidRPr="006B757C" w14:paraId="5235E010" w14:textId="77777777" w:rsidTr="00F83DD6">
        <w:trPr>
          <w:trHeight w:val="315"/>
        </w:trPr>
        <w:tc>
          <w:tcPr>
            <w:tcW w:w="1463" w:type="dxa"/>
            <w:tcBorders>
              <w:top w:val="nil"/>
              <w:left w:val="single" w:sz="12" w:space="0" w:color="auto"/>
              <w:bottom w:val="single" w:sz="4" w:space="0" w:color="auto"/>
              <w:right w:val="single" w:sz="12" w:space="0" w:color="auto"/>
            </w:tcBorders>
            <w:shd w:val="clear" w:color="auto" w:fill="auto"/>
            <w:noWrap/>
            <w:vAlign w:val="center"/>
            <w:hideMark/>
          </w:tcPr>
          <w:p w14:paraId="53A4B84C" w14:textId="77777777" w:rsidR="0070585C" w:rsidRPr="006B757C" w:rsidRDefault="0070585C" w:rsidP="00936F9F">
            <w:pPr>
              <w:ind w:left="709" w:hanging="709"/>
              <w:jc w:val="left"/>
              <w:rPr>
                <w:b/>
                <w:bCs/>
                <w:color w:val="000000"/>
                <w:szCs w:val="24"/>
              </w:rPr>
            </w:pPr>
            <w:r w:rsidRPr="006B757C">
              <w:rPr>
                <w:b/>
                <w:bCs/>
                <w:color w:val="000000"/>
                <w:szCs w:val="24"/>
              </w:rPr>
              <w:t>15 - 18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14:paraId="713F30A5" w14:textId="77777777" w:rsidR="0070585C" w:rsidRPr="006B757C" w:rsidRDefault="0070585C" w:rsidP="00936F9F">
            <w:pPr>
              <w:jc w:val="right"/>
              <w:rPr>
                <w:szCs w:val="22"/>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14:paraId="203A1F82" w14:textId="77777777" w:rsidR="0070585C" w:rsidRPr="006B757C" w:rsidRDefault="0070585C" w:rsidP="00936F9F">
            <w:pPr>
              <w:jc w:val="right"/>
              <w:rPr>
                <w:szCs w:val="22"/>
              </w:rPr>
            </w:pPr>
          </w:p>
        </w:tc>
        <w:tc>
          <w:tcPr>
            <w:tcW w:w="1276" w:type="dxa"/>
            <w:tcBorders>
              <w:top w:val="nil"/>
              <w:left w:val="single" w:sz="12" w:space="0" w:color="auto"/>
              <w:bottom w:val="single" w:sz="4" w:space="0" w:color="auto"/>
              <w:right w:val="single" w:sz="12" w:space="0" w:color="auto"/>
            </w:tcBorders>
          </w:tcPr>
          <w:p w14:paraId="70D7718D" w14:textId="77777777" w:rsidR="0070585C" w:rsidRPr="006B757C" w:rsidRDefault="0070585C" w:rsidP="00936F9F">
            <w:pPr>
              <w:jc w:val="right"/>
            </w:pPr>
            <w:r>
              <w:t>8 496</w:t>
            </w:r>
          </w:p>
        </w:tc>
        <w:tc>
          <w:tcPr>
            <w:tcW w:w="1276" w:type="dxa"/>
            <w:tcBorders>
              <w:top w:val="nil"/>
              <w:left w:val="single" w:sz="12" w:space="0" w:color="auto"/>
              <w:bottom w:val="single" w:sz="4" w:space="0" w:color="auto"/>
              <w:right w:val="single" w:sz="12" w:space="0" w:color="auto"/>
            </w:tcBorders>
          </w:tcPr>
          <w:p w14:paraId="142C1853" w14:textId="77777777" w:rsidR="0070585C" w:rsidRPr="006B757C" w:rsidRDefault="0070585C" w:rsidP="00936F9F">
            <w:pPr>
              <w:jc w:val="right"/>
            </w:pPr>
            <w:r>
              <w:t>1 469</w:t>
            </w:r>
          </w:p>
        </w:tc>
        <w:tc>
          <w:tcPr>
            <w:tcW w:w="1226" w:type="dxa"/>
            <w:tcBorders>
              <w:top w:val="nil"/>
              <w:left w:val="single" w:sz="12" w:space="0" w:color="auto"/>
              <w:bottom w:val="single" w:sz="4" w:space="0" w:color="auto"/>
              <w:right w:val="single" w:sz="12" w:space="0" w:color="auto"/>
            </w:tcBorders>
            <w:shd w:val="clear" w:color="auto" w:fill="auto"/>
            <w:noWrap/>
            <w:vAlign w:val="bottom"/>
          </w:tcPr>
          <w:p w14:paraId="7AADE36B" w14:textId="77777777" w:rsidR="0070585C" w:rsidRPr="006B757C" w:rsidRDefault="0070585C" w:rsidP="00936F9F">
            <w:pPr>
              <w:jc w:val="right"/>
              <w:rPr>
                <w:szCs w:val="22"/>
              </w:rPr>
            </w:pPr>
          </w:p>
        </w:tc>
        <w:tc>
          <w:tcPr>
            <w:tcW w:w="1226" w:type="dxa"/>
            <w:tcBorders>
              <w:top w:val="nil"/>
              <w:left w:val="single" w:sz="12" w:space="0" w:color="auto"/>
              <w:bottom w:val="single" w:sz="4" w:space="0" w:color="auto"/>
              <w:right w:val="single" w:sz="12" w:space="0" w:color="auto"/>
            </w:tcBorders>
            <w:shd w:val="clear" w:color="auto" w:fill="auto"/>
            <w:noWrap/>
            <w:vAlign w:val="bottom"/>
          </w:tcPr>
          <w:p w14:paraId="7BFA73B5" w14:textId="77777777" w:rsidR="0070585C" w:rsidRPr="006B757C" w:rsidRDefault="0070585C" w:rsidP="00936F9F">
            <w:pPr>
              <w:jc w:val="right"/>
              <w:rPr>
                <w:szCs w:val="22"/>
              </w:rPr>
            </w:pPr>
          </w:p>
        </w:tc>
      </w:tr>
      <w:tr w:rsidR="0070585C" w:rsidRPr="006B757C" w14:paraId="2D7659D8" w14:textId="77777777" w:rsidTr="00F83DD6">
        <w:trPr>
          <w:trHeight w:val="315"/>
        </w:trPr>
        <w:tc>
          <w:tcPr>
            <w:tcW w:w="1463" w:type="dxa"/>
            <w:tcBorders>
              <w:top w:val="nil"/>
              <w:left w:val="single" w:sz="12" w:space="0" w:color="auto"/>
              <w:bottom w:val="single" w:sz="4" w:space="0" w:color="auto"/>
              <w:right w:val="single" w:sz="12" w:space="0" w:color="auto"/>
            </w:tcBorders>
            <w:shd w:val="clear" w:color="auto" w:fill="auto"/>
            <w:noWrap/>
            <w:vAlign w:val="center"/>
            <w:hideMark/>
          </w:tcPr>
          <w:p w14:paraId="77E1A2A5" w14:textId="77777777" w:rsidR="0070585C" w:rsidRPr="006B757C" w:rsidRDefault="0070585C" w:rsidP="00936F9F">
            <w:pPr>
              <w:ind w:left="709" w:hanging="709"/>
              <w:jc w:val="left"/>
              <w:rPr>
                <w:b/>
                <w:bCs/>
                <w:color w:val="000000"/>
                <w:szCs w:val="24"/>
              </w:rPr>
            </w:pPr>
            <w:r w:rsidRPr="006B757C">
              <w:rPr>
                <w:b/>
                <w:bCs/>
                <w:color w:val="000000"/>
                <w:szCs w:val="24"/>
              </w:rPr>
              <w:t>19 - 21 let</w:t>
            </w:r>
          </w:p>
        </w:tc>
        <w:tc>
          <w:tcPr>
            <w:tcW w:w="1134" w:type="dxa"/>
            <w:tcBorders>
              <w:top w:val="nil"/>
              <w:left w:val="single" w:sz="12" w:space="0" w:color="auto"/>
              <w:bottom w:val="single" w:sz="4" w:space="0" w:color="auto"/>
              <w:right w:val="single" w:sz="12" w:space="0" w:color="auto"/>
            </w:tcBorders>
            <w:shd w:val="clear" w:color="auto" w:fill="auto"/>
            <w:noWrap/>
            <w:vAlign w:val="bottom"/>
          </w:tcPr>
          <w:p w14:paraId="2629962B" w14:textId="77777777" w:rsidR="0070585C" w:rsidRPr="006B757C" w:rsidRDefault="0070585C" w:rsidP="00936F9F">
            <w:pPr>
              <w:jc w:val="right"/>
              <w:rPr>
                <w:szCs w:val="22"/>
              </w:rPr>
            </w:pPr>
          </w:p>
        </w:tc>
        <w:tc>
          <w:tcPr>
            <w:tcW w:w="1275" w:type="dxa"/>
            <w:tcBorders>
              <w:top w:val="nil"/>
              <w:left w:val="single" w:sz="12" w:space="0" w:color="auto"/>
              <w:bottom w:val="single" w:sz="4" w:space="0" w:color="auto"/>
              <w:right w:val="single" w:sz="12" w:space="0" w:color="auto"/>
            </w:tcBorders>
            <w:shd w:val="clear" w:color="auto" w:fill="auto"/>
            <w:noWrap/>
            <w:vAlign w:val="bottom"/>
          </w:tcPr>
          <w:p w14:paraId="2472BDC6" w14:textId="77777777" w:rsidR="0070585C" w:rsidRPr="006B757C" w:rsidRDefault="0070585C" w:rsidP="00936F9F">
            <w:pPr>
              <w:jc w:val="right"/>
              <w:rPr>
                <w:szCs w:val="22"/>
              </w:rPr>
            </w:pPr>
          </w:p>
        </w:tc>
        <w:tc>
          <w:tcPr>
            <w:tcW w:w="1276" w:type="dxa"/>
            <w:tcBorders>
              <w:top w:val="nil"/>
              <w:left w:val="single" w:sz="12" w:space="0" w:color="auto"/>
              <w:bottom w:val="single" w:sz="4" w:space="0" w:color="auto"/>
              <w:right w:val="single" w:sz="12" w:space="0" w:color="auto"/>
            </w:tcBorders>
          </w:tcPr>
          <w:p w14:paraId="60E719B6" w14:textId="77777777" w:rsidR="0070585C" w:rsidRPr="006B757C" w:rsidRDefault="0070585C" w:rsidP="00936F9F">
            <w:pPr>
              <w:jc w:val="right"/>
            </w:pPr>
            <w:r>
              <w:t>7 499</w:t>
            </w:r>
          </w:p>
        </w:tc>
        <w:tc>
          <w:tcPr>
            <w:tcW w:w="1276" w:type="dxa"/>
            <w:tcBorders>
              <w:top w:val="nil"/>
              <w:left w:val="single" w:sz="12" w:space="0" w:color="auto"/>
              <w:bottom w:val="single" w:sz="4" w:space="0" w:color="auto"/>
              <w:right w:val="single" w:sz="12" w:space="0" w:color="auto"/>
            </w:tcBorders>
          </w:tcPr>
          <w:p w14:paraId="1CD25195" w14:textId="77777777" w:rsidR="0070585C" w:rsidRPr="006B757C" w:rsidRDefault="0070585C" w:rsidP="00936F9F">
            <w:pPr>
              <w:jc w:val="right"/>
            </w:pPr>
            <w:r>
              <w:t>1 111</w:t>
            </w:r>
          </w:p>
        </w:tc>
        <w:tc>
          <w:tcPr>
            <w:tcW w:w="1226" w:type="dxa"/>
            <w:tcBorders>
              <w:top w:val="nil"/>
              <w:left w:val="single" w:sz="12" w:space="0" w:color="auto"/>
              <w:bottom w:val="single" w:sz="4" w:space="0" w:color="auto"/>
              <w:right w:val="single" w:sz="12" w:space="0" w:color="auto"/>
            </w:tcBorders>
            <w:shd w:val="clear" w:color="auto" w:fill="auto"/>
            <w:noWrap/>
            <w:vAlign w:val="bottom"/>
          </w:tcPr>
          <w:p w14:paraId="4B907B46" w14:textId="77777777" w:rsidR="0070585C" w:rsidRPr="006B757C" w:rsidRDefault="0070585C" w:rsidP="00936F9F">
            <w:pPr>
              <w:jc w:val="right"/>
              <w:rPr>
                <w:szCs w:val="22"/>
              </w:rPr>
            </w:pPr>
          </w:p>
        </w:tc>
        <w:tc>
          <w:tcPr>
            <w:tcW w:w="1226" w:type="dxa"/>
            <w:tcBorders>
              <w:top w:val="nil"/>
              <w:left w:val="single" w:sz="12" w:space="0" w:color="auto"/>
              <w:bottom w:val="single" w:sz="4" w:space="0" w:color="auto"/>
              <w:right w:val="single" w:sz="12" w:space="0" w:color="auto"/>
            </w:tcBorders>
            <w:shd w:val="clear" w:color="auto" w:fill="auto"/>
            <w:noWrap/>
            <w:vAlign w:val="bottom"/>
          </w:tcPr>
          <w:p w14:paraId="00D6047A" w14:textId="77777777" w:rsidR="0070585C" w:rsidRPr="006B757C" w:rsidRDefault="0070585C" w:rsidP="00936F9F">
            <w:pPr>
              <w:jc w:val="right"/>
              <w:rPr>
                <w:szCs w:val="22"/>
              </w:rPr>
            </w:pPr>
          </w:p>
        </w:tc>
      </w:tr>
      <w:tr w:rsidR="0070585C" w:rsidRPr="006B757C" w14:paraId="15CF0781" w14:textId="77777777" w:rsidTr="00F83DD6">
        <w:trPr>
          <w:trHeight w:val="315"/>
        </w:trPr>
        <w:tc>
          <w:tcPr>
            <w:tcW w:w="1463" w:type="dxa"/>
            <w:tcBorders>
              <w:top w:val="nil"/>
              <w:left w:val="single" w:sz="12" w:space="0" w:color="auto"/>
              <w:bottom w:val="single" w:sz="12" w:space="0" w:color="auto"/>
              <w:right w:val="single" w:sz="12" w:space="0" w:color="auto"/>
            </w:tcBorders>
            <w:shd w:val="clear" w:color="auto" w:fill="auto"/>
            <w:noWrap/>
            <w:vAlign w:val="center"/>
            <w:hideMark/>
          </w:tcPr>
          <w:p w14:paraId="30617CAD" w14:textId="77777777" w:rsidR="0070585C" w:rsidRPr="006B757C" w:rsidRDefault="0070585C" w:rsidP="00936F9F">
            <w:pPr>
              <w:ind w:left="709" w:hanging="709"/>
              <w:jc w:val="left"/>
              <w:rPr>
                <w:b/>
                <w:bCs/>
                <w:color w:val="000000"/>
                <w:szCs w:val="24"/>
              </w:rPr>
            </w:pPr>
            <w:r w:rsidRPr="006B757C">
              <w:rPr>
                <w:b/>
                <w:bCs/>
                <w:color w:val="000000"/>
                <w:szCs w:val="24"/>
              </w:rPr>
              <w:t>KZÚV</w:t>
            </w:r>
          </w:p>
        </w:tc>
        <w:tc>
          <w:tcPr>
            <w:tcW w:w="1134" w:type="dxa"/>
            <w:tcBorders>
              <w:top w:val="nil"/>
              <w:left w:val="single" w:sz="12" w:space="0" w:color="auto"/>
              <w:bottom w:val="single" w:sz="12" w:space="0" w:color="auto"/>
              <w:right w:val="single" w:sz="12" w:space="0" w:color="auto"/>
            </w:tcBorders>
            <w:shd w:val="clear" w:color="auto" w:fill="auto"/>
            <w:noWrap/>
            <w:vAlign w:val="bottom"/>
          </w:tcPr>
          <w:p w14:paraId="26F8C996" w14:textId="77777777" w:rsidR="0070585C" w:rsidRPr="006B757C" w:rsidRDefault="0070585C" w:rsidP="00936F9F">
            <w:pPr>
              <w:jc w:val="right"/>
              <w:rPr>
                <w:szCs w:val="22"/>
              </w:rPr>
            </w:pPr>
          </w:p>
        </w:tc>
        <w:tc>
          <w:tcPr>
            <w:tcW w:w="1275" w:type="dxa"/>
            <w:tcBorders>
              <w:top w:val="nil"/>
              <w:left w:val="single" w:sz="12" w:space="0" w:color="auto"/>
              <w:bottom w:val="single" w:sz="12" w:space="0" w:color="auto"/>
              <w:right w:val="single" w:sz="12" w:space="0" w:color="auto"/>
            </w:tcBorders>
            <w:shd w:val="clear" w:color="auto" w:fill="auto"/>
            <w:noWrap/>
            <w:vAlign w:val="bottom"/>
          </w:tcPr>
          <w:p w14:paraId="315A3B53" w14:textId="77777777" w:rsidR="0070585C" w:rsidRPr="006B757C" w:rsidRDefault="0070585C" w:rsidP="00936F9F">
            <w:pPr>
              <w:jc w:val="right"/>
              <w:rPr>
                <w:szCs w:val="22"/>
              </w:rPr>
            </w:pPr>
          </w:p>
        </w:tc>
        <w:tc>
          <w:tcPr>
            <w:tcW w:w="1276" w:type="dxa"/>
            <w:tcBorders>
              <w:top w:val="nil"/>
              <w:left w:val="single" w:sz="12" w:space="0" w:color="auto"/>
              <w:bottom w:val="single" w:sz="12" w:space="0" w:color="auto"/>
              <w:right w:val="single" w:sz="12" w:space="0" w:color="auto"/>
            </w:tcBorders>
          </w:tcPr>
          <w:p w14:paraId="6DA2A758" w14:textId="77777777" w:rsidR="0070585C" w:rsidRPr="006B757C" w:rsidRDefault="0070585C" w:rsidP="00936F9F">
            <w:pPr>
              <w:jc w:val="right"/>
            </w:pPr>
            <w:r>
              <w:t>31 680</w:t>
            </w:r>
          </w:p>
        </w:tc>
        <w:tc>
          <w:tcPr>
            <w:tcW w:w="1276" w:type="dxa"/>
            <w:tcBorders>
              <w:top w:val="nil"/>
              <w:left w:val="single" w:sz="12" w:space="0" w:color="auto"/>
              <w:bottom w:val="single" w:sz="12" w:space="0" w:color="auto"/>
              <w:right w:val="single" w:sz="12" w:space="0" w:color="auto"/>
            </w:tcBorders>
          </w:tcPr>
          <w:p w14:paraId="13FAC868" w14:textId="77777777" w:rsidR="0070585C" w:rsidRPr="006B757C" w:rsidRDefault="0070585C" w:rsidP="00936F9F">
            <w:pPr>
              <w:jc w:val="right"/>
            </w:pPr>
            <w:r>
              <w:t>8 392</w:t>
            </w:r>
          </w:p>
        </w:tc>
        <w:tc>
          <w:tcPr>
            <w:tcW w:w="1226" w:type="dxa"/>
            <w:tcBorders>
              <w:top w:val="nil"/>
              <w:left w:val="single" w:sz="12" w:space="0" w:color="auto"/>
              <w:bottom w:val="single" w:sz="12" w:space="0" w:color="auto"/>
              <w:right w:val="single" w:sz="12" w:space="0" w:color="auto"/>
            </w:tcBorders>
            <w:shd w:val="clear" w:color="auto" w:fill="auto"/>
            <w:noWrap/>
            <w:vAlign w:val="bottom"/>
          </w:tcPr>
          <w:p w14:paraId="16E6E92B" w14:textId="77777777" w:rsidR="0070585C" w:rsidRPr="006B757C" w:rsidRDefault="0070585C" w:rsidP="00936F9F">
            <w:pPr>
              <w:jc w:val="right"/>
              <w:rPr>
                <w:szCs w:val="22"/>
              </w:rPr>
            </w:pPr>
          </w:p>
        </w:tc>
        <w:tc>
          <w:tcPr>
            <w:tcW w:w="1226" w:type="dxa"/>
            <w:tcBorders>
              <w:top w:val="nil"/>
              <w:left w:val="single" w:sz="12" w:space="0" w:color="auto"/>
              <w:bottom w:val="single" w:sz="12" w:space="0" w:color="auto"/>
              <w:right w:val="single" w:sz="12" w:space="0" w:color="auto"/>
            </w:tcBorders>
            <w:shd w:val="clear" w:color="auto" w:fill="auto"/>
            <w:noWrap/>
            <w:vAlign w:val="bottom"/>
          </w:tcPr>
          <w:p w14:paraId="338BD09E" w14:textId="77777777" w:rsidR="0070585C" w:rsidRPr="006B757C" w:rsidRDefault="0070585C" w:rsidP="00936F9F">
            <w:pPr>
              <w:jc w:val="right"/>
              <w:rPr>
                <w:szCs w:val="22"/>
              </w:rPr>
            </w:pPr>
          </w:p>
        </w:tc>
      </w:tr>
    </w:tbl>
    <w:p w14:paraId="425FABFE" w14:textId="77777777" w:rsidR="0070585C" w:rsidRPr="006B757C" w:rsidRDefault="0070585C" w:rsidP="0070585C">
      <w:pPr>
        <w:rPr>
          <w:b/>
          <w:color w:val="000000"/>
          <w:szCs w:val="24"/>
        </w:rPr>
      </w:pPr>
    </w:p>
    <w:p w14:paraId="6B55F7BA" w14:textId="77777777" w:rsidR="0070585C" w:rsidRDefault="0070585C" w:rsidP="0070585C">
      <w:pPr>
        <w:rPr>
          <w:b/>
          <w:color w:val="000000"/>
          <w:szCs w:val="24"/>
        </w:rPr>
      </w:pPr>
      <w:r w:rsidRPr="001320F6">
        <w:rPr>
          <w:b/>
          <w:color w:val="000000"/>
          <w:szCs w:val="24"/>
        </w:rPr>
        <w:t>Po druhé úpravě RN činí:</w:t>
      </w:r>
    </w:p>
    <w:tbl>
      <w:tblPr>
        <w:tblW w:w="8931" w:type="dxa"/>
        <w:tblInd w:w="70" w:type="dxa"/>
        <w:tblLayout w:type="fixed"/>
        <w:tblCellMar>
          <w:left w:w="70" w:type="dxa"/>
          <w:right w:w="70" w:type="dxa"/>
        </w:tblCellMar>
        <w:tblLook w:val="04A0" w:firstRow="1" w:lastRow="0" w:firstColumn="1" w:lastColumn="0" w:noHBand="0" w:noVBand="1"/>
      </w:tblPr>
      <w:tblGrid>
        <w:gridCol w:w="1418"/>
        <w:gridCol w:w="1134"/>
        <w:gridCol w:w="1276"/>
        <w:gridCol w:w="1275"/>
        <w:gridCol w:w="1560"/>
        <w:gridCol w:w="1134"/>
        <w:gridCol w:w="1134"/>
      </w:tblGrid>
      <w:tr w:rsidR="0070585C" w:rsidRPr="008B42CF" w14:paraId="2048F619" w14:textId="77777777" w:rsidTr="00936F9F">
        <w:trPr>
          <w:trHeight w:val="112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0D8D36" w14:textId="77777777" w:rsidR="0070585C" w:rsidRPr="0048754B" w:rsidRDefault="0070585C" w:rsidP="00936F9F">
            <w:pPr>
              <w:ind w:left="709" w:hanging="709"/>
              <w:jc w:val="center"/>
              <w:rPr>
                <w:b/>
                <w:bCs/>
                <w:color w:val="000000"/>
                <w:szCs w:val="24"/>
              </w:rPr>
            </w:pPr>
            <w:r w:rsidRPr="0048754B">
              <w:rPr>
                <w:b/>
                <w:bCs/>
                <w:color w:val="000000"/>
                <w:szCs w:val="24"/>
              </w:rPr>
              <w:t xml:space="preserve">Věková </w:t>
            </w:r>
          </w:p>
          <w:p w14:paraId="0EEF272A" w14:textId="77777777" w:rsidR="0070585C" w:rsidRPr="0048754B" w:rsidRDefault="0070585C" w:rsidP="00936F9F">
            <w:pPr>
              <w:ind w:left="709" w:hanging="709"/>
              <w:jc w:val="center"/>
              <w:rPr>
                <w:b/>
                <w:bCs/>
                <w:szCs w:val="24"/>
              </w:rPr>
            </w:pPr>
            <w:r w:rsidRPr="0048754B">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BE21DF" w14:textId="77777777" w:rsidR="0070585C" w:rsidRPr="0048754B" w:rsidRDefault="0070585C" w:rsidP="00936F9F">
            <w:pPr>
              <w:ind w:left="709" w:hanging="709"/>
              <w:jc w:val="center"/>
              <w:rPr>
                <w:b/>
                <w:bCs/>
                <w:color w:val="000000"/>
                <w:szCs w:val="24"/>
              </w:rPr>
            </w:pPr>
            <w:r w:rsidRPr="0048754B">
              <w:rPr>
                <w:b/>
                <w:bCs/>
                <w:color w:val="000000"/>
                <w:szCs w:val="24"/>
              </w:rPr>
              <w:t>NIV</w:t>
            </w:r>
          </w:p>
          <w:p w14:paraId="2426108D" w14:textId="77777777" w:rsidR="0070585C" w:rsidRPr="0048754B" w:rsidRDefault="0070585C" w:rsidP="00936F9F">
            <w:pPr>
              <w:jc w:val="center"/>
              <w:rPr>
                <w:b/>
                <w:bCs/>
                <w:szCs w:val="24"/>
              </w:rPr>
            </w:pPr>
            <w:r w:rsidRPr="0048754B">
              <w:rPr>
                <w:b/>
                <w:bCs/>
                <w:szCs w:val="24"/>
              </w:rPr>
              <w:t>celkem</w:t>
            </w:r>
          </w:p>
          <w:p w14:paraId="6355AEF6" w14:textId="77777777" w:rsidR="0070585C" w:rsidRPr="0048754B" w:rsidRDefault="0070585C" w:rsidP="00936F9F">
            <w:pPr>
              <w:ind w:left="709" w:hanging="709"/>
              <w:jc w:val="center"/>
              <w:rPr>
                <w:rFonts w:ascii="Calibri" w:hAnsi="Calibri"/>
                <w:b/>
                <w:bCs/>
                <w:color w:val="000000"/>
                <w:szCs w:val="24"/>
              </w:rPr>
            </w:pPr>
            <w:r w:rsidRPr="0048754B">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2606FB" w14:textId="77777777" w:rsidR="0070585C" w:rsidRPr="0048754B" w:rsidRDefault="0070585C" w:rsidP="00936F9F">
            <w:pPr>
              <w:ind w:left="709" w:hanging="709"/>
              <w:jc w:val="center"/>
              <w:rPr>
                <w:b/>
                <w:bCs/>
                <w:color w:val="000000"/>
                <w:szCs w:val="24"/>
              </w:rPr>
            </w:pPr>
            <w:r w:rsidRPr="0048754B">
              <w:rPr>
                <w:b/>
                <w:bCs/>
                <w:color w:val="000000"/>
                <w:szCs w:val="24"/>
              </w:rPr>
              <w:t>MP</w:t>
            </w:r>
          </w:p>
          <w:p w14:paraId="72E6AF6F" w14:textId="77777777" w:rsidR="0070585C" w:rsidRPr="0048754B" w:rsidRDefault="0070585C" w:rsidP="00936F9F">
            <w:pPr>
              <w:ind w:left="709" w:hanging="709"/>
              <w:jc w:val="center"/>
              <w:rPr>
                <w:b/>
                <w:bCs/>
                <w:color w:val="000000"/>
                <w:szCs w:val="24"/>
              </w:rPr>
            </w:pPr>
            <w:r w:rsidRPr="0048754B">
              <w:rPr>
                <w:b/>
                <w:bCs/>
                <w:color w:val="000000"/>
                <w:szCs w:val="24"/>
              </w:rPr>
              <w:t>celkem</w:t>
            </w:r>
          </w:p>
          <w:p w14:paraId="16E536E1" w14:textId="77777777" w:rsidR="0070585C" w:rsidRPr="0048754B" w:rsidRDefault="0070585C" w:rsidP="00936F9F">
            <w:pPr>
              <w:jc w:val="center"/>
              <w:rPr>
                <w:b/>
                <w:bCs/>
                <w:szCs w:val="24"/>
              </w:rPr>
            </w:pPr>
            <w:r w:rsidRPr="0048754B">
              <w:rPr>
                <w:b/>
                <w:bCs/>
                <w:szCs w:val="24"/>
              </w:rPr>
              <w:t xml:space="preserve">vč. </w:t>
            </w:r>
            <w:r>
              <w:rPr>
                <w:b/>
                <w:bCs/>
                <w:szCs w:val="24"/>
              </w:rPr>
              <w:t>o</w:t>
            </w:r>
            <w:r w:rsidRPr="0048754B">
              <w:rPr>
                <w:b/>
                <w:bCs/>
                <w:szCs w:val="24"/>
              </w:rPr>
              <w:t>dvodů</w:t>
            </w:r>
          </w:p>
          <w:p w14:paraId="72770B76" w14:textId="77777777" w:rsidR="0070585C" w:rsidRPr="0048754B" w:rsidRDefault="0070585C" w:rsidP="00936F9F">
            <w:pPr>
              <w:ind w:left="709" w:hanging="709"/>
              <w:jc w:val="center"/>
              <w:rPr>
                <w:b/>
                <w:bCs/>
                <w:color w:val="000000"/>
                <w:szCs w:val="24"/>
              </w:rPr>
            </w:pPr>
            <w:r w:rsidRPr="0048754B">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vAlign w:val="center"/>
          </w:tcPr>
          <w:p w14:paraId="5BFF90C5" w14:textId="77777777" w:rsidR="0070585C" w:rsidRPr="0048754B" w:rsidRDefault="0070585C" w:rsidP="00936F9F">
            <w:pPr>
              <w:ind w:left="709" w:hanging="709"/>
              <w:jc w:val="center"/>
              <w:rPr>
                <w:b/>
                <w:bCs/>
                <w:color w:val="000000"/>
                <w:szCs w:val="24"/>
              </w:rPr>
            </w:pPr>
            <w:r w:rsidRPr="0048754B">
              <w:rPr>
                <w:b/>
                <w:bCs/>
                <w:color w:val="000000"/>
                <w:szCs w:val="24"/>
              </w:rPr>
              <w:t>MPP</w:t>
            </w:r>
          </w:p>
          <w:p w14:paraId="7661CCC6" w14:textId="77777777" w:rsidR="0070585C" w:rsidRPr="0048754B" w:rsidRDefault="0070585C" w:rsidP="00936F9F">
            <w:pPr>
              <w:ind w:left="709" w:hanging="709"/>
              <w:jc w:val="center"/>
              <w:rPr>
                <w:b/>
                <w:bCs/>
                <w:color w:val="000000"/>
                <w:szCs w:val="24"/>
              </w:rPr>
            </w:pPr>
            <w:r w:rsidRPr="0048754B">
              <w:rPr>
                <w:b/>
                <w:bCs/>
                <w:color w:val="000000"/>
                <w:szCs w:val="24"/>
              </w:rPr>
              <w:t>celkem</w:t>
            </w:r>
          </w:p>
          <w:p w14:paraId="20F9C7C2" w14:textId="77777777" w:rsidR="0070585C" w:rsidRPr="0048754B" w:rsidRDefault="0070585C" w:rsidP="00936F9F">
            <w:pPr>
              <w:jc w:val="center"/>
              <w:rPr>
                <w:b/>
                <w:bCs/>
                <w:szCs w:val="24"/>
              </w:rPr>
            </w:pPr>
            <w:r w:rsidRPr="0048754B">
              <w:rPr>
                <w:b/>
                <w:bCs/>
                <w:szCs w:val="24"/>
              </w:rPr>
              <w:t>vč. odvodů</w:t>
            </w:r>
          </w:p>
          <w:p w14:paraId="297132D2" w14:textId="77777777" w:rsidR="0070585C" w:rsidRPr="0048754B" w:rsidRDefault="0070585C" w:rsidP="00936F9F">
            <w:pPr>
              <w:ind w:left="709" w:hanging="709"/>
              <w:jc w:val="center"/>
              <w:rPr>
                <w:b/>
                <w:bCs/>
                <w:color w:val="000000"/>
                <w:szCs w:val="24"/>
              </w:rPr>
            </w:pPr>
            <w:r w:rsidRPr="0048754B">
              <w:rPr>
                <w:b/>
                <w:bCs/>
                <w:szCs w:val="24"/>
              </w:rPr>
              <w:t>Kč/žáka</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14:paraId="76B777DB" w14:textId="77777777" w:rsidR="0070585C" w:rsidRPr="0048754B" w:rsidRDefault="0070585C" w:rsidP="00936F9F">
            <w:pPr>
              <w:ind w:left="709" w:hanging="709"/>
              <w:jc w:val="center"/>
              <w:rPr>
                <w:b/>
                <w:bCs/>
                <w:color w:val="000000"/>
                <w:szCs w:val="24"/>
              </w:rPr>
            </w:pPr>
            <w:r w:rsidRPr="0048754B">
              <w:rPr>
                <w:b/>
                <w:bCs/>
                <w:color w:val="000000"/>
                <w:szCs w:val="24"/>
              </w:rPr>
              <w:t>MPN</w:t>
            </w:r>
          </w:p>
          <w:p w14:paraId="777DF707" w14:textId="77777777" w:rsidR="0070585C" w:rsidRPr="0048754B" w:rsidRDefault="0070585C" w:rsidP="00936F9F">
            <w:pPr>
              <w:ind w:left="709" w:hanging="709"/>
              <w:jc w:val="center"/>
              <w:rPr>
                <w:b/>
                <w:bCs/>
                <w:color w:val="000000"/>
                <w:szCs w:val="24"/>
              </w:rPr>
            </w:pPr>
            <w:r w:rsidRPr="0048754B">
              <w:rPr>
                <w:b/>
                <w:bCs/>
                <w:color w:val="000000"/>
                <w:szCs w:val="24"/>
              </w:rPr>
              <w:t>celkem</w:t>
            </w:r>
          </w:p>
          <w:p w14:paraId="367ACC18" w14:textId="77777777" w:rsidR="0070585C" w:rsidRPr="0048754B" w:rsidRDefault="0070585C" w:rsidP="00936F9F">
            <w:pPr>
              <w:ind w:left="13" w:hanging="13"/>
              <w:jc w:val="center"/>
              <w:rPr>
                <w:b/>
                <w:bCs/>
                <w:szCs w:val="24"/>
              </w:rPr>
            </w:pPr>
            <w:r w:rsidRPr="0048754B">
              <w:rPr>
                <w:b/>
                <w:bCs/>
                <w:szCs w:val="24"/>
              </w:rPr>
              <w:t>vč. odvodů</w:t>
            </w:r>
          </w:p>
          <w:p w14:paraId="1FF474A3" w14:textId="77777777" w:rsidR="0070585C" w:rsidRPr="0048754B" w:rsidRDefault="0070585C" w:rsidP="00936F9F">
            <w:pPr>
              <w:ind w:left="709" w:hanging="709"/>
              <w:jc w:val="center"/>
              <w:rPr>
                <w:b/>
                <w:bCs/>
                <w:color w:val="000000"/>
                <w:szCs w:val="24"/>
              </w:rPr>
            </w:pPr>
            <w:r w:rsidRPr="0048754B">
              <w:rPr>
                <w:b/>
                <w:bCs/>
                <w:szCs w:val="24"/>
              </w:rPr>
              <w:t>Kč/žáka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2B425F" w14:textId="77777777" w:rsidR="0070585C" w:rsidRPr="0048754B" w:rsidRDefault="0070585C" w:rsidP="00936F9F">
            <w:pPr>
              <w:ind w:left="709" w:hanging="709"/>
              <w:jc w:val="center"/>
              <w:rPr>
                <w:rFonts w:ascii="Calibri" w:hAnsi="Calibri"/>
                <w:b/>
                <w:bCs/>
                <w:color w:val="000000"/>
                <w:szCs w:val="24"/>
              </w:rPr>
            </w:pPr>
            <w:r w:rsidRPr="0048754B">
              <w:rPr>
                <w:rFonts w:ascii="Calibri" w:hAnsi="Calibri"/>
                <w:b/>
                <w:bCs/>
                <w:color w:val="000000"/>
                <w:szCs w:val="24"/>
              </w:rPr>
              <w:t> </w:t>
            </w:r>
          </w:p>
          <w:p w14:paraId="169DEFFC" w14:textId="77777777" w:rsidR="0070585C" w:rsidRPr="0048754B" w:rsidRDefault="0070585C" w:rsidP="00936F9F">
            <w:pPr>
              <w:ind w:left="709" w:hanging="709"/>
              <w:jc w:val="center"/>
              <w:rPr>
                <w:b/>
                <w:bCs/>
                <w:color w:val="000000"/>
                <w:szCs w:val="24"/>
              </w:rPr>
            </w:pPr>
            <w:r w:rsidRPr="0048754B">
              <w:rPr>
                <w:b/>
                <w:bCs/>
                <w:color w:val="000000"/>
                <w:szCs w:val="24"/>
              </w:rPr>
              <w:t>ONIV</w:t>
            </w:r>
          </w:p>
          <w:p w14:paraId="440C563D" w14:textId="77777777" w:rsidR="0070585C" w:rsidRPr="0048754B" w:rsidRDefault="0070585C" w:rsidP="00936F9F">
            <w:pPr>
              <w:ind w:left="709" w:hanging="709"/>
              <w:jc w:val="center"/>
              <w:rPr>
                <w:b/>
                <w:bCs/>
                <w:szCs w:val="24"/>
              </w:rPr>
            </w:pPr>
            <w:r w:rsidRPr="0048754B">
              <w:rPr>
                <w:b/>
                <w:bCs/>
                <w:szCs w:val="24"/>
              </w:rPr>
              <w:t>celkem</w:t>
            </w:r>
          </w:p>
          <w:p w14:paraId="28553324" w14:textId="77777777" w:rsidR="0070585C" w:rsidRPr="0048754B" w:rsidRDefault="0070585C" w:rsidP="00936F9F">
            <w:pPr>
              <w:ind w:left="709" w:hanging="709"/>
              <w:jc w:val="center"/>
              <w:rPr>
                <w:rFonts w:ascii="Calibri" w:hAnsi="Calibri"/>
                <w:b/>
                <w:bCs/>
                <w:color w:val="000000"/>
                <w:szCs w:val="24"/>
              </w:rPr>
            </w:pPr>
            <w:r w:rsidRPr="0048754B">
              <w:rPr>
                <w:b/>
                <w:bCs/>
                <w:szCs w:val="24"/>
              </w:rPr>
              <w:t>Kč/žáka</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97B4FB" w14:textId="77777777" w:rsidR="0070585C" w:rsidRPr="0048754B" w:rsidRDefault="0070585C" w:rsidP="00936F9F">
            <w:pPr>
              <w:ind w:left="709" w:hanging="709"/>
              <w:jc w:val="center"/>
              <w:rPr>
                <w:b/>
                <w:bCs/>
                <w:color w:val="000000"/>
                <w:szCs w:val="24"/>
              </w:rPr>
            </w:pPr>
            <w:r w:rsidRPr="0048754B">
              <w:rPr>
                <w:b/>
                <w:bCs/>
                <w:color w:val="000000"/>
                <w:szCs w:val="24"/>
              </w:rPr>
              <w:t>Zam.</w:t>
            </w:r>
          </w:p>
          <w:p w14:paraId="4206F745" w14:textId="77777777" w:rsidR="0070585C" w:rsidRPr="0048754B" w:rsidRDefault="0070585C" w:rsidP="00936F9F">
            <w:pPr>
              <w:ind w:left="709" w:hanging="709"/>
              <w:jc w:val="center"/>
              <w:rPr>
                <w:rFonts w:ascii="Calibri" w:hAnsi="Calibri"/>
                <w:b/>
                <w:bCs/>
                <w:color w:val="000000"/>
                <w:szCs w:val="24"/>
              </w:rPr>
            </w:pPr>
            <w:r w:rsidRPr="0048754B">
              <w:rPr>
                <w:b/>
                <w:bCs/>
                <w:szCs w:val="24"/>
              </w:rPr>
              <w:t>z./1000 ž.</w:t>
            </w:r>
          </w:p>
        </w:tc>
      </w:tr>
      <w:tr w:rsidR="0070585C" w:rsidRPr="008B42CF" w14:paraId="6F2D7403" w14:textId="77777777" w:rsidTr="00936F9F">
        <w:trPr>
          <w:trHeight w:hRule="exact" w:val="284"/>
        </w:trPr>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A15E35E" w14:textId="77777777" w:rsidR="0070585C" w:rsidRPr="0048754B" w:rsidRDefault="0070585C" w:rsidP="00936F9F">
            <w:pPr>
              <w:ind w:left="709" w:hanging="709"/>
              <w:rPr>
                <w:b/>
                <w:bCs/>
                <w:color w:val="000000"/>
                <w:szCs w:val="24"/>
              </w:rPr>
            </w:pPr>
            <w:r w:rsidRPr="0048754B">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24C04F2A" w14:textId="77777777" w:rsidR="0070585C" w:rsidRPr="00A70D72" w:rsidRDefault="0070585C" w:rsidP="00936F9F">
            <w:pPr>
              <w:jc w:val="right"/>
            </w:pPr>
            <w:r w:rsidRPr="00A70D72">
              <w:t>58 149</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14:paraId="00A9B2B6" w14:textId="77777777" w:rsidR="0070585C" w:rsidRPr="00A70D72" w:rsidRDefault="0070585C" w:rsidP="00936F9F">
            <w:pPr>
              <w:jc w:val="right"/>
            </w:pPr>
            <w:r w:rsidRPr="00A70D72">
              <w:t>57 650</w:t>
            </w:r>
          </w:p>
        </w:tc>
        <w:tc>
          <w:tcPr>
            <w:tcW w:w="1275" w:type="dxa"/>
            <w:tcBorders>
              <w:top w:val="single" w:sz="8" w:space="0" w:color="auto"/>
              <w:left w:val="single" w:sz="8" w:space="0" w:color="auto"/>
              <w:bottom w:val="single" w:sz="4" w:space="0" w:color="auto"/>
              <w:right w:val="single" w:sz="8" w:space="0" w:color="auto"/>
            </w:tcBorders>
          </w:tcPr>
          <w:p w14:paraId="0939A94B" w14:textId="77777777" w:rsidR="0070585C" w:rsidRPr="00A70D72" w:rsidRDefault="0070585C" w:rsidP="00936F9F">
            <w:pPr>
              <w:jc w:val="right"/>
            </w:pPr>
            <w:r w:rsidRPr="00A70D72">
              <w:t>44 763</w:t>
            </w:r>
          </w:p>
        </w:tc>
        <w:tc>
          <w:tcPr>
            <w:tcW w:w="1560" w:type="dxa"/>
            <w:tcBorders>
              <w:top w:val="single" w:sz="8" w:space="0" w:color="auto"/>
              <w:left w:val="single" w:sz="8" w:space="0" w:color="auto"/>
              <w:bottom w:val="single" w:sz="4" w:space="0" w:color="auto"/>
              <w:right w:val="single" w:sz="8" w:space="0" w:color="auto"/>
            </w:tcBorders>
          </w:tcPr>
          <w:p w14:paraId="04204611" w14:textId="77777777" w:rsidR="0070585C" w:rsidRPr="00A70D72" w:rsidRDefault="0070585C" w:rsidP="00936F9F">
            <w:pPr>
              <w:jc w:val="right"/>
            </w:pPr>
            <w:r w:rsidRPr="00A70D72">
              <w:t>12 887</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652CB268" w14:textId="77777777" w:rsidR="0070585C" w:rsidRPr="00A70D72" w:rsidRDefault="0070585C" w:rsidP="00936F9F">
            <w:pPr>
              <w:jc w:val="right"/>
            </w:pPr>
            <w:r w:rsidRPr="00A70D72">
              <w:t>499</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7EC53920" w14:textId="77777777" w:rsidR="0070585C" w:rsidRPr="00A70D72" w:rsidRDefault="0070585C" w:rsidP="00936F9F">
            <w:pPr>
              <w:jc w:val="right"/>
            </w:pPr>
            <w:r w:rsidRPr="00A70D72">
              <w:t>126,488</w:t>
            </w:r>
          </w:p>
        </w:tc>
      </w:tr>
      <w:tr w:rsidR="0070585C" w:rsidRPr="008B42CF" w14:paraId="6C633AAE" w14:textId="77777777" w:rsidTr="00936F9F">
        <w:trPr>
          <w:trHeight w:hRule="exact" w:val="284"/>
        </w:trPr>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C88CCD" w14:textId="77777777" w:rsidR="0070585C" w:rsidRPr="0048754B" w:rsidRDefault="0070585C" w:rsidP="00936F9F">
            <w:pPr>
              <w:ind w:left="709" w:hanging="709"/>
              <w:rPr>
                <w:b/>
                <w:bCs/>
                <w:color w:val="000000"/>
                <w:szCs w:val="24"/>
              </w:rPr>
            </w:pPr>
            <w:r w:rsidRPr="0048754B">
              <w:rPr>
                <w:b/>
                <w:bCs/>
                <w:color w:val="000000"/>
                <w:szCs w:val="24"/>
              </w:rPr>
              <w:t>6 - 14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51CE7C19" w14:textId="77777777" w:rsidR="0070585C" w:rsidRPr="00A70D72" w:rsidRDefault="0070585C" w:rsidP="00936F9F">
            <w:pPr>
              <w:jc w:val="right"/>
            </w:pPr>
            <w:r w:rsidRPr="00A70D72">
              <w:t>74 010</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797BACEF" w14:textId="77777777" w:rsidR="0070585C" w:rsidRPr="00A70D72" w:rsidRDefault="0070585C" w:rsidP="00936F9F">
            <w:pPr>
              <w:jc w:val="right"/>
            </w:pPr>
            <w:r w:rsidRPr="00A70D72">
              <w:t>72 933</w:t>
            </w:r>
          </w:p>
        </w:tc>
        <w:tc>
          <w:tcPr>
            <w:tcW w:w="1275" w:type="dxa"/>
            <w:tcBorders>
              <w:top w:val="single" w:sz="4" w:space="0" w:color="auto"/>
              <w:left w:val="single" w:sz="8" w:space="0" w:color="auto"/>
              <w:bottom w:val="single" w:sz="4" w:space="0" w:color="auto"/>
              <w:right w:val="single" w:sz="8" w:space="0" w:color="auto"/>
            </w:tcBorders>
          </w:tcPr>
          <w:p w14:paraId="18A65592" w14:textId="77777777" w:rsidR="0070585C" w:rsidRPr="00A70D72" w:rsidRDefault="0070585C" w:rsidP="00936F9F">
            <w:pPr>
              <w:jc w:val="right"/>
            </w:pPr>
            <w:r w:rsidRPr="00A70D72">
              <w:t>60 862</w:t>
            </w:r>
          </w:p>
        </w:tc>
        <w:tc>
          <w:tcPr>
            <w:tcW w:w="1560" w:type="dxa"/>
            <w:tcBorders>
              <w:top w:val="single" w:sz="4" w:space="0" w:color="auto"/>
              <w:left w:val="single" w:sz="8" w:space="0" w:color="auto"/>
              <w:bottom w:val="single" w:sz="4" w:space="0" w:color="auto"/>
              <w:right w:val="single" w:sz="8" w:space="0" w:color="auto"/>
            </w:tcBorders>
          </w:tcPr>
          <w:p w14:paraId="402D888C" w14:textId="77777777" w:rsidR="0070585C" w:rsidRPr="00A70D72" w:rsidRDefault="0070585C" w:rsidP="00936F9F">
            <w:pPr>
              <w:jc w:val="right"/>
            </w:pPr>
            <w:r w:rsidRPr="00A70D72">
              <w:t>12 071</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2DDC39C7" w14:textId="77777777" w:rsidR="0070585C" w:rsidRPr="00A70D72" w:rsidRDefault="0070585C" w:rsidP="00936F9F">
            <w:pPr>
              <w:jc w:val="right"/>
            </w:pPr>
            <w:r w:rsidRPr="00A70D72">
              <w:t>1 077</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74A155BD" w14:textId="77777777" w:rsidR="0070585C" w:rsidRPr="00A70D72" w:rsidRDefault="0070585C" w:rsidP="00936F9F">
            <w:pPr>
              <w:jc w:val="right"/>
            </w:pPr>
            <w:r w:rsidRPr="00A70D72">
              <w:t>127,848</w:t>
            </w:r>
          </w:p>
        </w:tc>
      </w:tr>
      <w:tr w:rsidR="0070585C" w:rsidRPr="008B42CF" w14:paraId="513FA404" w14:textId="77777777" w:rsidTr="00936F9F">
        <w:trPr>
          <w:trHeight w:hRule="exact" w:val="284"/>
        </w:trPr>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5CF0B57" w14:textId="77777777" w:rsidR="0070585C" w:rsidRPr="0048754B" w:rsidRDefault="0070585C" w:rsidP="00936F9F">
            <w:pPr>
              <w:ind w:left="709" w:hanging="709"/>
              <w:rPr>
                <w:b/>
                <w:bCs/>
                <w:color w:val="000000"/>
                <w:szCs w:val="24"/>
              </w:rPr>
            </w:pPr>
            <w:r w:rsidRPr="0048754B">
              <w:rPr>
                <w:b/>
                <w:bCs/>
                <w:color w:val="000000"/>
                <w:szCs w:val="24"/>
              </w:rPr>
              <w:t>15 - 18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62F2D242" w14:textId="77777777" w:rsidR="0070585C" w:rsidRPr="00A70D72" w:rsidRDefault="0070585C" w:rsidP="00936F9F">
            <w:pPr>
              <w:jc w:val="right"/>
            </w:pPr>
            <w:r w:rsidRPr="00A70D72">
              <w:t>86 411</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18791D06" w14:textId="77777777" w:rsidR="0070585C" w:rsidRPr="00A70D72" w:rsidRDefault="0070585C" w:rsidP="00936F9F">
            <w:pPr>
              <w:jc w:val="right"/>
            </w:pPr>
            <w:r w:rsidRPr="00A70D72">
              <w:t>85 344</w:t>
            </w:r>
          </w:p>
        </w:tc>
        <w:tc>
          <w:tcPr>
            <w:tcW w:w="1275" w:type="dxa"/>
            <w:tcBorders>
              <w:top w:val="single" w:sz="4" w:space="0" w:color="auto"/>
              <w:left w:val="single" w:sz="8" w:space="0" w:color="auto"/>
              <w:bottom w:val="single" w:sz="4" w:space="0" w:color="auto"/>
              <w:right w:val="single" w:sz="8" w:space="0" w:color="auto"/>
            </w:tcBorders>
          </w:tcPr>
          <w:p w14:paraId="795B29FF" w14:textId="77777777" w:rsidR="0070585C" w:rsidRPr="00A70D72" w:rsidRDefault="0070585C" w:rsidP="00936F9F">
            <w:pPr>
              <w:jc w:val="right"/>
            </w:pPr>
            <w:r w:rsidRPr="00A70D72">
              <w:t>69 182</w:t>
            </w:r>
          </w:p>
        </w:tc>
        <w:tc>
          <w:tcPr>
            <w:tcW w:w="1560" w:type="dxa"/>
            <w:tcBorders>
              <w:top w:val="single" w:sz="4" w:space="0" w:color="auto"/>
              <w:left w:val="single" w:sz="8" w:space="0" w:color="auto"/>
              <w:bottom w:val="single" w:sz="4" w:space="0" w:color="auto"/>
              <w:right w:val="single" w:sz="8" w:space="0" w:color="auto"/>
            </w:tcBorders>
          </w:tcPr>
          <w:p w14:paraId="39670C08" w14:textId="77777777" w:rsidR="0070585C" w:rsidRPr="00A70D72" w:rsidRDefault="0070585C" w:rsidP="00936F9F">
            <w:pPr>
              <w:jc w:val="right"/>
            </w:pPr>
            <w:r w:rsidRPr="00A70D72">
              <w:t>16 162</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41455411" w14:textId="77777777" w:rsidR="0070585C" w:rsidRPr="00A70D72" w:rsidRDefault="0070585C" w:rsidP="00936F9F">
            <w:pPr>
              <w:jc w:val="right"/>
            </w:pPr>
            <w:r w:rsidRPr="00A70D72">
              <w:t>1 067</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1BB6DCC1" w14:textId="77777777" w:rsidR="0070585C" w:rsidRPr="00A70D72" w:rsidRDefault="0070585C" w:rsidP="00936F9F">
            <w:pPr>
              <w:jc w:val="right"/>
            </w:pPr>
            <w:r w:rsidRPr="00A70D72">
              <w:t>144,227</w:t>
            </w:r>
          </w:p>
        </w:tc>
      </w:tr>
      <w:tr w:rsidR="0070585C" w:rsidRPr="008B42CF" w14:paraId="7B94987A" w14:textId="77777777" w:rsidTr="00936F9F">
        <w:trPr>
          <w:trHeight w:hRule="exact" w:val="284"/>
        </w:trPr>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184075F" w14:textId="77777777" w:rsidR="0070585C" w:rsidRPr="0048754B" w:rsidRDefault="0070585C" w:rsidP="00936F9F">
            <w:pPr>
              <w:ind w:left="709" w:hanging="709"/>
              <w:rPr>
                <w:b/>
                <w:bCs/>
                <w:color w:val="000000"/>
                <w:szCs w:val="24"/>
              </w:rPr>
            </w:pPr>
            <w:r w:rsidRPr="0048754B">
              <w:rPr>
                <w:b/>
                <w:bCs/>
                <w:color w:val="000000"/>
                <w:szCs w:val="24"/>
              </w:rPr>
              <w:t>19 - 21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111B79CB" w14:textId="77777777" w:rsidR="0070585C" w:rsidRPr="00A70D72" w:rsidRDefault="0070585C" w:rsidP="00936F9F">
            <w:pPr>
              <w:jc w:val="right"/>
            </w:pPr>
            <w:r w:rsidRPr="00A70D72">
              <w:t>73 986</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661C0FA6" w14:textId="77777777" w:rsidR="0070585C" w:rsidRPr="00A70D72" w:rsidRDefault="0070585C" w:rsidP="00936F9F">
            <w:pPr>
              <w:jc w:val="right"/>
            </w:pPr>
            <w:r w:rsidRPr="00A70D72">
              <w:t>73 286</w:t>
            </w:r>
          </w:p>
        </w:tc>
        <w:tc>
          <w:tcPr>
            <w:tcW w:w="1275" w:type="dxa"/>
            <w:tcBorders>
              <w:top w:val="single" w:sz="4" w:space="0" w:color="auto"/>
              <w:left w:val="single" w:sz="8" w:space="0" w:color="auto"/>
              <w:bottom w:val="single" w:sz="4" w:space="0" w:color="auto"/>
              <w:right w:val="single" w:sz="8" w:space="0" w:color="auto"/>
            </w:tcBorders>
          </w:tcPr>
          <w:p w14:paraId="5D914844" w14:textId="77777777" w:rsidR="0070585C" w:rsidRPr="00A70D72" w:rsidRDefault="0070585C" w:rsidP="00936F9F">
            <w:pPr>
              <w:jc w:val="right"/>
            </w:pPr>
            <w:r w:rsidRPr="00A70D72">
              <w:t>61 064</w:t>
            </w:r>
          </w:p>
        </w:tc>
        <w:tc>
          <w:tcPr>
            <w:tcW w:w="1560" w:type="dxa"/>
            <w:tcBorders>
              <w:top w:val="single" w:sz="4" w:space="0" w:color="auto"/>
              <w:left w:val="single" w:sz="8" w:space="0" w:color="auto"/>
              <w:bottom w:val="single" w:sz="4" w:space="0" w:color="auto"/>
              <w:right w:val="single" w:sz="8" w:space="0" w:color="auto"/>
            </w:tcBorders>
          </w:tcPr>
          <w:p w14:paraId="298E474D" w14:textId="77777777" w:rsidR="0070585C" w:rsidRPr="00A70D72" w:rsidRDefault="0070585C" w:rsidP="00936F9F">
            <w:pPr>
              <w:jc w:val="right"/>
            </w:pPr>
            <w:r w:rsidRPr="00A70D72">
              <w:t>12 222</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52520C58" w14:textId="77777777" w:rsidR="0070585C" w:rsidRPr="00A70D72" w:rsidRDefault="0070585C" w:rsidP="00936F9F">
            <w:pPr>
              <w:jc w:val="right"/>
            </w:pPr>
            <w:r w:rsidRPr="00A70D72">
              <w:t>700</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30B06EBA" w14:textId="77777777" w:rsidR="0070585C" w:rsidRPr="00A70D72" w:rsidRDefault="0070585C" w:rsidP="00936F9F">
            <w:pPr>
              <w:jc w:val="right"/>
            </w:pPr>
            <w:r w:rsidRPr="00A70D72">
              <w:t>127,613</w:t>
            </w:r>
          </w:p>
        </w:tc>
      </w:tr>
      <w:tr w:rsidR="0070585C" w:rsidRPr="008B42CF" w14:paraId="31504F87" w14:textId="77777777" w:rsidTr="00936F9F">
        <w:trPr>
          <w:trHeight w:hRule="exact" w:val="284"/>
        </w:trPr>
        <w:tc>
          <w:tcPr>
            <w:tcW w:w="141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AA8865" w14:textId="77777777" w:rsidR="0070585C" w:rsidRPr="0048754B" w:rsidRDefault="0070585C" w:rsidP="00936F9F">
            <w:pPr>
              <w:ind w:left="709" w:hanging="709"/>
              <w:rPr>
                <w:b/>
                <w:bCs/>
                <w:color w:val="000000"/>
                <w:szCs w:val="24"/>
              </w:rPr>
            </w:pPr>
            <w:r w:rsidRPr="0048754B">
              <w:rPr>
                <w:b/>
                <w:bCs/>
                <w:color w:val="000000"/>
                <w:szCs w:val="24"/>
              </w:rPr>
              <w:t>KZÚV</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3F3F38C6" w14:textId="77777777" w:rsidR="0070585C" w:rsidRPr="00A70D72" w:rsidRDefault="0070585C" w:rsidP="00936F9F">
            <w:pPr>
              <w:jc w:val="right"/>
            </w:pPr>
            <w:r w:rsidRPr="00A70D72">
              <w:t>352 778</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14:paraId="7771D29A" w14:textId="77777777" w:rsidR="0070585C" w:rsidRPr="00A70D72" w:rsidRDefault="0070585C" w:rsidP="00936F9F">
            <w:pPr>
              <w:jc w:val="right"/>
            </w:pPr>
            <w:r w:rsidRPr="00A70D72">
              <w:t>350 278</w:t>
            </w:r>
          </w:p>
        </w:tc>
        <w:tc>
          <w:tcPr>
            <w:tcW w:w="1275" w:type="dxa"/>
            <w:tcBorders>
              <w:top w:val="single" w:sz="4" w:space="0" w:color="auto"/>
              <w:left w:val="single" w:sz="8" w:space="0" w:color="auto"/>
              <w:bottom w:val="single" w:sz="8" w:space="0" w:color="auto"/>
              <w:right w:val="single" w:sz="8" w:space="0" w:color="auto"/>
            </w:tcBorders>
          </w:tcPr>
          <w:p w14:paraId="64A95382" w14:textId="77777777" w:rsidR="0070585C" w:rsidRPr="00A70D72" w:rsidRDefault="0070585C" w:rsidP="00936F9F">
            <w:pPr>
              <w:jc w:val="right"/>
            </w:pPr>
            <w:r w:rsidRPr="00A70D72">
              <w:t>257 964</w:t>
            </w:r>
          </w:p>
        </w:tc>
        <w:tc>
          <w:tcPr>
            <w:tcW w:w="1560" w:type="dxa"/>
            <w:tcBorders>
              <w:top w:val="single" w:sz="4" w:space="0" w:color="auto"/>
              <w:left w:val="single" w:sz="8" w:space="0" w:color="auto"/>
              <w:bottom w:val="single" w:sz="8" w:space="0" w:color="auto"/>
              <w:right w:val="single" w:sz="8" w:space="0" w:color="auto"/>
            </w:tcBorders>
          </w:tcPr>
          <w:p w14:paraId="4EF57BEA" w14:textId="77777777" w:rsidR="0070585C" w:rsidRPr="00A70D72" w:rsidRDefault="0070585C" w:rsidP="00936F9F">
            <w:pPr>
              <w:jc w:val="right"/>
            </w:pPr>
            <w:r w:rsidRPr="00A70D72">
              <w:t>92 314</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3A9FAA1B" w14:textId="77777777" w:rsidR="0070585C" w:rsidRPr="00A70D72" w:rsidRDefault="0070585C" w:rsidP="00936F9F">
            <w:pPr>
              <w:jc w:val="right"/>
            </w:pPr>
            <w:r w:rsidRPr="00A70D72">
              <w:t>2 500</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1A4DAF71" w14:textId="77777777" w:rsidR="0070585C" w:rsidRPr="00A70D72" w:rsidRDefault="0070585C" w:rsidP="00936F9F">
            <w:pPr>
              <w:jc w:val="right"/>
            </w:pPr>
            <w:r w:rsidRPr="00A70D72">
              <w:t>693,459</w:t>
            </w:r>
          </w:p>
        </w:tc>
      </w:tr>
    </w:tbl>
    <w:p w14:paraId="404C1FA3" w14:textId="77777777" w:rsidR="00F83DD6" w:rsidRDefault="00F83DD6" w:rsidP="0070585C">
      <w:pPr>
        <w:tabs>
          <w:tab w:val="left" w:pos="540"/>
        </w:tabs>
        <w:ind w:left="567"/>
        <w:rPr>
          <w:color w:val="000000"/>
          <w:szCs w:val="24"/>
          <w:u w:val="single"/>
        </w:rPr>
      </w:pPr>
    </w:p>
    <w:p w14:paraId="517DC6EE" w14:textId="77777777" w:rsidR="0070585C" w:rsidRPr="00FD4B97" w:rsidRDefault="0070585C" w:rsidP="0070585C">
      <w:pPr>
        <w:rPr>
          <w:color w:val="000000"/>
          <w:szCs w:val="24"/>
          <w:u w:val="single"/>
        </w:rPr>
      </w:pPr>
    </w:p>
    <w:p w14:paraId="61457598" w14:textId="77777777" w:rsidR="0070585C" w:rsidRPr="00FD4B97" w:rsidRDefault="0070585C" w:rsidP="0070585C">
      <w:pPr>
        <w:rPr>
          <w:color w:val="000000"/>
          <w:szCs w:val="24"/>
          <w:u w:val="single"/>
        </w:rPr>
      </w:pPr>
      <w:r w:rsidRPr="00FD4B97">
        <w:rPr>
          <w:color w:val="000000"/>
          <w:szCs w:val="24"/>
          <w:u w:val="single"/>
        </w:rPr>
        <w:t>Zvýšení ostatních neinvestičních výdajů pro školy a třídy zřízené podle § 16 odst. 9</w:t>
      </w:r>
      <w:r w:rsidRPr="004C6555">
        <w:rPr>
          <w:color w:val="000000"/>
          <w:szCs w:val="24"/>
          <w:u w:val="single"/>
        </w:rPr>
        <w:t xml:space="preserve"> školského zákona</w:t>
      </w:r>
    </w:p>
    <w:p w14:paraId="40BD3FF4" w14:textId="77777777" w:rsidR="0070585C" w:rsidRPr="00FD4B97" w:rsidRDefault="0070585C" w:rsidP="0070585C">
      <w:pPr>
        <w:pStyle w:val="Text"/>
      </w:pPr>
    </w:p>
    <w:p w14:paraId="374B5785" w14:textId="77777777" w:rsidR="0070585C" w:rsidRPr="00FD4B97" w:rsidRDefault="0070585C" w:rsidP="0070585C">
      <w:pPr>
        <w:pStyle w:val="Text"/>
      </w:pPr>
      <w:r w:rsidRPr="00FD4B97">
        <w:t xml:space="preserve">Ve školním roce 2018/19 se v mateřských, základních a středních školách a třídách zřízených podle § 16 odst. 9 školského zákona vzdělává celkem 42 602 dětí a žáků, z toho 37 139 ve školách zřízených krajem, obcí nebo svazkem obcí (v tom 6 337 dětí v MŠ, 24 171 žáků v ZŠ, 6 631 žáků v SŠ). </w:t>
      </w:r>
    </w:p>
    <w:p w14:paraId="60696806" w14:textId="6D4F29A8" w:rsidR="0070585C" w:rsidRDefault="0070585C" w:rsidP="0070585C">
      <w:pPr>
        <w:pStyle w:val="Text"/>
      </w:pPr>
      <w:r w:rsidRPr="00FD4B97">
        <w:t xml:space="preserve">V oblasti ostatních neinvestičních výdajů pro školy a třídy zřízené podle § 16 odst. 9 školského zákona byl rozpočet RgŠ pro rok 2019 navýšen o 100 mil. Kč. </w:t>
      </w:r>
      <w:r>
        <w:t>Do RN 2019 je tedy promítnuta poměrná část tohoto zvýšení ve výši cca 87 mil.</w:t>
      </w:r>
      <w:r w:rsidR="002B1F8C">
        <w:t xml:space="preserve"> Kč připadající na tyto školy </w:t>
      </w:r>
      <w:r w:rsidR="002B1F8C">
        <w:lastRenderedPageBreak/>
        <w:t>a </w:t>
      </w:r>
      <w:r>
        <w:t>třídy, jejichž zřizovatelem je kraj, obec nebo dobrovolný svazek obcí, a to v poměru počtu dětí a žáků v jednotlivých věkových kategoriích.</w:t>
      </w:r>
    </w:p>
    <w:p w14:paraId="5D94BCB0" w14:textId="77777777" w:rsidR="00E65EE1" w:rsidRDefault="00E65EE1" w:rsidP="0070585C">
      <w:pPr>
        <w:ind w:left="567" w:hanging="567"/>
        <w:jc w:val="left"/>
        <w:rPr>
          <w:b/>
          <w:color w:val="000000"/>
          <w:szCs w:val="24"/>
        </w:rPr>
      </w:pPr>
    </w:p>
    <w:p w14:paraId="1980D22D" w14:textId="77777777" w:rsidR="0070585C" w:rsidRPr="00FD4B97" w:rsidRDefault="0070585C" w:rsidP="00B8183F">
      <w:pPr>
        <w:jc w:val="left"/>
        <w:rPr>
          <w:b/>
          <w:color w:val="000000"/>
          <w:szCs w:val="24"/>
        </w:rPr>
      </w:pPr>
      <w:r w:rsidRPr="00FD4B97">
        <w:rPr>
          <w:b/>
          <w:color w:val="000000"/>
          <w:szCs w:val="24"/>
        </w:rPr>
        <w:t xml:space="preserve">Zvýšení RN 2018 v oblasti ONIV: </w:t>
      </w:r>
    </w:p>
    <w:tbl>
      <w:tblPr>
        <w:tblW w:w="8505" w:type="dxa"/>
        <w:tblInd w:w="57"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70585C" w:rsidRPr="00FD4B97" w14:paraId="77695951" w14:textId="77777777" w:rsidTr="00F83DD6">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7E0BC88F" w14:textId="77777777" w:rsidR="0070585C" w:rsidRPr="00FD4B97" w:rsidRDefault="0070585C" w:rsidP="00936F9F">
            <w:pPr>
              <w:ind w:left="709" w:hanging="709"/>
              <w:jc w:val="center"/>
              <w:rPr>
                <w:b/>
                <w:bCs/>
                <w:color w:val="000000"/>
                <w:szCs w:val="24"/>
              </w:rPr>
            </w:pPr>
            <w:r w:rsidRPr="00FD4B97">
              <w:rPr>
                <w:b/>
                <w:bCs/>
                <w:color w:val="000000"/>
                <w:szCs w:val="24"/>
              </w:rPr>
              <w:t xml:space="preserve">Věková </w:t>
            </w:r>
          </w:p>
          <w:p w14:paraId="251A0957" w14:textId="77777777" w:rsidR="0070585C" w:rsidRPr="00FD4B97" w:rsidRDefault="0070585C" w:rsidP="00936F9F">
            <w:pPr>
              <w:ind w:left="709" w:hanging="709"/>
              <w:jc w:val="center"/>
              <w:rPr>
                <w:b/>
                <w:bCs/>
                <w:szCs w:val="24"/>
              </w:rPr>
            </w:pPr>
            <w:r w:rsidRPr="00FD4B97">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72E51DF4" w14:textId="77777777" w:rsidR="0070585C" w:rsidRPr="00FD4B97" w:rsidRDefault="0070585C" w:rsidP="00936F9F">
            <w:pPr>
              <w:ind w:left="709" w:hanging="709"/>
              <w:jc w:val="center"/>
              <w:rPr>
                <w:b/>
                <w:bCs/>
                <w:color w:val="000000"/>
                <w:szCs w:val="24"/>
              </w:rPr>
            </w:pPr>
            <w:r w:rsidRPr="00FD4B97">
              <w:rPr>
                <w:b/>
                <w:bCs/>
                <w:color w:val="000000"/>
                <w:szCs w:val="24"/>
              </w:rPr>
              <w:t>NIV</w:t>
            </w:r>
          </w:p>
          <w:p w14:paraId="5ABB0131" w14:textId="77777777" w:rsidR="0070585C" w:rsidRPr="00FD4B97" w:rsidRDefault="0070585C" w:rsidP="00936F9F">
            <w:pPr>
              <w:jc w:val="center"/>
              <w:rPr>
                <w:b/>
                <w:bCs/>
                <w:szCs w:val="24"/>
              </w:rPr>
            </w:pPr>
            <w:r w:rsidRPr="00FD4B97">
              <w:rPr>
                <w:b/>
                <w:bCs/>
                <w:szCs w:val="24"/>
              </w:rPr>
              <w:t>celkem</w:t>
            </w:r>
          </w:p>
          <w:p w14:paraId="53298FD6"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7C7FF92D" w14:textId="77777777" w:rsidR="0070585C" w:rsidRPr="00FD4B97" w:rsidRDefault="0070585C" w:rsidP="00936F9F">
            <w:pPr>
              <w:ind w:left="709" w:hanging="709"/>
              <w:jc w:val="center"/>
              <w:rPr>
                <w:b/>
                <w:bCs/>
                <w:color w:val="000000"/>
                <w:szCs w:val="24"/>
              </w:rPr>
            </w:pPr>
            <w:r w:rsidRPr="00FD4B97">
              <w:rPr>
                <w:b/>
                <w:bCs/>
                <w:color w:val="000000"/>
                <w:szCs w:val="24"/>
              </w:rPr>
              <w:t>MP</w:t>
            </w:r>
          </w:p>
          <w:p w14:paraId="54873DE4"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635E281F" w14:textId="77777777" w:rsidR="0070585C" w:rsidRPr="00FD4B97" w:rsidRDefault="0070585C" w:rsidP="00936F9F">
            <w:pPr>
              <w:jc w:val="center"/>
              <w:rPr>
                <w:b/>
                <w:bCs/>
                <w:szCs w:val="24"/>
              </w:rPr>
            </w:pPr>
            <w:r w:rsidRPr="00FD4B97">
              <w:rPr>
                <w:b/>
                <w:bCs/>
                <w:szCs w:val="24"/>
              </w:rPr>
              <w:t>vč. odvodů</w:t>
            </w:r>
          </w:p>
          <w:p w14:paraId="2E36145D"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B80B39" w14:textId="77777777" w:rsidR="0070585C" w:rsidRPr="00FD4B97" w:rsidRDefault="0070585C" w:rsidP="00936F9F">
            <w:pPr>
              <w:ind w:left="709" w:hanging="709"/>
              <w:jc w:val="center"/>
              <w:rPr>
                <w:b/>
                <w:bCs/>
                <w:color w:val="000000"/>
                <w:szCs w:val="24"/>
              </w:rPr>
            </w:pPr>
            <w:r w:rsidRPr="00FD4B97">
              <w:rPr>
                <w:b/>
                <w:bCs/>
                <w:color w:val="000000"/>
                <w:szCs w:val="24"/>
              </w:rPr>
              <w:t>MPP</w:t>
            </w:r>
          </w:p>
          <w:p w14:paraId="0E9388F0"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4CF92326" w14:textId="77777777" w:rsidR="0070585C" w:rsidRPr="00FD4B97" w:rsidRDefault="0070585C" w:rsidP="00936F9F">
            <w:pPr>
              <w:jc w:val="center"/>
              <w:rPr>
                <w:b/>
                <w:bCs/>
                <w:szCs w:val="24"/>
              </w:rPr>
            </w:pPr>
            <w:r w:rsidRPr="00FD4B97">
              <w:rPr>
                <w:b/>
                <w:bCs/>
                <w:szCs w:val="24"/>
              </w:rPr>
              <w:t>vč. odvodů</w:t>
            </w:r>
          </w:p>
          <w:p w14:paraId="0CC638FB"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84B64C" w14:textId="77777777" w:rsidR="0070585C" w:rsidRPr="00FD4B97" w:rsidRDefault="0070585C" w:rsidP="00936F9F">
            <w:pPr>
              <w:ind w:left="709" w:hanging="709"/>
              <w:jc w:val="center"/>
              <w:rPr>
                <w:b/>
                <w:bCs/>
                <w:color w:val="000000"/>
                <w:szCs w:val="24"/>
              </w:rPr>
            </w:pPr>
            <w:r w:rsidRPr="00FD4B97">
              <w:rPr>
                <w:b/>
                <w:bCs/>
                <w:color w:val="000000"/>
                <w:szCs w:val="24"/>
              </w:rPr>
              <w:t>MPN</w:t>
            </w:r>
          </w:p>
          <w:p w14:paraId="1D525588"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7AA806AA" w14:textId="77777777" w:rsidR="0070585C" w:rsidRPr="00FD4B97" w:rsidRDefault="0070585C" w:rsidP="00936F9F">
            <w:pPr>
              <w:ind w:left="13" w:hanging="13"/>
              <w:jc w:val="center"/>
              <w:rPr>
                <w:b/>
                <w:bCs/>
                <w:szCs w:val="24"/>
              </w:rPr>
            </w:pPr>
            <w:r w:rsidRPr="00FD4B97">
              <w:rPr>
                <w:b/>
                <w:bCs/>
                <w:szCs w:val="24"/>
              </w:rPr>
              <w:t>vč. odvodů</w:t>
            </w:r>
          </w:p>
          <w:p w14:paraId="1B1493CF"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7F771CF9" w14:textId="77777777" w:rsidR="0070585C" w:rsidRPr="00FD4B97" w:rsidRDefault="0070585C" w:rsidP="00936F9F">
            <w:pPr>
              <w:ind w:left="709" w:hanging="709"/>
              <w:jc w:val="center"/>
              <w:rPr>
                <w:b/>
                <w:bCs/>
                <w:color w:val="000000"/>
                <w:szCs w:val="24"/>
              </w:rPr>
            </w:pPr>
            <w:r w:rsidRPr="00FD4B97">
              <w:rPr>
                <w:b/>
                <w:bCs/>
                <w:color w:val="000000"/>
                <w:szCs w:val="24"/>
              </w:rPr>
              <w:t>ONIV</w:t>
            </w:r>
          </w:p>
          <w:p w14:paraId="179F862E" w14:textId="77777777" w:rsidR="0070585C" w:rsidRPr="00FD4B97" w:rsidRDefault="0070585C" w:rsidP="00936F9F">
            <w:pPr>
              <w:ind w:left="709" w:hanging="709"/>
              <w:jc w:val="center"/>
              <w:rPr>
                <w:b/>
                <w:bCs/>
                <w:szCs w:val="24"/>
              </w:rPr>
            </w:pPr>
            <w:r w:rsidRPr="00FD4B97">
              <w:rPr>
                <w:b/>
                <w:bCs/>
                <w:szCs w:val="24"/>
              </w:rPr>
              <w:t>celkem</w:t>
            </w:r>
          </w:p>
          <w:p w14:paraId="5DEB40CA"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25217A6C" w14:textId="77777777" w:rsidR="0070585C" w:rsidRPr="00FD4B97" w:rsidRDefault="0070585C" w:rsidP="00936F9F">
            <w:pPr>
              <w:ind w:left="709" w:hanging="709"/>
              <w:jc w:val="center"/>
              <w:rPr>
                <w:b/>
                <w:bCs/>
                <w:color w:val="000000"/>
                <w:szCs w:val="24"/>
              </w:rPr>
            </w:pPr>
            <w:r w:rsidRPr="00FD4B97">
              <w:rPr>
                <w:b/>
                <w:bCs/>
                <w:color w:val="000000"/>
                <w:szCs w:val="24"/>
              </w:rPr>
              <w:t>Zam.</w:t>
            </w:r>
          </w:p>
          <w:p w14:paraId="10625070" w14:textId="77777777" w:rsidR="0070585C" w:rsidRPr="00FD4B97" w:rsidRDefault="0070585C" w:rsidP="00936F9F">
            <w:pPr>
              <w:ind w:left="709" w:hanging="709"/>
              <w:jc w:val="center"/>
              <w:rPr>
                <w:b/>
                <w:bCs/>
                <w:szCs w:val="24"/>
              </w:rPr>
            </w:pPr>
            <w:r w:rsidRPr="00FD4B97">
              <w:rPr>
                <w:b/>
                <w:bCs/>
                <w:szCs w:val="24"/>
              </w:rPr>
              <w:t> </w:t>
            </w:r>
          </w:p>
          <w:p w14:paraId="26B48BF1" w14:textId="77777777" w:rsidR="0070585C" w:rsidRPr="00FD4B97" w:rsidRDefault="0070585C" w:rsidP="00936F9F">
            <w:pPr>
              <w:ind w:left="709" w:hanging="709"/>
              <w:jc w:val="center"/>
              <w:rPr>
                <w:rFonts w:ascii="Calibri" w:hAnsi="Calibri"/>
                <w:b/>
                <w:bCs/>
                <w:color w:val="000000"/>
                <w:szCs w:val="24"/>
              </w:rPr>
            </w:pPr>
            <w:r w:rsidRPr="00FD4B97">
              <w:rPr>
                <w:b/>
                <w:bCs/>
                <w:szCs w:val="24"/>
              </w:rPr>
              <w:t>Z./1000ž</w:t>
            </w:r>
          </w:p>
        </w:tc>
      </w:tr>
      <w:tr w:rsidR="0070585C" w:rsidRPr="00FD4B97" w14:paraId="5163D011" w14:textId="77777777" w:rsidTr="00F83DD6">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F945E2E" w14:textId="77777777" w:rsidR="0070585C" w:rsidRPr="00FD4B97" w:rsidRDefault="0070585C" w:rsidP="00936F9F">
            <w:pPr>
              <w:ind w:left="709" w:hanging="709"/>
              <w:jc w:val="left"/>
              <w:rPr>
                <w:b/>
                <w:bCs/>
                <w:color w:val="000000"/>
                <w:szCs w:val="24"/>
              </w:rPr>
            </w:pPr>
            <w:r w:rsidRPr="00FD4B97">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19EDD7F7" w14:textId="77777777" w:rsidR="0070585C" w:rsidRPr="00FD4B97" w:rsidRDefault="0070585C" w:rsidP="00936F9F">
            <w:pPr>
              <w:jc w:val="right"/>
              <w:rPr>
                <w:b/>
                <w:szCs w:val="22"/>
              </w:rPr>
            </w:pP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482DC9F" w14:textId="77777777" w:rsidR="0070585C" w:rsidRPr="00FD4B97" w:rsidRDefault="0070585C" w:rsidP="00936F9F">
            <w:pPr>
              <w:jc w:val="right"/>
              <w:rPr>
                <w:b/>
                <w:szCs w:val="22"/>
              </w:rPr>
            </w:pPr>
          </w:p>
        </w:tc>
        <w:tc>
          <w:tcPr>
            <w:tcW w:w="1276" w:type="dxa"/>
            <w:tcBorders>
              <w:top w:val="single" w:sz="8" w:space="0" w:color="auto"/>
              <w:left w:val="single" w:sz="8" w:space="0" w:color="auto"/>
              <w:bottom w:val="single" w:sz="4" w:space="0" w:color="auto"/>
              <w:right w:val="single" w:sz="8" w:space="0" w:color="auto"/>
            </w:tcBorders>
            <w:vAlign w:val="center"/>
          </w:tcPr>
          <w:p w14:paraId="3B569AF3" w14:textId="77777777" w:rsidR="0070585C" w:rsidRPr="00FD4B97" w:rsidRDefault="0070585C" w:rsidP="00936F9F">
            <w:pPr>
              <w:jc w:val="right"/>
              <w:rPr>
                <w:b/>
                <w:szCs w:val="22"/>
              </w:rPr>
            </w:pPr>
          </w:p>
        </w:tc>
        <w:tc>
          <w:tcPr>
            <w:tcW w:w="1276" w:type="dxa"/>
            <w:tcBorders>
              <w:top w:val="single" w:sz="8" w:space="0" w:color="auto"/>
              <w:left w:val="single" w:sz="8" w:space="0" w:color="auto"/>
              <w:bottom w:val="single" w:sz="4" w:space="0" w:color="auto"/>
              <w:right w:val="single" w:sz="8" w:space="0" w:color="auto"/>
            </w:tcBorders>
            <w:vAlign w:val="center"/>
          </w:tcPr>
          <w:p w14:paraId="0483384B" w14:textId="77777777" w:rsidR="0070585C" w:rsidRPr="00FD4B97" w:rsidRDefault="0070585C" w:rsidP="00936F9F">
            <w:pPr>
              <w:jc w:val="right"/>
              <w:rPr>
                <w:b/>
                <w:szCs w:val="22"/>
              </w:rPr>
            </w:pP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14:paraId="39134AD2" w14:textId="77777777" w:rsidR="0070585C" w:rsidRPr="00FD4B97" w:rsidRDefault="0070585C" w:rsidP="00936F9F">
            <w:pPr>
              <w:jc w:val="right"/>
              <w:rPr>
                <w:szCs w:val="22"/>
              </w:rPr>
            </w:pPr>
            <w:r w:rsidRPr="00FD4B97">
              <w:rPr>
                <w:szCs w:val="22"/>
              </w:rPr>
              <w:t>42</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42A2F42" w14:textId="77777777" w:rsidR="0070585C" w:rsidRPr="00FD4B97" w:rsidRDefault="0070585C" w:rsidP="00936F9F">
            <w:pPr>
              <w:jc w:val="right"/>
              <w:rPr>
                <w:b/>
                <w:szCs w:val="22"/>
              </w:rPr>
            </w:pPr>
          </w:p>
        </w:tc>
      </w:tr>
      <w:tr w:rsidR="0070585C" w:rsidRPr="00FD4B97" w14:paraId="4CB1D008" w14:textId="77777777" w:rsidTr="00F83DD6">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7D31F4E3" w14:textId="77777777" w:rsidR="0070585C" w:rsidRPr="00FD4B97" w:rsidRDefault="0070585C" w:rsidP="00936F9F">
            <w:pPr>
              <w:ind w:left="709" w:hanging="709"/>
              <w:jc w:val="left"/>
              <w:rPr>
                <w:b/>
                <w:bCs/>
                <w:color w:val="000000"/>
                <w:szCs w:val="24"/>
              </w:rPr>
            </w:pPr>
            <w:r w:rsidRPr="00FD4B97">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008CAB12" w14:textId="77777777" w:rsidR="0070585C" w:rsidRPr="00FD4B97" w:rsidRDefault="0070585C" w:rsidP="00936F9F">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2F8B75BB"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vAlign w:val="center"/>
          </w:tcPr>
          <w:p w14:paraId="14305683"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vAlign w:val="center"/>
          </w:tcPr>
          <w:p w14:paraId="1D739AD3" w14:textId="77777777" w:rsidR="0070585C" w:rsidRPr="00FD4B97" w:rsidRDefault="0070585C" w:rsidP="00936F9F">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14:paraId="77074776" w14:textId="77777777" w:rsidR="0070585C" w:rsidRPr="00FD4B97" w:rsidRDefault="0070585C" w:rsidP="00936F9F">
            <w:pPr>
              <w:jc w:val="right"/>
              <w:rPr>
                <w:szCs w:val="22"/>
              </w:rPr>
            </w:pPr>
            <w:r w:rsidRPr="00FD4B97">
              <w:rPr>
                <w:szCs w:val="22"/>
              </w:rPr>
              <w:t>59</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D4D61E7" w14:textId="77777777" w:rsidR="0070585C" w:rsidRPr="00FD4B97" w:rsidRDefault="0070585C" w:rsidP="00936F9F">
            <w:pPr>
              <w:jc w:val="right"/>
              <w:rPr>
                <w:b/>
                <w:szCs w:val="22"/>
              </w:rPr>
            </w:pPr>
          </w:p>
        </w:tc>
      </w:tr>
      <w:tr w:rsidR="0070585C" w:rsidRPr="00FD4B97" w14:paraId="5EEF4D81" w14:textId="77777777" w:rsidTr="00F83DD6">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5C869926" w14:textId="77777777" w:rsidR="0070585C" w:rsidRPr="00FD4B97" w:rsidRDefault="0070585C" w:rsidP="00936F9F">
            <w:pPr>
              <w:ind w:left="709" w:hanging="709"/>
              <w:jc w:val="left"/>
              <w:rPr>
                <w:b/>
                <w:bCs/>
                <w:color w:val="000000"/>
                <w:szCs w:val="24"/>
              </w:rPr>
            </w:pPr>
            <w:r w:rsidRPr="00FD4B97">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32AE2344" w14:textId="77777777" w:rsidR="0070585C" w:rsidRPr="00FD4B97" w:rsidRDefault="0070585C" w:rsidP="00936F9F">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D8BC716"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tcPr>
          <w:p w14:paraId="56617999" w14:textId="77777777" w:rsidR="0070585C" w:rsidRPr="00FD4B97" w:rsidRDefault="0070585C" w:rsidP="00936F9F">
            <w:pPr>
              <w:jc w:val="right"/>
            </w:pPr>
          </w:p>
        </w:tc>
        <w:tc>
          <w:tcPr>
            <w:tcW w:w="1276" w:type="dxa"/>
            <w:tcBorders>
              <w:top w:val="nil"/>
              <w:left w:val="single" w:sz="8" w:space="0" w:color="auto"/>
              <w:bottom w:val="single" w:sz="4" w:space="0" w:color="auto"/>
              <w:right w:val="single" w:sz="8" w:space="0" w:color="auto"/>
            </w:tcBorders>
            <w:vAlign w:val="center"/>
          </w:tcPr>
          <w:p w14:paraId="7482BDEB" w14:textId="77777777" w:rsidR="0070585C" w:rsidRPr="00FD4B97" w:rsidRDefault="0070585C" w:rsidP="00936F9F">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14:paraId="56BCCA52" w14:textId="77777777" w:rsidR="0070585C" w:rsidRPr="00FD4B97" w:rsidRDefault="0070585C" w:rsidP="00936F9F">
            <w:pPr>
              <w:jc w:val="right"/>
              <w:rPr>
                <w:szCs w:val="22"/>
              </w:rPr>
            </w:pPr>
            <w:r w:rsidRPr="00FD4B97">
              <w:rPr>
                <w:szCs w:val="22"/>
              </w:rPr>
              <w:t>50</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23AA7FA3" w14:textId="77777777" w:rsidR="0070585C" w:rsidRPr="00FD4B97" w:rsidRDefault="0070585C" w:rsidP="00936F9F">
            <w:pPr>
              <w:jc w:val="right"/>
              <w:rPr>
                <w:b/>
                <w:szCs w:val="22"/>
              </w:rPr>
            </w:pPr>
          </w:p>
        </w:tc>
      </w:tr>
      <w:tr w:rsidR="0070585C" w:rsidRPr="00FD4B97" w14:paraId="72B44641" w14:textId="77777777" w:rsidTr="00F83DD6">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D7D3E09" w14:textId="77777777" w:rsidR="0070585C" w:rsidRPr="00FD4B97" w:rsidRDefault="0070585C" w:rsidP="00936F9F">
            <w:pPr>
              <w:ind w:left="709" w:hanging="709"/>
              <w:jc w:val="left"/>
              <w:rPr>
                <w:b/>
                <w:bCs/>
                <w:color w:val="000000"/>
                <w:szCs w:val="24"/>
              </w:rPr>
            </w:pPr>
            <w:r w:rsidRPr="00FD4B97">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68C18F85" w14:textId="77777777" w:rsidR="0070585C" w:rsidRPr="00FD4B97" w:rsidRDefault="0070585C" w:rsidP="00936F9F">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4ABE09E"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tcPr>
          <w:p w14:paraId="30D4FE8B" w14:textId="77777777" w:rsidR="0070585C" w:rsidRPr="00FD4B97" w:rsidRDefault="0070585C" w:rsidP="00936F9F">
            <w:pPr>
              <w:jc w:val="right"/>
            </w:pPr>
          </w:p>
        </w:tc>
        <w:tc>
          <w:tcPr>
            <w:tcW w:w="1276" w:type="dxa"/>
            <w:tcBorders>
              <w:top w:val="nil"/>
              <w:left w:val="single" w:sz="8" w:space="0" w:color="auto"/>
              <w:bottom w:val="single" w:sz="4" w:space="0" w:color="auto"/>
              <w:right w:val="single" w:sz="8" w:space="0" w:color="auto"/>
            </w:tcBorders>
            <w:vAlign w:val="center"/>
          </w:tcPr>
          <w:p w14:paraId="7635D89C" w14:textId="77777777" w:rsidR="0070585C" w:rsidRPr="00FD4B97" w:rsidRDefault="0070585C" w:rsidP="00936F9F">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14:paraId="0AC3C8C5"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3F9D6DB" w14:textId="77777777" w:rsidR="0070585C" w:rsidRPr="00FD4B97" w:rsidRDefault="0070585C" w:rsidP="00936F9F">
            <w:pPr>
              <w:jc w:val="right"/>
              <w:rPr>
                <w:b/>
                <w:szCs w:val="22"/>
              </w:rPr>
            </w:pPr>
          </w:p>
        </w:tc>
      </w:tr>
      <w:tr w:rsidR="0070585C" w:rsidRPr="00FD4B97" w14:paraId="21CBBE6B" w14:textId="77777777" w:rsidTr="00F83DD6">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8F81C62" w14:textId="77777777" w:rsidR="0070585C" w:rsidRPr="00FD4B97" w:rsidRDefault="0070585C" w:rsidP="00936F9F">
            <w:pPr>
              <w:ind w:left="709" w:hanging="709"/>
              <w:jc w:val="left"/>
              <w:rPr>
                <w:b/>
                <w:bCs/>
                <w:color w:val="000000"/>
                <w:szCs w:val="24"/>
              </w:rPr>
            </w:pPr>
            <w:r w:rsidRPr="00FD4B97">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31659D51" w14:textId="77777777" w:rsidR="0070585C" w:rsidRPr="00FD4B97" w:rsidRDefault="0070585C" w:rsidP="00936F9F">
            <w:pPr>
              <w:jc w:val="right"/>
              <w:rPr>
                <w:b/>
                <w:szCs w:val="22"/>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14:paraId="2250EB5E" w14:textId="77777777" w:rsidR="0070585C" w:rsidRPr="00FD4B97" w:rsidRDefault="0070585C" w:rsidP="00936F9F">
            <w:pPr>
              <w:jc w:val="right"/>
              <w:rPr>
                <w:b/>
                <w:szCs w:val="22"/>
              </w:rPr>
            </w:pPr>
          </w:p>
        </w:tc>
        <w:tc>
          <w:tcPr>
            <w:tcW w:w="1276" w:type="dxa"/>
            <w:tcBorders>
              <w:top w:val="nil"/>
              <w:left w:val="single" w:sz="8" w:space="0" w:color="auto"/>
              <w:bottom w:val="single" w:sz="8" w:space="0" w:color="auto"/>
              <w:right w:val="single" w:sz="8" w:space="0" w:color="auto"/>
            </w:tcBorders>
            <w:vAlign w:val="center"/>
          </w:tcPr>
          <w:p w14:paraId="15623ECE" w14:textId="77777777" w:rsidR="0070585C" w:rsidRPr="00FD4B97" w:rsidRDefault="0070585C" w:rsidP="00936F9F">
            <w:pPr>
              <w:jc w:val="right"/>
              <w:rPr>
                <w:b/>
                <w:szCs w:val="22"/>
              </w:rPr>
            </w:pPr>
          </w:p>
        </w:tc>
        <w:tc>
          <w:tcPr>
            <w:tcW w:w="1276" w:type="dxa"/>
            <w:tcBorders>
              <w:top w:val="nil"/>
              <w:left w:val="single" w:sz="8" w:space="0" w:color="auto"/>
              <w:bottom w:val="single" w:sz="8" w:space="0" w:color="auto"/>
              <w:right w:val="single" w:sz="8" w:space="0" w:color="auto"/>
            </w:tcBorders>
            <w:vAlign w:val="center"/>
          </w:tcPr>
          <w:p w14:paraId="75102D83" w14:textId="77777777" w:rsidR="0070585C" w:rsidRPr="00FD4B97" w:rsidRDefault="0070585C" w:rsidP="00936F9F">
            <w:pPr>
              <w:jc w:val="right"/>
              <w:rPr>
                <w:b/>
                <w:szCs w:val="22"/>
              </w:rPr>
            </w:pPr>
          </w:p>
        </w:tc>
        <w:tc>
          <w:tcPr>
            <w:tcW w:w="992" w:type="dxa"/>
            <w:tcBorders>
              <w:top w:val="nil"/>
              <w:left w:val="single" w:sz="8" w:space="0" w:color="auto"/>
              <w:bottom w:val="single" w:sz="8" w:space="0" w:color="auto"/>
              <w:right w:val="single" w:sz="8" w:space="0" w:color="auto"/>
            </w:tcBorders>
            <w:shd w:val="clear" w:color="auto" w:fill="auto"/>
            <w:noWrap/>
          </w:tcPr>
          <w:p w14:paraId="08AF0224" w14:textId="77777777" w:rsidR="0070585C" w:rsidRPr="00FD4B97" w:rsidRDefault="0070585C" w:rsidP="00936F9F">
            <w:pPr>
              <w:jc w:val="right"/>
              <w:rPr>
                <w:b/>
                <w:szCs w:val="22"/>
              </w:rPr>
            </w:pP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3CF1C2D2" w14:textId="77777777" w:rsidR="0070585C" w:rsidRPr="00FD4B97" w:rsidRDefault="0070585C" w:rsidP="00936F9F">
            <w:pPr>
              <w:jc w:val="right"/>
              <w:rPr>
                <w:b/>
                <w:szCs w:val="22"/>
              </w:rPr>
            </w:pPr>
          </w:p>
        </w:tc>
      </w:tr>
    </w:tbl>
    <w:p w14:paraId="45FD7007" w14:textId="77777777" w:rsidR="00DC7EC9" w:rsidRDefault="00DC7EC9" w:rsidP="0070585C">
      <w:pPr>
        <w:pStyle w:val="Textpsmene"/>
        <w:numPr>
          <w:ilvl w:val="0"/>
          <w:numId w:val="0"/>
        </w:numPr>
        <w:ind w:left="360" w:hanging="360"/>
        <w:jc w:val="both"/>
        <w:rPr>
          <w:b/>
          <w:color w:val="000000"/>
          <w:szCs w:val="24"/>
        </w:rPr>
      </w:pPr>
    </w:p>
    <w:p w14:paraId="2054D754" w14:textId="77777777" w:rsidR="0070585C" w:rsidRDefault="0070585C" w:rsidP="0070585C">
      <w:pPr>
        <w:pStyle w:val="Textpsmene"/>
        <w:numPr>
          <w:ilvl w:val="0"/>
          <w:numId w:val="0"/>
        </w:numPr>
        <w:ind w:left="360" w:hanging="360"/>
        <w:jc w:val="both"/>
        <w:rPr>
          <w:b/>
          <w:color w:val="000000"/>
          <w:szCs w:val="24"/>
        </w:rPr>
      </w:pPr>
      <w:r w:rsidRPr="00FD4B97">
        <w:rPr>
          <w:b/>
          <w:color w:val="000000"/>
          <w:szCs w:val="24"/>
        </w:rPr>
        <w:t>Po třetí úpravě RN činí:</w:t>
      </w:r>
    </w:p>
    <w:tbl>
      <w:tblPr>
        <w:tblW w:w="8505" w:type="dxa"/>
        <w:tblInd w:w="70"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70585C" w:rsidRPr="00FD4B97" w14:paraId="6DC0B9B7" w14:textId="77777777" w:rsidTr="00F83DD6">
        <w:trPr>
          <w:trHeight w:val="112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D57DCA" w14:textId="77777777" w:rsidR="0070585C" w:rsidRPr="00FD4B97" w:rsidRDefault="0070585C" w:rsidP="00936F9F">
            <w:pPr>
              <w:ind w:left="709" w:hanging="709"/>
              <w:jc w:val="center"/>
              <w:rPr>
                <w:b/>
                <w:bCs/>
                <w:color w:val="000000"/>
                <w:szCs w:val="24"/>
              </w:rPr>
            </w:pPr>
            <w:r w:rsidRPr="00FD4B97">
              <w:rPr>
                <w:b/>
                <w:bCs/>
                <w:color w:val="000000"/>
                <w:szCs w:val="24"/>
              </w:rPr>
              <w:t xml:space="preserve">Věková </w:t>
            </w:r>
          </w:p>
          <w:p w14:paraId="2647AB24" w14:textId="77777777" w:rsidR="0070585C" w:rsidRPr="00FD4B97" w:rsidRDefault="0070585C" w:rsidP="00936F9F">
            <w:pPr>
              <w:ind w:left="709" w:hanging="709"/>
              <w:jc w:val="center"/>
              <w:rPr>
                <w:b/>
                <w:bCs/>
                <w:szCs w:val="24"/>
              </w:rPr>
            </w:pPr>
            <w:r w:rsidRPr="00FD4B97">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7D4831" w14:textId="77777777" w:rsidR="0070585C" w:rsidRPr="00FD4B97" w:rsidRDefault="0070585C" w:rsidP="00936F9F">
            <w:pPr>
              <w:ind w:left="709" w:hanging="709"/>
              <w:jc w:val="center"/>
              <w:rPr>
                <w:b/>
                <w:bCs/>
                <w:color w:val="000000"/>
                <w:szCs w:val="24"/>
              </w:rPr>
            </w:pPr>
            <w:r w:rsidRPr="00FD4B97">
              <w:rPr>
                <w:b/>
                <w:bCs/>
                <w:color w:val="000000"/>
                <w:szCs w:val="24"/>
              </w:rPr>
              <w:t>NIV</w:t>
            </w:r>
          </w:p>
          <w:p w14:paraId="2F47378C" w14:textId="77777777" w:rsidR="0070585C" w:rsidRPr="00FD4B97" w:rsidRDefault="0070585C" w:rsidP="00936F9F">
            <w:pPr>
              <w:jc w:val="center"/>
              <w:rPr>
                <w:b/>
                <w:bCs/>
                <w:szCs w:val="24"/>
              </w:rPr>
            </w:pPr>
            <w:r w:rsidRPr="00FD4B97">
              <w:rPr>
                <w:b/>
                <w:bCs/>
                <w:szCs w:val="24"/>
              </w:rPr>
              <w:t>celkem</w:t>
            </w:r>
          </w:p>
          <w:p w14:paraId="5A2AD518"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83DCE63" w14:textId="77777777" w:rsidR="0070585C" w:rsidRPr="00FD4B97" w:rsidRDefault="0070585C" w:rsidP="00936F9F">
            <w:pPr>
              <w:ind w:left="709" w:hanging="709"/>
              <w:jc w:val="center"/>
              <w:rPr>
                <w:b/>
                <w:bCs/>
                <w:color w:val="000000"/>
                <w:szCs w:val="24"/>
              </w:rPr>
            </w:pPr>
            <w:r w:rsidRPr="00FD4B97">
              <w:rPr>
                <w:b/>
                <w:bCs/>
                <w:color w:val="000000"/>
                <w:szCs w:val="24"/>
              </w:rPr>
              <w:t>MP</w:t>
            </w:r>
          </w:p>
          <w:p w14:paraId="36238F8C"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0D46B0B3" w14:textId="77777777" w:rsidR="0070585C" w:rsidRPr="00FD4B97" w:rsidRDefault="0070585C" w:rsidP="00936F9F">
            <w:pPr>
              <w:jc w:val="center"/>
              <w:rPr>
                <w:b/>
                <w:bCs/>
                <w:szCs w:val="24"/>
              </w:rPr>
            </w:pPr>
            <w:r w:rsidRPr="00FD4B97">
              <w:rPr>
                <w:b/>
                <w:bCs/>
                <w:szCs w:val="24"/>
              </w:rPr>
              <w:t>vč. odvodů</w:t>
            </w:r>
          </w:p>
          <w:p w14:paraId="6BF57766"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2F282FC" w14:textId="77777777" w:rsidR="0070585C" w:rsidRPr="00FD4B97" w:rsidRDefault="0070585C" w:rsidP="00936F9F">
            <w:pPr>
              <w:ind w:left="709" w:hanging="709"/>
              <w:jc w:val="center"/>
              <w:rPr>
                <w:b/>
                <w:bCs/>
                <w:color w:val="000000"/>
                <w:szCs w:val="24"/>
              </w:rPr>
            </w:pPr>
            <w:r w:rsidRPr="00FD4B97">
              <w:rPr>
                <w:b/>
                <w:bCs/>
                <w:color w:val="000000"/>
                <w:szCs w:val="24"/>
              </w:rPr>
              <w:t>MPP</w:t>
            </w:r>
          </w:p>
          <w:p w14:paraId="6C97CBFF"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1679D64C" w14:textId="77777777" w:rsidR="0070585C" w:rsidRPr="00FD4B97" w:rsidRDefault="0070585C" w:rsidP="00936F9F">
            <w:pPr>
              <w:jc w:val="center"/>
              <w:rPr>
                <w:b/>
                <w:bCs/>
                <w:szCs w:val="24"/>
              </w:rPr>
            </w:pPr>
            <w:r w:rsidRPr="00FD4B97">
              <w:rPr>
                <w:b/>
                <w:bCs/>
                <w:szCs w:val="24"/>
              </w:rPr>
              <w:t>vč. odvodů</w:t>
            </w:r>
          </w:p>
          <w:p w14:paraId="5B1EE15F"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4AB8E974" w14:textId="77777777" w:rsidR="0070585C" w:rsidRPr="00FD4B97" w:rsidRDefault="0070585C" w:rsidP="00936F9F">
            <w:pPr>
              <w:ind w:left="709" w:hanging="709"/>
              <w:jc w:val="center"/>
              <w:rPr>
                <w:b/>
                <w:bCs/>
                <w:color w:val="000000"/>
                <w:szCs w:val="24"/>
              </w:rPr>
            </w:pPr>
            <w:r w:rsidRPr="00FD4B97">
              <w:rPr>
                <w:b/>
                <w:bCs/>
                <w:color w:val="000000"/>
                <w:szCs w:val="24"/>
              </w:rPr>
              <w:t>MPN</w:t>
            </w:r>
          </w:p>
          <w:p w14:paraId="32E0EF38"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7A45F648" w14:textId="77777777" w:rsidR="0070585C" w:rsidRPr="00FD4B97" w:rsidRDefault="0070585C" w:rsidP="00936F9F">
            <w:pPr>
              <w:ind w:left="13" w:hanging="13"/>
              <w:jc w:val="center"/>
              <w:rPr>
                <w:b/>
                <w:bCs/>
                <w:szCs w:val="24"/>
              </w:rPr>
            </w:pPr>
            <w:r w:rsidRPr="00FD4B97">
              <w:rPr>
                <w:b/>
                <w:bCs/>
                <w:szCs w:val="24"/>
              </w:rPr>
              <w:t>vč. odvodů</w:t>
            </w:r>
          </w:p>
          <w:p w14:paraId="6906182C"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9DA3F1B" w14:textId="77777777" w:rsidR="0070585C" w:rsidRPr="00FD4B97" w:rsidRDefault="0070585C" w:rsidP="00936F9F">
            <w:pPr>
              <w:ind w:left="709" w:hanging="709"/>
              <w:jc w:val="center"/>
              <w:rPr>
                <w:rFonts w:ascii="Calibri" w:hAnsi="Calibri"/>
                <w:b/>
                <w:bCs/>
                <w:color w:val="000000"/>
                <w:szCs w:val="24"/>
              </w:rPr>
            </w:pPr>
            <w:r w:rsidRPr="00FD4B97">
              <w:rPr>
                <w:rFonts w:ascii="Calibri" w:hAnsi="Calibri"/>
                <w:b/>
                <w:bCs/>
                <w:color w:val="000000"/>
                <w:szCs w:val="24"/>
              </w:rPr>
              <w:t> </w:t>
            </w:r>
          </w:p>
          <w:p w14:paraId="34B3B099" w14:textId="77777777" w:rsidR="0070585C" w:rsidRPr="00FD4B97" w:rsidRDefault="0070585C" w:rsidP="00936F9F">
            <w:pPr>
              <w:ind w:left="709" w:hanging="709"/>
              <w:jc w:val="center"/>
              <w:rPr>
                <w:b/>
                <w:bCs/>
                <w:color w:val="000000"/>
                <w:szCs w:val="24"/>
              </w:rPr>
            </w:pPr>
            <w:r w:rsidRPr="00FD4B97">
              <w:rPr>
                <w:b/>
                <w:bCs/>
                <w:color w:val="000000"/>
                <w:szCs w:val="24"/>
              </w:rPr>
              <w:t>ONIV</w:t>
            </w:r>
          </w:p>
          <w:p w14:paraId="6C8AA37D" w14:textId="77777777" w:rsidR="0070585C" w:rsidRPr="00FD4B97" w:rsidRDefault="0070585C" w:rsidP="00936F9F">
            <w:pPr>
              <w:ind w:left="709" w:hanging="709"/>
              <w:jc w:val="center"/>
              <w:rPr>
                <w:b/>
                <w:bCs/>
                <w:szCs w:val="24"/>
              </w:rPr>
            </w:pPr>
            <w:r w:rsidRPr="00FD4B97">
              <w:rPr>
                <w:b/>
                <w:bCs/>
                <w:szCs w:val="24"/>
              </w:rPr>
              <w:t>celkem</w:t>
            </w:r>
          </w:p>
          <w:p w14:paraId="1DAEDE4F"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9345C1" w14:textId="77777777" w:rsidR="0070585C" w:rsidRPr="00FD4B97" w:rsidRDefault="0070585C" w:rsidP="00936F9F">
            <w:pPr>
              <w:ind w:left="709" w:hanging="709"/>
              <w:jc w:val="center"/>
              <w:rPr>
                <w:b/>
                <w:bCs/>
                <w:color w:val="000000"/>
                <w:szCs w:val="24"/>
              </w:rPr>
            </w:pPr>
            <w:r w:rsidRPr="00FD4B97">
              <w:rPr>
                <w:b/>
                <w:bCs/>
                <w:color w:val="000000"/>
                <w:szCs w:val="24"/>
              </w:rPr>
              <w:t>Zam.</w:t>
            </w:r>
          </w:p>
          <w:p w14:paraId="24E7DAC7" w14:textId="77777777" w:rsidR="0070585C" w:rsidRPr="00FD4B97" w:rsidRDefault="0070585C" w:rsidP="00936F9F">
            <w:pPr>
              <w:ind w:left="709" w:hanging="709"/>
              <w:jc w:val="center"/>
              <w:rPr>
                <w:rFonts w:ascii="Calibri" w:hAnsi="Calibri"/>
                <w:b/>
                <w:bCs/>
                <w:color w:val="000000"/>
                <w:szCs w:val="24"/>
              </w:rPr>
            </w:pPr>
            <w:r w:rsidRPr="00FD4B97">
              <w:rPr>
                <w:b/>
                <w:bCs/>
                <w:szCs w:val="24"/>
              </w:rPr>
              <w:t>z./1000 ž.</w:t>
            </w:r>
          </w:p>
        </w:tc>
      </w:tr>
      <w:tr w:rsidR="0070585C" w:rsidRPr="00FD4B97" w14:paraId="547A94CD" w14:textId="77777777" w:rsidTr="00F83DD6">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5A18EE1" w14:textId="77777777" w:rsidR="0070585C" w:rsidRPr="00FD4B97" w:rsidRDefault="0070585C" w:rsidP="00936F9F">
            <w:pPr>
              <w:ind w:left="709" w:hanging="709"/>
              <w:rPr>
                <w:b/>
                <w:bCs/>
                <w:color w:val="000000"/>
                <w:szCs w:val="24"/>
              </w:rPr>
            </w:pPr>
            <w:r w:rsidRPr="00FD4B97">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71F308B4" w14:textId="77777777" w:rsidR="0070585C" w:rsidRPr="00FD4B97" w:rsidRDefault="0070585C" w:rsidP="00936F9F">
            <w:pPr>
              <w:jc w:val="right"/>
            </w:pPr>
            <w:r w:rsidRPr="00FD4B97">
              <w:t>58 191</w:t>
            </w:r>
          </w:p>
        </w:tc>
        <w:tc>
          <w:tcPr>
            <w:tcW w:w="1275" w:type="dxa"/>
            <w:tcBorders>
              <w:top w:val="single" w:sz="8" w:space="0" w:color="auto"/>
              <w:left w:val="single" w:sz="8" w:space="0" w:color="auto"/>
              <w:bottom w:val="single" w:sz="4" w:space="0" w:color="auto"/>
              <w:right w:val="single" w:sz="8" w:space="0" w:color="auto"/>
            </w:tcBorders>
            <w:shd w:val="clear" w:color="auto" w:fill="auto"/>
            <w:noWrap/>
          </w:tcPr>
          <w:p w14:paraId="13A1DFB9" w14:textId="77777777" w:rsidR="0070585C" w:rsidRPr="00FD4B97" w:rsidRDefault="0070585C" w:rsidP="00936F9F">
            <w:pPr>
              <w:jc w:val="right"/>
            </w:pPr>
            <w:r w:rsidRPr="00FD4B97">
              <w:t>57 650</w:t>
            </w:r>
          </w:p>
        </w:tc>
        <w:tc>
          <w:tcPr>
            <w:tcW w:w="1276" w:type="dxa"/>
            <w:tcBorders>
              <w:top w:val="single" w:sz="8" w:space="0" w:color="auto"/>
              <w:left w:val="single" w:sz="8" w:space="0" w:color="auto"/>
              <w:bottom w:val="single" w:sz="4" w:space="0" w:color="auto"/>
              <w:right w:val="single" w:sz="8" w:space="0" w:color="auto"/>
            </w:tcBorders>
          </w:tcPr>
          <w:p w14:paraId="44107946" w14:textId="77777777" w:rsidR="0070585C" w:rsidRPr="00FD4B97" w:rsidRDefault="0070585C" w:rsidP="00936F9F">
            <w:pPr>
              <w:jc w:val="right"/>
            </w:pPr>
            <w:r w:rsidRPr="00FD4B97">
              <w:t>44 763</w:t>
            </w:r>
          </w:p>
        </w:tc>
        <w:tc>
          <w:tcPr>
            <w:tcW w:w="1276" w:type="dxa"/>
            <w:tcBorders>
              <w:top w:val="single" w:sz="8" w:space="0" w:color="auto"/>
              <w:left w:val="single" w:sz="8" w:space="0" w:color="auto"/>
              <w:bottom w:val="single" w:sz="4" w:space="0" w:color="auto"/>
              <w:right w:val="single" w:sz="8" w:space="0" w:color="auto"/>
            </w:tcBorders>
          </w:tcPr>
          <w:p w14:paraId="47094DB1" w14:textId="77777777" w:rsidR="0070585C" w:rsidRPr="00FD4B97" w:rsidRDefault="0070585C" w:rsidP="00936F9F">
            <w:pPr>
              <w:jc w:val="right"/>
            </w:pPr>
            <w:r w:rsidRPr="00FD4B97">
              <w:t>12 887</w:t>
            </w: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14:paraId="4AF66248" w14:textId="77777777" w:rsidR="0070585C" w:rsidRPr="00FD4B97" w:rsidRDefault="0070585C" w:rsidP="00936F9F">
            <w:pPr>
              <w:jc w:val="right"/>
            </w:pPr>
            <w:r w:rsidRPr="00FD4B97">
              <w:t>541</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14:paraId="69253BF8" w14:textId="77777777" w:rsidR="0070585C" w:rsidRPr="00FD4B97" w:rsidRDefault="0070585C" w:rsidP="00936F9F">
            <w:pPr>
              <w:jc w:val="right"/>
            </w:pPr>
            <w:r w:rsidRPr="00FD4B97">
              <w:t>126,488</w:t>
            </w:r>
          </w:p>
        </w:tc>
      </w:tr>
      <w:tr w:rsidR="0070585C" w:rsidRPr="00FD4B97" w14:paraId="1289B443"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DAB520A" w14:textId="77777777" w:rsidR="0070585C" w:rsidRPr="00FD4B97" w:rsidRDefault="0070585C" w:rsidP="00936F9F">
            <w:pPr>
              <w:ind w:left="709" w:hanging="709"/>
              <w:rPr>
                <w:b/>
                <w:bCs/>
                <w:color w:val="000000"/>
                <w:szCs w:val="24"/>
              </w:rPr>
            </w:pPr>
            <w:r w:rsidRPr="00FD4B97">
              <w:rPr>
                <w:b/>
                <w:bCs/>
                <w:color w:val="000000"/>
                <w:szCs w:val="24"/>
              </w:rPr>
              <w:t>6 - 14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3077341B" w14:textId="77777777" w:rsidR="0070585C" w:rsidRPr="00FD4B97" w:rsidRDefault="0070585C" w:rsidP="00936F9F">
            <w:pPr>
              <w:jc w:val="right"/>
            </w:pPr>
            <w:r w:rsidRPr="00FD4B97">
              <w:t>74 069</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6816CDFE" w14:textId="77777777" w:rsidR="0070585C" w:rsidRPr="00FD4B97" w:rsidRDefault="0070585C" w:rsidP="00936F9F">
            <w:pPr>
              <w:jc w:val="right"/>
            </w:pPr>
            <w:r w:rsidRPr="00FD4B97">
              <w:t>72 933</w:t>
            </w:r>
          </w:p>
        </w:tc>
        <w:tc>
          <w:tcPr>
            <w:tcW w:w="1276" w:type="dxa"/>
            <w:tcBorders>
              <w:top w:val="single" w:sz="4" w:space="0" w:color="auto"/>
              <w:left w:val="single" w:sz="8" w:space="0" w:color="auto"/>
              <w:bottom w:val="single" w:sz="4" w:space="0" w:color="auto"/>
              <w:right w:val="single" w:sz="8" w:space="0" w:color="auto"/>
            </w:tcBorders>
          </w:tcPr>
          <w:p w14:paraId="4DE96F7A" w14:textId="77777777" w:rsidR="0070585C" w:rsidRPr="00FD4B97" w:rsidRDefault="0070585C" w:rsidP="00936F9F">
            <w:pPr>
              <w:jc w:val="right"/>
            </w:pPr>
            <w:r w:rsidRPr="00FD4B97">
              <w:t>60 862</w:t>
            </w:r>
          </w:p>
        </w:tc>
        <w:tc>
          <w:tcPr>
            <w:tcW w:w="1276" w:type="dxa"/>
            <w:tcBorders>
              <w:top w:val="single" w:sz="4" w:space="0" w:color="auto"/>
              <w:left w:val="single" w:sz="8" w:space="0" w:color="auto"/>
              <w:bottom w:val="single" w:sz="4" w:space="0" w:color="auto"/>
              <w:right w:val="single" w:sz="8" w:space="0" w:color="auto"/>
            </w:tcBorders>
          </w:tcPr>
          <w:p w14:paraId="0F666BDF" w14:textId="77777777" w:rsidR="0070585C" w:rsidRPr="00FD4B97" w:rsidRDefault="0070585C" w:rsidP="00936F9F">
            <w:pPr>
              <w:jc w:val="right"/>
            </w:pPr>
            <w:r w:rsidRPr="00FD4B97">
              <w:t>12 071</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6745079A" w14:textId="77777777" w:rsidR="0070585C" w:rsidRPr="00FD4B97" w:rsidRDefault="0070585C" w:rsidP="00936F9F">
            <w:pPr>
              <w:jc w:val="right"/>
            </w:pPr>
            <w:r w:rsidRPr="00FD4B97">
              <w:t>1 136</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5E41849F" w14:textId="77777777" w:rsidR="0070585C" w:rsidRPr="00FD4B97" w:rsidRDefault="0070585C" w:rsidP="00936F9F">
            <w:pPr>
              <w:jc w:val="right"/>
            </w:pPr>
            <w:r w:rsidRPr="00FD4B97">
              <w:t>127,848</w:t>
            </w:r>
          </w:p>
        </w:tc>
      </w:tr>
      <w:tr w:rsidR="0070585C" w:rsidRPr="00FD4B97" w14:paraId="3DDE99AD"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7D5226A" w14:textId="77777777" w:rsidR="0070585C" w:rsidRPr="00FD4B97" w:rsidRDefault="0070585C" w:rsidP="00936F9F">
            <w:pPr>
              <w:ind w:left="709" w:hanging="709"/>
              <w:rPr>
                <w:b/>
                <w:bCs/>
                <w:color w:val="000000"/>
                <w:szCs w:val="24"/>
              </w:rPr>
            </w:pPr>
            <w:r w:rsidRPr="00FD4B97">
              <w:rPr>
                <w:b/>
                <w:bCs/>
                <w:color w:val="000000"/>
                <w:szCs w:val="24"/>
              </w:rPr>
              <w:t>15 - 18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56961F90" w14:textId="77777777" w:rsidR="0070585C" w:rsidRPr="00FD4B97" w:rsidRDefault="0070585C" w:rsidP="00936F9F">
            <w:pPr>
              <w:jc w:val="right"/>
            </w:pPr>
            <w:r w:rsidRPr="00FD4B97">
              <w:t>86 461</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5845B618" w14:textId="77777777" w:rsidR="0070585C" w:rsidRPr="00FD4B97" w:rsidRDefault="0070585C" w:rsidP="00936F9F">
            <w:pPr>
              <w:jc w:val="right"/>
            </w:pPr>
            <w:r w:rsidRPr="00FD4B97">
              <w:t>85 344</w:t>
            </w:r>
          </w:p>
        </w:tc>
        <w:tc>
          <w:tcPr>
            <w:tcW w:w="1276" w:type="dxa"/>
            <w:tcBorders>
              <w:top w:val="single" w:sz="4" w:space="0" w:color="auto"/>
              <w:left w:val="single" w:sz="8" w:space="0" w:color="auto"/>
              <w:bottom w:val="single" w:sz="4" w:space="0" w:color="auto"/>
              <w:right w:val="single" w:sz="8" w:space="0" w:color="auto"/>
            </w:tcBorders>
          </w:tcPr>
          <w:p w14:paraId="0567AE4F" w14:textId="77777777" w:rsidR="0070585C" w:rsidRPr="00FD4B97" w:rsidRDefault="0070585C" w:rsidP="00936F9F">
            <w:pPr>
              <w:jc w:val="right"/>
            </w:pPr>
            <w:r w:rsidRPr="00FD4B97">
              <w:t>69 182</w:t>
            </w:r>
          </w:p>
        </w:tc>
        <w:tc>
          <w:tcPr>
            <w:tcW w:w="1276" w:type="dxa"/>
            <w:tcBorders>
              <w:top w:val="single" w:sz="4" w:space="0" w:color="auto"/>
              <w:left w:val="single" w:sz="8" w:space="0" w:color="auto"/>
              <w:bottom w:val="single" w:sz="4" w:space="0" w:color="auto"/>
              <w:right w:val="single" w:sz="8" w:space="0" w:color="auto"/>
            </w:tcBorders>
          </w:tcPr>
          <w:p w14:paraId="7596BC47" w14:textId="77777777" w:rsidR="0070585C" w:rsidRPr="00FD4B97" w:rsidRDefault="0070585C" w:rsidP="00936F9F">
            <w:pPr>
              <w:jc w:val="right"/>
            </w:pPr>
            <w:r w:rsidRPr="00FD4B97">
              <w:t>16 162</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32C1D6BF" w14:textId="77777777" w:rsidR="0070585C" w:rsidRPr="00FD4B97" w:rsidRDefault="0070585C" w:rsidP="00936F9F">
            <w:pPr>
              <w:jc w:val="right"/>
            </w:pPr>
            <w:r w:rsidRPr="00FD4B97">
              <w:t>1 117</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5158270A" w14:textId="77777777" w:rsidR="0070585C" w:rsidRPr="00FD4B97" w:rsidRDefault="0070585C" w:rsidP="00936F9F">
            <w:pPr>
              <w:jc w:val="right"/>
            </w:pPr>
            <w:r w:rsidRPr="00FD4B97">
              <w:t>144,227</w:t>
            </w:r>
          </w:p>
        </w:tc>
      </w:tr>
      <w:tr w:rsidR="0070585C" w:rsidRPr="00FD4B97" w14:paraId="3A85354F"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FBA6308" w14:textId="77777777" w:rsidR="0070585C" w:rsidRPr="00FD4B97" w:rsidRDefault="0070585C" w:rsidP="00936F9F">
            <w:pPr>
              <w:ind w:left="709" w:hanging="709"/>
              <w:rPr>
                <w:b/>
                <w:bCs/>
                <w:color w:val="000000"/>
                <w:szCs w:val="24"/>
              </w:rPr>
            </w:pPr>
            <w:r w:rsidRPr="00FD4B97">
              <w:rPr>
                <w:b/>
                <w:bCs/>
                <w:color w:val="000000"/>
                <w:szCs w:val="24"/>
              </w:rPr>
              <w:t>19 - 21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4C75F3EF" w14:textId="77777777" w:rsidR="0070585C" w:rsidRPr="00FD4B97" w:rsidRDefault="0070585C" w:rsidP="00936F9F">
            <w:pPr>
              <w:jc w:val="right"/>
            </w:pPr>
            <w:r w:rsidRPr="00FD4B97">
              <w:t>73 986</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641C0358" w14:textId="77777777" w:rsidR="0070585C" w:rsidRPr="00FD4B97" w:rsidRDefault="0070585C" w:rsidP="00936F9F">
            <w:pPr>
              <w:jc w:val="right"/>
            </w:pPr>
            <w:r w:rsidRPr="00FD4B97">
              <w:t>73 286</w:t>
            </w:r>
          </w:p>
        </w:tc>
        <w:tc>
          <w:tcPr>
            <w:tcW w:w="1276" w:type="dxa"/>
            <w:tcBorders>
              <w:top w:val="single" w:sz="4" w:space="0" w:color="auto"/>
              <w:left w:val="single" w:sz="8" w:space="0" w:color="auto"/>
              <w:bottom w:val="single" w:sz="4" w:space="0" w:color="auto"/>
              <w:right w:val="single" w:sz="8" w:space="0" w:color="auto"/>
            </w:tcBorders>
          </w:tcPr>
          <w:p w14:paraId="21B939E9" w14:textId="77777777" w:rsidR="0070585C" w:rsidRPr="00FD4B97" w:rsidRDefault="0070585C" w:rsidP="00936F9F">
            <w:pPr>
              <w:jc w:val="right"/>
            </w:pPr>
            <w:r w:rsidRPr="00FD4B97">
              <w:t>61 064</w:t>
            </w:r>
          </w:p>
        </w:tc>
        <w:tc>
          <w:tcPr>
            <w:tcW w:w="1276" w:type="dxa"/>
            <w:tcBorders>
              <w:top w:val="single" w:sz="4" w:space="0" w:color="auto"/>
              <w:left w:val="single" w:sz="8" w:space="0" w:color="auto"/>
              <w:bottom w:val="single" w:sz="4" w:space="0" w:color="auto"/>
              <w:right w:val="single" w:sz="8" w:space="0" w:color="auto"/>
            </w:tcBorders>
          </w:tcPr>
          <w:p w14:paraId="59EF6B8C" w14:textId="77777777" w:rsidR="0070585C" w:rsidRPr="00FD4B97" w:rsidRDefault="0070585C" w:rsidP="00936F9F">
            <w:pPr>
              <w:jc w:val="right"/>
            </w:pPr>
            <w:r w:rsidRPr="00FD4B97">
              <w:t>12 222</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50FDB3C6" w14:textId="77777777" w:rsidR="0070585C" w:rsidRPr="00FD4B97" w:rsidRDefault="0070585C" w:rsidP="00936F9F">
            <w:pPr>
              <w:jc w:val="right"/>
            </w:pPr>
            <w:r w:rsidRPr="00FD4B97">
              <w:t>700</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2FE68B92" w14:textId="77777777" w:rsidR="0070585C" w:rsidRPr="00FD4B97" w:rsidRDefault="0070585C" w:rsidP="00936F9F">
            <w:pPr>
              <w:jc w:val="right"/>
            </w:pPr>
            <w:r w:rsidRPr="00FD4B97">
              <w:t>127,613</w:t>
            </w:r>
          </w:p>
        </w:tc>
      </w:tr>
      <w:tr w:rsidR="0070585C" w:rsidRPr="00FD4B97" w14:paraId="3B6118A1" w14:textId="77777777" w:rsidTr="00F83DD6">
        <w:trPr>
          <w:trHeight w:hRule="exact" w:val="284"/>
        </w:trPr>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35AE64D" w14:textId="77777777" w:rsidR="0070585C" w:rsidRPr="00FD4B97" w:rsidRDefault="0070585C" w:rsidP="00936F9F">
            <w:pPr>
              <w:ind w:left="709" w:hanging="709"/>
              <w:rPr>
                <w:b/>
                <w:bCs/>
                <w:color w:val="000000"/>
                <w:szCs w:val="24"/>
              </w:rPr>
            </w:pPr>
            <w:r w:rsidRPr="00FD4B97">
              <w:rPr>
                <w:b/>
                <w:bCs/>
                <w:color w:val="000000"/>
                <w:szCs w:val="24"/>
              </w:rPr>
              <w:t>KZÚV</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7141E033" w14:textId="77777777" w:rsidR="0070585C" w:rsidRPr="00FD4B97" w:rsidRDefault="0070585C" w:rsidP="00936F9F">
            <w:pPr>
              <w:jc w:val="right"/>
            </w:pPr>
            <w:r w:rsidRPr="00FD4B97">
              <w:t>352 778</w:t>
            </w:r>
          </w:p>
        </w:tc>
        <w:tc>
          <w:tcPr>
            <w:tcW w:w="1275" w:type="dxa"/>
            <w:tcBorders>
              <w:top w:val="single" w:sz="4" w:space="0" w:color="auto"/>
              <w:left w:val="single" w:sz="8" w:space="0" w:color="auto"/>
              <w:bottom w:val="single" w:sz="8" w:space="0" w:color="auto"/>
              <w:right w:val="single" w:sz="8" w:space="0" w:color="auto"/>
            </w:tcBorders>
            <w:shd w:val="clear" w:color="auto" w:fill="auto"/>
            <w:noWrap/>
          </w:tcPr>
          <w:p w14:paraId="074308A1" w14:textId="77777777" w:rsidR="0070585C" w:rsidRPr="00FD4B97" w:rsidRDefault="0070585C" w:rsidP="00936F9F">
            <w:pPr>
              <w:jc w:val="right"/>
            </w:pPr>
            <w:r w:rsidRPr="00FD4B97">
              <w:t>350 278</w:t>
            </w:r>
          </w:p>
        </w:tc>
        <w:tc>
          <w:tcPr>
            <w:tcW w:w="1276" w:type="dxa"/>
            <w:tcBorders>
              <w:top w:val="single" w:sz="4" w:space="0" w:color="auto"/>
              <w:left w:val="single" w:sz="8" w:space="0" w:color="auto"/>
              <w:bottom w:val="single" w:sz="8" w:space="0" w:color="auto"/>
              <w:right w:val="single" w:sz="8" w:space="0" w:color="auto"/>
            </w:tcBorders>
          </w:tcPr>
          <w:p w14:paraId="31AEC4F5" w14:textId="77777777" w:rsidR="0070585C" w:rsidRPr="00FD4B97" w:rsidRDefault="0070585C" w:rsidP="00936F9F">
            <w:pPr>
              <w:jc w:val="right"/>
            </w:pPr>
            <w:r w:rsidRPr="00FD4B97">
              <w:t>257 964</w:t>
            </w:r>
          </w:p>
        </w:tc>
        <w:tc>
          <w:tcPr>
            <w:tcW w:w="1276" w:type="dxa"/>
            <w:tcBorders>
              <w:top w:val="single" w:sz="4" w:space="0" w:color="auto"/>
              <w:left w:val="single" w:sz="8" w:space="0" w:color="auto"/>
              <w:bottom w:val="single" w:sz="8" w:space="0" w:color="auto"/>
              <w:right w:val="single" w:sz="8" w:space="0" w:color="auto"/>
            </w:tcBorders>
          </w:tcPr>
          <w:p w14:paraId="18C6B4E3" w14:textId="77777777" w:rsidR="0070585C" w:rsidRPr="00FD4B97" w:rsidRDefault="0070585C" w:rsidP="00936F9F">
            <w:pPr>
              <w:jc w:val="right"/>
            </w:pPr>
            <w:r w:rsidRPr="00FD4B97">
              <w:t>92 314</w:t>
            </w:r>
          </w:p>
        </w:tc>
        <w:tc>
          <w:tcPr>
            <w:tcW w:w="992" w:type="dxa"/>
            <w:tcBorders>
              <w:top w:val="single" w:sz="4" w:space="0" w:color="auto"/>
              <w:left w:val="single" w:sz="8" w:space="0" w:color="auto"/>
              <w:bottom w:val="single" w:sz="8" w:space="0" w:color="auto"/>
              <w:right w:val="single" w:sz="8" w:space="0" w:color="auto"/>
            </w:tcBorders>
            <w:shd w:val="clear" w:color="auto" w:fill="auto"/>
            <w:noWrap/>
          </w:tcPr>
          <w:p w14:paraId="1A161FB1" w14:textId="77777777" w:rsidR="0070585C" w:rsidRPr="00FD4B97" w:rsidRDefault="0070585C" w:rsidP="00936F9F">
            <w:pPr>
              <w:jc w:val="right"/>
            </w:pPr>
            <w:r w:rsidRPr="00FD4B97">
              <w:t>2 500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14:paraId="5DCA77C1" w14:textId="77777777" w:rsidR="0070585C" w:rsidRPr="00FD4B97" w:rsidRDefault="0070585C" w:rsidP="00936F9F">
            <w:pPr>
              <w:jc w:val="right"/>
            </w:pPr>
            <w:r w:rsidRPr="00FD4B97">
              <w:t>693,459</w:t>
            </w:r>
          </w:p>
        </w:tc>
      </w:tr>
    </w:tbl>
    <w:p w14:paraId="16FAB973" w14:textId="77777777" w:rsidR="0070585C" w:rsidRPr="00FD4B97" w:rsidRDefault="0070585C" w:rsidP="0070585C">
      <w:pPr>
        <w:rPr>
          <w:color w:val="000000"/>
          <w:szCs w:val="24"/>
          <w:u w:val="single"/>
        </w:rPr>
      </w:pPr>
    </w:p>
    <w:p w14:paraId="2BA925E7" w14:textId="77777777" w:rsidR="0070585C" w:rsidRDefault="0070585C" w:rsidP="0070585C">
      <w:pPr>
        <w:rPr>
          <w:color w:val="000000"/>
          <w:szCs w:val="24"/>
          <w:u w:val="single"/>
        </w:rPr>
      </w:pPr>
    </w:p>
    <w:p w14:paraId="131FE071" w14:textId="77777777" w:rsidR="0070585C" w:rsidRPr="00FD4B97" w:rsidRDefault="0070585C" w:rsidP="0070585C">
      <w:pPr>
        <w:rPr>
          <w:color w:val="000000"/>
          <w:szCs w:val="24"/>
          <w:u w:val="single"/>
        </w:rPr>
      </w:pPr>
      <w:r w:rsidRPr="004C6555">
        <w:rPr>
          <w:color w:val="000000"/>
          <w:szCs w:val="24"/>
          <w:u w:val="single"/>
        </w:rPr>
        <w:t xml:space="preserve">Zvýšení </w:t>
      </w:r>
      <w:r>
        <w:rPr>
          <w:color w:val="000000"/>
          <w:szCs w:val="24"/>
          <w:u w:val="single"/>
        </w:rPr>
        <w:t>limitu počtu zaměstnanců</w:t>
      </w:r>
    </w:p>
    <w:p w14:paraId="48F21A81" w14:textId="77777777" w:rsidR="0070585C" w:rsidRDefault="0070585C" w:rsidP="0070585C">
      <w:pPr>
        <w:pStyle w:val="Textpsmene"/>
        <w:numPr>
          <w:ilvl w:val="0"/>
          <w:numId w:val="0"/>
        </w:numPr>
        <w:ind w:left="709"/>
        <w:jc w:val="both"/>
        <w:rPr>
          <w:b/>
          <w:color w:val="000000"/>
          <w:szCs w:val="24"/>
          <w:highlight w:val="cyan"/>
        </w:rPr>
      </w:pPr>
    </w:p>
    <w:p w14:paraId="0AEF9D56" w14:textId="77777777" w:rsidR="0070585C" w:rsidRDefault="0070585C" w:rsidP="0070585C">
      <w:pPr>
        <w:pStyle w:val="Text"/>
      </w:pPr>
      <w:r w:rsidRPr="00FD4B97">
        <w:t>Pro normativní financování RgŠ ÚSC v roce 2019 (včetně podpůrných opatření a rozpočtové rezervy) je limit počtu zaměstnanců ve výši 234 974,26. V průběhu roku 2018 byl na základě požadavků z jednotlivých krajů v rámci úpravy rozpisu rozpočtu jednotlivým krajům celkově zvýšen limit počtu zaměstnanců o cca 2 100, a to z rezervy MŠMT. V roce 2019 bude toto zvýšení plošně promítnuto do RN, tj. zvýšení limitu počtu zaměstnanců o 1 %.</w:t>
      </w:r>
    </w:p>
    <w:p w14:paraId="43667500" w14:textId="77777777" w:rsidR="00F83DD6" w:rsidRDefault="00F83DD6" w:rsidP="0070585C">
      <w:pPr>
        <w:pStyle w:val="Text"/>
      </w:pPr>
    </w:p>
    <w:p w14:paraId="4CA35119" w14:textId="77777777" w:rsidR="00F83DD6" w:rsidRDefault="00F83DD6" w:rsidP="0070585C">
      <w:pPr>
        <w:pStyle w:val="Text"/>
      </w:pPr>
    </w:p>
    <w:p w14:paraId="5D8A011F" w14:textId="77777777" w:rsidR="0070585C" w:rsidRPr="00FD4B97" w:rsidRDefault="0070585C" w:rsidP="0070585C">
      <w:pPr>
        <w:ind w:left="567" w:hanging="567"/>
        <w:jc w:val="left"/>
        <w:rPr>
          <w:b/>
          <w:color w:val="000000"/>
          <w:szCs w:val="24"/>
        </w:rPr>
      </w:pPr>
      <w:r w:rsidRPr="00FD4B97">
        <w:rPr>
          <w:b/>
          <w:color w:val="000000"/>
          <w:szCs w:val="24"/>
        </w:rPr>
        <w:t>Zvýšení RN 2018 v limitu počtu zaměstnanců je ve výši:</w:t>
      </w:r>
    </w:p>
    <w:tbl>
      <w:tblPr>
        <w:tblW w:w="8505" w:type="dxa"/>
        <w:tblInd w:w="57"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70585C" w:rsidRPr="00FD4B97" w14:paraId="2C05C960" w14:textId="77777777" w:rsidTr="00F83DD6">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1259E5FF" w14:textId="77777777" w:rsidR="0070585C" w:rsidRPr="00FD4B97" w:rsidRDefault="0070585C" w:rsidP="00936F9F">
            <w:pPr>
              <w:ind w:left="709" w:hanging="709"/>
              <w:jc w:val="center"/>
              <w:rPr>
                <w:b/>
                <w:bCs/>
                <w:color w:val="000000"/>
                <w:szCs w:val="24"/>
              </w:rPr>
            </w:pPr>
            <w:r w:rsidRPr="00FD4B97">
              <w:rPr>
                <w:b/>
                <w:bCs/>
                <w:color w:val="000000"/>
                <w:szCs w:val="24"/>
              </w:rPr>
              <w:t xml:space="preserve">Věková </w:t>
            </w:r>
          </w:p>
          <w:p w14:paraId="1DD9120C" w14:textId="77777777" w:rsidR="0070585C" w:rsidRPr="00FD4B97" w:rsidRDefault="0070585C" w:rsidP="00936F9F">
            <w:pPr>
              <w:ind w:left="709" w:hanging="709"/>
              <w:jc w:val="center"/>
              <w:rPr>
                <w:b/>
                <w:bCs/>
                <w:szCs w:val="24"/>
              </w:rPr>
            </w:pPr>
            <w:r w:rsidRPr="00FD4B97">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2B9628DB" w14:textId="77777777" w:rsidR="0070585C" w:rsidRPr="00FD4B97" w:rsidRDefault="0070585C" w:rsidP="00936F9F">
            <w:pPr>
              <w:ind w:left="709" w:hanging="709"/>
              <w:jc w:val="center"/>
              <w:rPr>
                <w:b/>
                <w:bCs/>
                <w:color w:val="000000"/>
                <w:szCs w:val="24"/>
              </w:rPr>
            </w:pPr>
            <w:r w:rsidRPr="00FD4B97">
              <w:rPr>
                <w:b/>
                <w:bCs/>
                <w:color w:val="000000"/>
                <w:szCs w:val="24"/>
              </w:rPr>
              <w:t>NIV</w:t>
            </w:r>
          </w:p>
          <w:p w14:paraId="3AAA32E0" w14:textId="77777777" w:rsidR="0070585C" w:rsidRPr="00FD4B97" w:rsidRDefault="0070585C" w:rsidP="00936F9F">
            <w:pPr>
              <w:jc w:val="center"/>
              <w:rPr>
                <w:b/>
                <w:bCs/>
                <w:szCs w:val="24"/>
              </w:rPr>
            </w:pPr>
            <w:r w:rsidRPr="00FD4B97">
              <w:rPr>
                <w:b/>
                <w:bCs/>
                <w:szCs w:val="24"/>
              </w:rPr>
              <w:t>celkem</w:t>
            </w:r>
          </w:p>
          <w:p w14:paraId="2E6E82A2"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609650B9" w14:textId="77777777" w:rsidR="0070585C" w:rsidRPr="00FD4B97" w:rsidRDefault="0070585C" w:rsidP="00936F9F">
            <w:pPr>
              <w:ind w:left="709" w:hanging="709"/>
              <w:jc w:val="center"/>
              <w:rPr>
                <w:b/>
                <w:bCs/>
                <w:color w:val="000000"/>
                <w:szCs w:val="24"/>
              </w:rPr>
            </w:pPr>
            <w:r w:rsidRPr="00FD4B97">
              <w:rPr>
                <w:b/>
                <w:bCs/>
                <w:color w:val="000000"/>
                <w:szCs w:val="24"/>
              </w:rPr>
              <w:t>MP</w:t>
            </w:r>
          </w:p>
          <w:p w14:paraId="01A3BB2D"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01506B64" w14:textId="77777777" w:rsidR="0070585C" w:rsidRPr="00FD4B97" w:rsidRDefault="0070585C" w:rsidP="00936F9F">
            <w:pPr>
              <w:jc w:val="center"/>
              <w:rPr>
                <w:b/>
                <w:bCs/>
                <w:szCs w:val="24"/>
              </w:rPr>
            </w:pPr>
            <w:r w:rsidRPr="00FD4B97">
              <w:rPr>
                <w:b/>
                <w:bCs/>
                <w:szCs w:val="24"/>
              </w:rPr>
              <w:t>vč. odvodů</w:t>
            </w:r>
          </w:p>
          <w:p w14:paraId="05349E18"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A1B7A0" w14:textId="77777777" w:rsidR="0070585C" w:rsidRPr="00FD4B97" w:rsidRDefault="0070585C" w:rsidP="00936F9F">
            <w:pPr>
              <w:ind w:left="709" w:hanging="709"/>
              <w:jc w:val="center"/>
              <w:rPr>
                <w:b/>
                <w:bCs/>
                <w:color w:val="000000"/>
                <w:szCs w:val="24"/>
              </w:rPr>
            </w:pPr>
            <w:r w:rsidRPr="00FD4B97">
              <w:rPr>
                <w:b/>
                <w:bCs/>
                <w:color w:val="000000"/>
                <w:szCs w:val="24"/>
              </w:rPr>
              <w:t>MPP</w:t>
            </w:r>
          </w:p>
          <w:p w14:paraId="2D0E4978"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182540E3" w14:textId="77777777" w:rsidR="0070585C" w:rsidRPr="00FD4B97" w:rsidRDefault="0070585C" w:rsidP="00936F9F">
            <w:pPr>
              <w:jc w:val="center"/>
              <w:rPr>
                <w:b/>
                <w:bCs/>
                <w:szCs w:val="24"/>
              </w:rPr>
            </w:pPr>
            <w:r w:rsidRPr="00FD4B97">
              <w:rPr>
                <w:b/>
                <w:bCs/>
                <w:szCs w:val="24"/>
              </w:rPr>
              <w:t>vč. odvodů</w:t>
            </w:r>
          </w:p>
          <w:p w14:paraId="6836F218"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F27450" w14:textId="77777777" w:rsidR="0070585C" w:rsidRPr="00FD4B97" w:rsidRDefault="0070585C" w:rsidP="00936F9F">
            <w:pPr>
              <w:ind w:left="709" w:hanging="709"/>
              <w:jc w:val="center"/>
              <w:rPr>
                <w:b/>
                <w:bCs/>
                <w:color w:val="000000"/>
                <w:szCs w:val="24"/>
              </w:rPr>
            </w:pPr>
            <w:r w:rsidRPr="00FD4B97">
              <w:rPr>
                <w:b/>
                <w:bCs/>
                <w:color w:val="000000"/>
                <w:szCs w:val="24"/>
              </w:rPr>
              <w:t>MPN</w:t>
            </w:r>
          </w:p>
          <w:p w14:paraId="5664E2A0"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7756EB7D" w14:textId="77777777" w:rsidR="0070585C" w:rsidRPr="00FD4B97" w:rsidRDefault="0070585C" w:rsidP="00936F9F">
            <w:pPr>
              <w:ind w:left="13" w:hanging="13"/>
              <w:jc w:val="center"/>
              <w:rPr>
                <w:b/>
                <w:bCs/>
                <w:szCs w:val="24"/>
              </w:rPr>
            </w:pPr>
            <w:r w:rsidRPr="00FD4B97">
              <w:rPr>
                <w:b/>
                <w:bCs/>
                <w:szCs w:val="24"/>
              </w:rPr>
              <w:t>vč. odvodů</w:t>
            </w:r>
          </w:p>
          <w:p w14:paraId="5C9512AB"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5DFA187D" w14:textId="77777777" w:rsidR="0070585C" w:rsidRPr="00FD4B97" w:rsidRDefault="0070585C" w:rsidP="00936F9F">
            <w:pPr>
              <w:ind w:left="709" w:hanging="709"/>
              <w:jc w:val="center"/>
              <w:rPr>
                <w:b/>
                <w:bCs/>
                <w:color w:val="000000"/>
                <w:szCs w:val="24"/>
              </w:rPr>
            </w:pPr>
            <w:r w:rsidRPr="00FD4B97">
              <w:rPr>
                <w:b/>
                <w:bCs/>
                <w:color w:val="000000"/>
                <w:szCs w:val="24"/>
              </w:rPr>
              <w:t>ONIV</w:t>
            </w:r>
          </w:p>
          <w:p w14:paraId="5E8A629A" w14:textId="77777777" w:rsidR="0070585C" w:rsidRPr="00FD4B97" w:rsidRDefault="0070585C" w:rsidP="00936F9F">
            <w:pPr>
              <w:ind w:left="709" w:hanging="709"/>
              <w:jc w:val="center"/>
              <w:rPr>
                <w:b/>
                <w:bCs/>
                <w:szCs w:val="24"/>
              </w:rPr>
            </w:pPr>
            <w:r w:rsidRPr="00FD4B97">
              <w:rPr>
                <w:b/>
                <w:bCs/>
                <w:szCs w:val="24"/>
              </w:rPr>
              <w:t>celkem</w:t>
            </w:r>
          </w:p>
          <w:p w14:paraId="7DF59D0F"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529756F6" w14:textId="77777777" w:rsidR="0070585C" w:rsidRPr="00FD4B97" w:rsidRDefault="0070585C" w:rsidP="00936F9F">
            <w:pPr>
              <w:ind w:left="709" w:hanging="709"/>
              <w:jc w:val="center"/>
              <w:rPr>
                <w:b/>
                <w:bCs/>
                <w:color w:val="000000"/>
                <w:szCs w:val="24"/>
              </w:rPr>
            </w:pPr>
            <w:r w:rsidRPr="00FD4B97">
              <w:rPr>
                <w:b/>
                <w:bCs/>
                <w:color w:val="000000"/>
                <w:szCs w:val="24"/>
              </w:rPr>
              <w:t>Zam.</w:t>
            </w:r>
          </w:p>
          <w:p w14:paraId="12F007CB" w14:textId="77777777" w:rsidR="0070585C" w:rsidRPr="00FD4B97" w:rsidRDefault="0070585C" w:rsidP="00936F9F">
            <w:pPr>
              <w:ind w:left="709" w:hanging="709"/>
              <w:jc w:val="center"/>
              <w:rPr>
                <w:b/>
                <w:bCs/>
                <w:szCs w:val="24"/>
              </w:rPr>
            </w:pPr>
            <w:r w:rsidRPr="00FD4B97">
              <w:rPr>
                <w:b/>
                <w:bCs/>
                <w:szCs w:val="24"/>
              </w:rPr>
              <w:t> </w:t>
            </w:r>
          </w:p>
          <w:p w14:paraId="1D67A3DB" w14:textId="77777777" w:rsidR="0070585C" w:rsidRPr="00FD4B97" w:rsidRDefault="0070585C" w:rsidP="00936F9F">
            <w:pPr>
              <w:ind w:left="709" w:hanging="709"/>
              <w:jc w:val="center"/>
              <w:rPr>
                <w:rFonts w:ascii="Calibri" w:hAnsi="Calibri"/>
                <w:b/>
                <w:bCs/>
                <w:color w:val="000000"/>
                <w:szCs w:val="24"/>
              </w:rPr>
            </w:pPr>
            <w:r w:rsidRPr="00FD4B97">
              <w:rPr>
                <w:b/>
                <w:bCs/>
                <w:szCs w:val="24"/>
              </w:rPr>
              <w:t>Z./1000ž</w:t>
            </w:r>
          </w:p>
        </w:tc>
      </w:tr>
      <w:tr w:rsidR="0070585C" w:rsidRPr="00FD4B97" w14:paraId="236CA902" w14:textId="77777777" w:rsidTr="00F83DD6">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50B1FEB" w14:textId="77777777" w:rsidR="0070585C" w:rsidRPr="00FD4B97" w:rsidRDefault="0070585C" w:rsidP="00936F9F">
            <w:pPr>
              <w:ind w:left="709" w:hanging="709"/>
              <w:jc w:val="left"/>
              <w:rPr>
                <w:b/>
                <w:bCs/>
                <w:color w:val="000000"/>
                <w:szCs w:val="24"/>
              </w:rPr>
            </w:pPr>
            <w:r w:rsidRPr="00FD4B97">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6D4757A" w14:textId="77777777" w:rsidR="0070585C" w:rsidRPr="00FD4B97" w:rsidRDefault="0070585C" w:rsidP="00936F9F">
            <w:pPr>
              <w:jc w:val="right"/>
              <w:rPr>
                <w:b/>
                <w:szCs w:val="22"/>
              </w:rPr>
            </w:pP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FABB3F1" w14:textId="77777777" w:rsidR="0070585C" w:rsidRPr="00FD4B97" w:rsidRDefault="0070585C" w:rsidP="00936F9F">
            <w:pPr>
              <w:jc w:val="right"/>
              <w:rPr>
                <w:b/>
                <w:szCs w:val="22"/>
              </w:rPr>
            </w:pPr>
          </w:p>
        </w:tc>
        <w:tc>
          <w:tcPr>
            <w:tcW w:w="1276" w:type="dxa"/>
            <w:tcBorders>
              <w:top w:val="single" w:sz="8" w:space="0" w:color="auto"/>
              <w:left w:val="single" w:sz="8" w:space="0" w:color="auto"/>
              <w:bottom w:val="single" w:sz="4" w:space="0" w:color="auto"/>
              <w:right w:val="single" w:sz="8" w:space="0" w:color="auto"/>
            </w:tcBorders>
            <w:vAlign w:val="center"/>
          </w:tcPr>
          <w:p w14:paraId="59231099" w14:textId="77777777" w:rsidR="0070585C" w:rsidRPr="00FD4B97" w:rsidRDefault="0070585C" w:rsidP="00936F9F">
            <w:pPr>
              <w:jc w:val="right"/>
              <w:rPr>
                <w:b/>
                <w:szCs w:val="22"/>
              </w:rPr>
            </w:pPr>
          </w:p>
        </w:tc>
        <w:tc>
          <w:tcPr>
            <w:tcW w:w="1276" w:type="dxa"/>
            <w:tcBorders>
              <w:top w:val="single" w:sz="8" w:space="0" w:color="auto"/>
              <w:left w:val="single" w:sz="8" w:space="0" w:color="auto"/>
              <w:bottom w:val="single" w:sz="4" w:space="0" w:color="auto"/>
              <w:right w:val="single" w:sz="8" w:space="0" w:color="auto"/>
            </w:tcBorders>
            <w:vAlign w:val="center"/>
          </w:tcPr>
          <w:p w14:paraId="31409493" w14:textId="77777777" w:rsidR="0070585C" w:rsidRPr="00FD4B97" w:rsidRDefault="0070585C" w:rsidP="00936F9F">
            <w:pPr>
              <w:jc w:val="right"/>
              <w:rPr>
                <w:b/>
                <w:szCs w:val="22"/>
              </w:rPr>
            </w:pP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14:paraId="1590A0D3" w14:textId="77777777" w:rsidR="0070585C" w:rsidRPr="00FD4B97" w:rsidRDefault="0070585C" w:rsidP="00936F9F">
            <w:pPr>
              <w:jc w:val="right"/>
              <w:rPr>
                <w:szCs w:val="22"/>
              </w:rPr>
            </w:pP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87674D3" w14:textId="77777777" w:rsidR="0070585C" w:rsidRPr="003D55E3" w:rsidRDefault="0070585C" w:rsidP="00936F9F">
            <w:pPr>
              <w:jc w:val="right"/>
              <w:rPr>
                <w:szCs w:val="22"/>
              </w:rPr>
            </w:pPr>
            <w:r w:rsidRPr="003D55E3">
              <w:rPr>
                <w:szCs w:val="22"/>
              </w:rPr>
              <w:t>1,265</w:t>
            </w:r>
          </w:p>
        </w:tc>
      </w:tr>
      <w:tr w:rsidR="0070585C" w:rsidRPr="00FD4B97" w14:paraId="71B8A67A" w14:textId="77777777" w:rsidTr="00F83DD6">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A9C69DA" w14:textId="77777777" w:rsidR="0070585C" w:rsidRPr="00FD4B97" w:rsidRDefault="0070585C" w:rsidP="00936F9F">
            <w:pPr>
              <w:ind w:left="709" w:hanging="709"/>
              <w:jc w:val="left"/>
              <w:rPr>
                <w:b/>
                <w:bCs/>
                <w:color w:val="000000"/>
                <w:szCs w:val="24"/>
              </w:rPr>
            </w:pPr>
            <w:r w:rsidRPr="00FD4B97">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7D95858A" w14:textId="77777777" w:rsidR="0070585C" w:rsidRPr="00FD4B97" w:rsidRDefault="0070585C" w:rsidP="00936F9F">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C310BEC"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vAlign w:val="center"/>
          </w:tcPr>
          <w:p w14:paraId="30A34243"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vAlign w:val="center"/>
          </w:tcPr>
          <w:p w14:paraId="0231E2FA" w14:textId="77777777" w:rsidR="0070585C" w:rsidRPr="00FD4B97" w:rsidRDefault="0070585C" w:rsidP="00936F9F">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14:paraId="4EDD541B" w14:textId="77777777" w:rsidR="0070585C" w:rsidRPr="00FD4B97" w:rsidRDefault="0070585C" w:rsidP="00936F9F">
            <w:pPr>
              <w:jc w:val="right"/>
              <w:rPr>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1BF06E00" w14:textId="77777777" w:rsidR="0070585C" w:rsidRPr="003D55E3" w:rsidRDefault="0070585C" w:rsidP="00936F9F">
            <w:pPr>
              <w:jc w:val="right"/>
              <w:rPr>
                <w:szCs w:val="22"/>
              </w:rPr>
            </w:pPr>
            <w:r>
              <w:rPr>
                <w:szCs w:val="22"/>
              </w:rPr>
              <w:t>1,278</w:t>
            </w:r>
          </w:p>
        </w:tc>
      </w:tr>
      <w:tr w:rsidR="0070585C" w:rsidRPr="00FD4B97" w14:paraId="1B3BE28D" w14:textId="77777777" w:rsidTr="00F83DD6">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53D7842A" w14:textId="77777777" w:rsidR="0070585C" w:rsidRPr="00FD4B97" w:rsidRDefault="0070585C" w:rsidP="00936F9F">
            <w:pPr>
              <w:ind w:left="709" w:hanging="709"/>
              <w:jc w:val="left"/>
              <w:rPr>
                <w:b/>
                <w:bCs/>
                <w:color w:val="000000"/>
                <w:szCs w:val="24"/>
              </w:rPr>
            </w:pPr>
            <w:r w:rsidRPr="00FD4B97">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0DF62431" w14:textId="77777777" w:rsidR="0070585C" w:rsidRPr="00FD4B97" w:rsidRDefault="0070585C" w:rsidP="00936F9F">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6D7129D"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tcPr>
          <w:p w14:paraId="73F1EE51" w14:textId="77777777" w:rsidR="0070585C" w:rsidRPr="00FD4B97" w:rsidRDefault="0070585C" w:rsidP="00936F9F">
            <w:pPr>
              <w:jc w:val="right"/>
            </w:pPr>
          </w:p>
        </w:tc>
        <w:tc>
          <w:tcPr>
            <w:tcW w:w="1276" w:type="dxa"/>
            <w:tcBorders>
              <w:top w:val="nil"/>
              <w:left w:val="single" w:sz="8" w:space="0" w:color="auto"/>
              <w:bottom w:val="single" w:sz="4" w:space="0" w:color="auto"/>
              <w:right w:val="single" w:sz="8" w:space="0" w:color="auto"/>
            </w:tcBorders>
            <w:vAlign w:val="center"/>
          </w:tcPr>
          <w:p w14:paraId="23509F1A" w14:textId="77777777" w:rsidR="0070585C" w:rsidRPr="00FD4B97" w:rsidRDefault="0070585C" w:rsidP="00936F9F">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14:paraId="66F45DB8" w14:textId="77777777" w:rsidR="0070585C" w:rsidRPr="00FD4B97" w:rsidRDefault="0070585C" w:rsidP="00936F9F">
            <w:pPr>
              <w:jc w:val="right"/>
              <w:rPr>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47BC3B4D" w14:textId="77777777" w:rsidR="0070585C" w:rsidRPr="003D55E3" w:rsidRDefault="0070585C" w:rsidP="00936F9F">
            <w:pPr>
              <w:jc w:val="right"/>
              <w:rPr>
                <w:szCs w:val="22"/>
              </w:rPr>
            </w:pPr>
            <w:r>
              <w:rPr>
                <w:szCs w:val="22"/>
              </w:rPr>
              <w:t>1,442</w:t>
            </w:r>
          </w:p>
        </w:tc>
      </w:tr>
      <w:tr w:rsidR="0070585C" w:rsidRPr="00FD4B97" w14:paraId="7F113AA6" w14:textId="77777777" w:rsidTr="00F83DD6">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636EEC13" w14:textId="77777777" w:rsidR="0070585C" w:rsidRPr="00FD4B97" w:rsidRDefault="0070585C" w:rsidP="00936F9F">
            <w:pPr>
              <w:ind w:left="709" w:hanging="709"/>
              <w:jc w:val="left"/>
              <w:rPr>
                <w:b/>
                <w:bCs/>
                <w:color w:val="000000"/>
                <w:szCs w:val="24"/>
              </w:rPr>
            </w:pPr>
            <w:r w:rsidRPr="00FD4B97">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31637F3A" w14:textId="77777777" w:rsidR="0070585C" w:rsidRPr="00FD4B97" w:rsidRDefault="0070585C" w:rsidP="00936F9F">
            <w:pPr>
              <w:jc w:val="right"/>
              <w:rPr>
                <w:b/>
                <w:szCs w:val="22"/>
              </w:rPr>
            </w:pP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114A43E"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tcPr>
          <w:p w14:paraId="1FEDC600" w14:textId="77777777" w:rsidR="0070585C" w:rsidRPr="00FD4B97" w:rsidRDefault="0070585C" w:rsidP="00936F9F">
            <w:pPr>
              <w:jc w:val="right"/>
            </w:pPr>
          </w:p>
        </w:tc>
        <w:tc>
          <w:tcPr>
            <w:tcW w:w="1276" w:type="dxa"/>
            <w:tcBorders>
              <w:top w:val="nil"/>
              <w:left w:val="single" w:sz="8" w:space="0" w:color="auto"/>
              <w:bottom w:val="single" w:sz="4" w:space="0" w:color="auto"/>
              <w:right w:val="single" w:sz="8" w:space="0" w:color="auto"/>
            </w:tcBorders>
            <w:vAlign w:val="center"/>
          </w:tcPr>
          <w:p w14:paraId="7FD1C1EB" w14:textId="77777777" w:rsidR="0070585C" w:rsidRPr="00FD4B97" w:rsidRDefault="0070585C" w:rsidP="00936F9F">
            <w:pPr>
              <w:jc w:val="right"/>
              <w:rPr>
                <w:b/>
                <w:szCs w:val="22"/>
              </w:rPr>
            </w:pPr>
          </w:p>
        </w:tc>
        <w:tc>
          <w:tcPr>
            <w:tcW w:w="992" w:type="dxa"/>
            <w:tcBorders>
              <w:top w:val="nil"/>
              <w:left w:val="single" w:sz="8" w:space="0" w:color="auto"/>
              <w:bottom w:val="single" w:sz="4" w:space="0" w:color="auto"/>
              <w:right w:val="single" w:sz="8" w:space="0" w:color="auto"/>
            </w:tcBorders>
            <w:shd w:val="clear" w:color="auto" w:fill="auto"/>
            <w:noWrap/>
          </w:tcPr>
          <w:p w14:paraId="2D093EFF" w14:textId="77777777" w:rsidR="0070585C" w:rsidRPr="00FD4B97" w:rsidRDefault="0070585C" w:rsidP="00936F9F">
            <w:pPr>
              <w:jc w:val="right"/>
              <w:rPr>
                <w:b/>
                <w:szCs w:val="22"/>
              </w:rPr>
            </w:pP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6C28265" w14:textId="77777777" w:rsidR="0070585C" w:rsidRPr="003D55E3" w:rsidRDefault="0070585C" w:rsidP="00936F9F">
            <w:pPr>
              <w:jc w:val="right"/>
              <w:rPr>
                <w:szCs w:val="22"/>
              </w:rPr>
            </w:pPr>
            <w:r>
              <w:rPr>
                <w:szCs w:val="22"/>
              </w:rPr>
              <w:t>1,276</w:t>
            </w:r>
          </w:p>
        </w:tc>
      </w:tr>
      <w:tr w:rsidR="0070585C" w:rsidRPr="00FD4B97" w14:paraId="5EBFC2C5" w14:textId="77777777" w:rsidTr="00F83DD6">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303E9F7" w14:textId="77777777" w:rsidR="0070585C" w:rsidRPr="00FD4B97" w:rsidRDefault="0070585C" w:rsidP="00936F9F">
            <w:pPr>
              <w:ind w:left="709" w:hanging="709"/>
              <w:jc w:val="left"/>
              <w:rPr>
                <w:b/>
                <w:bCs/>
                <w:color w:val="000000"/>
                <w:szCs w:val="24"/>
              </w:rPr>
            </w:pPr>
            <w:r w:rsidRPr="00FD4B97">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583385B7" w14:textId="77777777" w:rsidR="0070585C" w:rsidRPr="00FD4B97" w:rsidRDefault="0070585C" w:rsidP="00936F9F">
            <w:pPr>
              <w:jc w:val="right"/>
              <w:rPr>
                <w:b/>
                <w:szCs w:val="22"/>
              </w:rPr>
            </w:pPr>
          </w:p>
        </w:tc>
        <w:tc>
          <w:tcPr>
            <w:tcW w:w="1275" w:type="dxa"/>
            <w:tcBorders>
              <w:top w:val="nil"/>
              <w:left w:val="single" w:sz="8" w:space="0" w:color="auto"/>
              <w:bottom w:val="single" w:sz="8" w:space="0" w:color="auto"/>
              <w:right w:val="single" w:sz="8" w:space="0" w:color="auto"/>
            </w:tcBorders>
            <w:shd w:val="clear" w:color="auto" w:fill="auto"/>
            <w:noWrap/>
            <w:vAlign w:val="center"/>
          </w:tcPr>
          <w:p w14:paraId="4B9DA747" w14:textId="77777777" w:rsidR="0070585C" w:rsidRPr="00FD4B97" w:rsidRDefault="0070585C" w:rsidP="00936F9F">
            <w:pPr>
              <w:jc w:val="right"/>
              <w:rPr>
                <w:b/>
                <w:szCs w:val="22"/>
              </w:rPr>
            </w:pPr>
          </w:p>
        </w:tc>
        <w:tc>
          <w:tcPr>
            <w:tcW w:w="1276" w:type="dxa"/>
            <w:tcBorders>
              <w:top w:val="nil"/>
              <w:left w:val="single" w:sz="8" w:space="0" w:color="auto"/>
              <w:bottom w:val="single" w:sz="8" w:space="0" w:color="auto"/>
              <w:right w:val="single" w:sz="8" w:space="0" w:color="auto"/>
            </w:tcBorders>
            <w:vAlign w:val="center"/>
          </w:tcPr>
          <w:p w14:paraId="7A273AE9" w14:textId="77777777" w:rsidR="0070585C" w:rsidRPr="00FD4B97" w:rsidRDefault="0070585C" w:rsidP="00936F9F">
            <w:pPr>
              <w:jc w:val="right"/>
              <w:rPr>
                <w:b/>
                <w:szCs w:val="22"/>
              </w:rPr>
            </w:pPr>
          </w:p>
        </w:tc>
        <w:tc>
          <w:tcPr>
            <w:tcW w:w="1276" w:type="dxa"/>
            <w:tcBorders>
              <w:top w:val="nil"/>
              <w:left w:val="single" w:sz="8" w:space="0" w:color="auto"/>
              <w:bottom w:val="single" w:sz="8" w:space="0" w:color="auto"/>
              <w:right w:val="single" w:sz="8" w:space="0" w:color="auto"/>
            </w:tcBorders>
            <w:vAlign w:val="center"/>
          </w:tcPr>
          <w:p w14:paraId="4E0C00F8" w14:textId="77777777" w:rsidR="0070585C" w:rsidRPr="00FD4B97" w:rsidRDefault="0070585C" w:rsidP="00936F9F">
            <w:pPr>
              <w:jc w:val="right"/>
              <w:rPr>
                <w:b/>
                <w:szCs w:val="22"/>
              </w:rPr>
            </w:pPr>
          </w:p>
        </w:tc>
        <w:tc>
          <w:tcPr>
            <w:tcW w:w="992" w:type="dxa"/>
            <w:tcBorders>
              <w:top w:val="nil"/>
              <w:left w:val="single" w:sz="8" w:space="0" w:color="auto"/>
              <w:bottom w:val="single" w:sz="8" w:space="0" w:color="auto"/>
              <w:right w:val="single" w:sz="8" w:space="0" w:color="auto"/>
            </w:tcBorders>
            <w:shd w:val="clear" w:color="auto" w:fill="auto"/>
            <w:noWrap/>
          </w:tcPr>
          <w:p w14:paraId="3D8DFB8B" w14:textId="77777777" w:rsidR="0070585C" w:rsidRPr="00FD4B97" w:rsidRDefault="0070585C" w:rsidP="00936F9F">
            <w:pPr>
              <w:jc w:val="right"/>
              <w:rPr>
                <w:b/>
                <w:szCs w:val="22"/>
              </w:rPr>
            </w:pP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0AF7C7FC" w14:textId="77777777" w:rsidR="0070585C" w:rsidRPr="003D55E3" w:rsidRDefault="0070585C" w:rsidP="00936F9F">
            <w:pPr>
              <w:jc w:val="right"/>
              <w:rPr>
                <w:szCs w:val="22"/>
              </w:rPr>
            </w:pPr>
            <w:r>
              <w:rPr>
                <w:szCs w:val="22"/>
              </w:rPr>
              <w:t>6,935</w:t>
            </w:r>
          </w:p>
        </w:tc>
      </w:tr>
    </w:tbl>
    <w:p w14:paraId="7D9FF08E" w14:textId="77777777" w:rsidR="0070585C" w:rsidRDefault="0070585C" w:rsidP="0070585C">
      <w:pPr>
        <w:pStyle w:val="Textpsmene"/>
        <w:numPr>
          <w:ilvl w:val="0"/>
          <w:numId w:val="0"/>
        </w:numPr>
        <w:ind w:left="709"/>
        <w:jc w:val="both"/>
        <w:rPr>
          <w:b/>
          <w:color w:val="000000"/>
          <w:szCs w:val="24"/>
          <w:highlight w:val="cyan"/>
        </w:rPr>
      </w:pPr>
    </w:p>
    <w:p w14:paraId="66BF0329" w14:textId="77777777" w:rsidR="00F83DD6" w:rsidRDefault="00F83DD6" w:rsidP="0070585C">
      <w:pPr>
        <w:pStyle w:val="Textpsmene"/>
        <w:numPr>
          <w:ilvl w:val="0"/>
          <w:numId w:val="0"/>
        </w:numPr>
        <w:ind w:left="709"/>
        <w:jc w:val="both"/>
        <w:rPr>
          <w:b/>
          <w:color w:val="000000"/>
          <w:szCs w:val="24"/>
          <w:highlight w:val="cyan"/>
        </w:rPr>
      </w:pPr>
    </w:p>
    <w:p w14:paraId="631C6377" w14:textId="77777777" w:rsidR="003D012B" w:rsidRDefault="003D012B" w:rsidP="0070585C">
      <w:pPr>
        <w:pStyle w:val="Textpsmene"/>
        <w:numPr>
          <w:ilvl w:val="0"/>
          <w:numId w:val="0"/>
        </w:numPr>
        <w:ind w:left="709"/>
        <w:jc w:val="both"/>
        <w:rPr>
          <w:b/>
          <w:color w:val="000000"/>
          <w:szCs w:val="24"/>
          <w:highlight w:val="cyan"/>
        </w:rPr>
      </w:pPr>
    </w:p>
    <w:p w14:paraId="7BDC747D" w14:textId="77777777" w:rsidR="0070585C" w:rsidRDefault="0070585C" w:rsidP="0070585C">
      <w:pPr>
        <w:pStyle w:val="Textpsmene"/>
        <w:numPr>
          <w:ilvl w:val="0"/>
          <w:numId w:val="0"/>
        </w:numPr>
        <w:ind w:left="360" w:hanging="360"/>
        <w:jc w:val="both"/>
        <w:rPr>
          <w:b/>
          <w:color w:val="000000"/>
          <w:szCs w:val="24"/>
        </w:rPr>
      </w:pPr>
      <w:r w:rsidRPr="00FD4B97">
        <w:rPr>
          <w:b/>
          <w:color w:val="000000"/>
          <w:szCs w:val="24"/>
        </w:rPr>
        <w:lastRenderedPageBreak/>
        <w:t xml:space="preserve">Po </w:t>
      </w:r>
      <w:r>
        <w:rPr>
          <w:b/>
          <w:color w:val="000000"/>
          <w:szCs w:val="24"/>
        </w:rPr>
        <w:t xml:space="preserve">čtvrté </w:t>
      </w:r>
      <w:r w:rsidRPr="00FD4B97">
        <w:rPr>
          <w:b/>
          <w:color w:val="000000"/>
          <w:szCs w:val="24"/>
        </w:rPr>
        <w:t>úpravě RN činí:</w:t>
      </w:r>
    </w:p>
    <w:tbl>
      <w:tblPr>
        <w:tblW w:w="8505" w:type="dxa"/>
        <w:tblInd w:w="70"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70585C" w:rsidRPr="00FD4B97" w14:paraId="00F96AB9" w14:textId="77777777" w:rsidTr="00F83DD6">
        <w:trPr>
          <w:trHeight w:val="112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6DD7D2" w14:textId="77777777" w:rsidR="0070585C" w:rsidRPr="00FD4B97" w:rsidRDefault="0070585C" w:rsidP="00936F9F">
            <w:pPr>
              <w:ind w:left="709" w:hanging="709"/>
              <w:jc w:val="center"/>
              <w:rPr>
                <w:b/>
                <w:bCs/>
                <w:color w:val="000000"/>
                <w:szCs w:val="24"/>
              </w:rPr>
            </w:pPr>
            <w:r w:rsidRPr="00FD4B97">
              <w:rPr>
                <w:b/>
                <w:bCs/>
                <w:color w:val="000000"/>
                <w:szCs w:val="24"/>
              </w:rPr>
              <w:t xml:space="preserve">Věková </w:t>
            </w:r>
          </w:p>
          <w:p w14:paraId="37FD693C" w14:textId="77777777" w:rsidR="0070585C" w:rsidRPr="00FD4B97" w:rsidRDefault="0070585C" w:rsidP="00936F9F">
            <w:pPr>
              <w:ind w:left="709" w:hanging="709"/>
              <w:jc w:val="center"/>
              <w:rPr>
                <w:b/>
                <w:bCs/>
                <w:szCs w:val="24"/>
              </w:rPr>
            </w:pPr>
            <w:r w:rsidRPr="00FD4B97">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BAE363" w14:textId="77777777" w:rsidR="0070585C" w:rsidRPr="00FD4B97" w:rsidRDefault="0070585C" w:rsidP="00936F9F">
            <w:pPr>
              <w:ind w:left="709" w:hanging="709"/>
              <w:jc w:val="center"/>
              <w:rPr>
                <w:b/>
                <w:bCs/>
                <w:color w:val="000000"/>
                <w:szCs w:val="24"/>
              </w:rPr>
            </w:pPr>
            <w:r w:rsidRPr="00FD4B97">
              <w:rPr>
                <w:b/>
                <w:bCs/>
                <w:color w:val="000000"/>
                <w:szCs w:val="24"/>
              </w:rPr>
              <w:t>NIV</w:t>
            </w:r>
          </w:p>
          <w:p w14:paraId="0FB21679" w14:textId="77777777" w:rsidR="0070585C" w:rsidRPr="00FD4B97" w:rsidRDefault="0070585C" w:rsidP="00936F9F">
            <w:pPr>
              <w:jc w:val="center"/>
              <w:rPr>
                <w:b/>
                <w:bCs/>
                <w:szCs w:val="24"/>
              </w:rPr>
            </w:pPr>
            <w:r w:rsidRPr="00FD4B97">
              <w:rPr>
                <w:b/>
                <w:bCs/>
                <w:szCs w:val="24"/>
              </w:rPr>
              <w:t>celkem</w:t>
            </w:r>
          </w:p>
          <w:p w14:paraId="3E14DAB4"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16EE74" w14:textId="77777777" w:rsidR="0070585C" w:rsidRPr="00FD4B97" w:rsidRDefault="0070585C" w:rsidP="00936F9F">
            <w:pPr>
              <w:ind w:left="709" w:hanging="709"/>
              <w:jc w:val="center"/>
              <w:rPr>
                <w:b/>
                <w:bCs/>
                <w:color w:val="000000"/>
                <w:szCs w:val="24"/>
              </w:rPr>
            </w:pPr>
            <w:r w:rsidRPr="00FD4B97">
              <w:rPr>
                <w:b/>
                <w:bCs/>
                <w:color w:val="000000"/>
                <w:szCs w:val="24"/>
              </w:rPr>
              <w:t>MP</w:t>
            </w:r>
          </w:p>
          <w:p w14:paraId="27C6A16C"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0A2B7871" w14:textId="77777777" w:rsidR="0070585C" w:rsidRPr="00FD4B97" w:rsidRDefault="0070585C" w:rsidP="00936F9F">
            <w:pPr>
              <w:jc w:val="center"/>
              <w:rPr>
                <w:b/>
                <w:bCs/>
                <w:szCs w:val="24"/>
              </w:rPr>
            </w:pPr>
            <w:r w:rsidRPr="00FD4B97">
              <w:rPr>
                <w:b/>
                <w:bCs/>
                <w:szCs w:val="24"/>
              </w:rPr>
              <w:t>vč. odvodů</w:t>
            </w:r>
          </w:p>
          <w:p w14:paraId="40B8301D"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751A90B0" w14:textId="77777777" w:rsidR="0070585C" w:rsidRPr="00FD4B97" w:rsidRDefault="0070585C" w:rsidP="00936F9F">
            <w:pPr>
              <w:ind w:left="709" w:hanging="709"/>
              <w:jc w:val="center"/>
              <w:rPr>
                <w:b/>
                <w:bCs/>
                <w:color w:val="000000"/>
                <w:szCs w:val="24"/>
              </w:rPr>
            </w:pPr>
            <w:r w:rsidRPr="00FD4B97">
              <w:rPr>
                <w:b/>
                <w:bCs/>
                <w:color w:val="000000"/>
                <w:szCs w:val="24"/>
              </w:rPr>
              <w:t>MPP</w:t>
            </w:r>
          </w:p>
          <w:p w14:paraId="172DAD12"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4E554C34" w14:textId="77777777" w:rsidR="0070585C" w:rsidRPr="00FD4B97" w:rsidRDefault="0070585C" w:rsidP="00936F9F">
            <w:pPr>
              <w:jc w:val="center"/>
              <w:rPr>
                <w:b/>
                <w:bCs/>
                <w:szCs w:val="24"/>
              </w:rPr>
            </w:pPr>
            <w:r w:rsidRPr="00FD4B97">
              <w:rPr>
                <w:b/>
                <w:bCs/>
                <w:szCs w:val="24"/>
              </w:rPr>
              <w:t>vč. odvodů</w:t>
            </w:r>
          </w:p>
          <w:p w14:paraId="3959375D"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2EADC7C6" w14:textId="77777777" w:rsidR="0070585C" w:rsidRPr="00FD4B97" w:rsidRDefault="0070585C" w:rsidP="00936F9F">
            <w:pPr>
              <w:ind w:left="709" w:hanging="709"/>
              <w:jc w:val="center"/>
              <w:rPr>
                <w:b/>
                <w:bCs/>
                <w:color w:val="000000"/>
                <w:szCs w:val="24"/>
              </w:rPr>
            </w:pPr>
            <w:r w:rsidRPr="00FD4B97">
              <w:rPr>
                <w:b/>
                <w:bCs/>
                <w:color w:val="000000"/>
                <w:szCs w:val="24"/>
              </w:rPr>
              <w:t>MPN</w:t>
            </w:r>
          </w:p>
          <w:p w14:paraId="5BD5BA5D" w14:textId="77777777" w:rsidR="0070585C" w:rsidRPr="00FD4B97" w:rsidRDefault="0070585C" w:rsidP="00936F9F">
            <w:pPr>
              <w:ind w:left="709" w:hanging="709"/>
              <w:jc w:val="center"/>
              <w:rPr>
                <w:b/>
                <w:bCs/>
                <w:color w:val="000000"/>
                <w:szCs w:val="24"/>
              </w:rPr>
            </w:pPr>
            <w:r w:rsidRPr="00FD4B97">
              <w:rPr>
                <w:b/>
                <w:bCs/>
                <w:color w:val="000000"/>
                <w:szCs w:val="24"/>
              </w:rPr>
              <w:t>celkem</w:t>
            </w:r>
          </w:p>
          <w:p w14:paraId="315B6DE8" w14:textId="77777777" w:rsidR="0070585C" w:rsidRPr="00FD4B97" w:rsidRDefault="0070585C" w:rsidP="00936F9F">
            <w:pPr>
              <w:ind w:left="13" w:hanging="13"/>
              <w:jc w:val="center"/>
              <w:rPr>
                <w:b/>
                <w:bCs/>
                <w:szCs w:val="24"/>
              </w:rPr>
            </w:pPr>
            <w:r w:rsidRPr="00FD4B97">
              <w:rPr>
                <w:b/>
                <w:bCs/>
                <w:szCs w:val="24"/>
              </w:rPr>
              <w:t>vč. odvodů</w:t>
            </w:r>
          </w:p>
          <w:p w14:paraId="1B943B3E" w14:textId="77777777" w:rsidR="0070585C" w:rsidRPr="00FD4B97" w:rsidRDefault="0070585C" w:rsidP="00936F9F">
            <w:pPr>
              <w:ind w:left="709" w:hanging="709"/>
              <w:jc w:val="center"/>
              <w:rPr>
                <w:b/>
                <w:bCs/>
                <w:color w:val="000000"/>
                <w:szCs w:val="24"/>
              </w:rPr>
            </w:pPr>
            <w:r w:rsidRPr="00FD4B97">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B18AD3" w14:textId="77777777" w:rsidR="0070585C" w:rsidRPr="00FD4B97" w:rsidRDefault="0070585C" w:rsidP="00936F9F">
            <w:pPr>
              <w:ind w:left="709" w:hanging="709"/>
              <w:jc w:val="center"/>
              <w:rPr>
                <w:rFonts w:ascii="Calibri" w:hAnsi="Calibri"/>
                <w:b/>
                <w:bCs/>
                <w:color w:val="000000"/>
                <w:szCs w:val="24"/>
              </w:rPr>
            </w:pPr>
            <w:r w:rsidRPr="00FD4B97">
              <w:rPr>
                <w:rFonts w:ascii="Calibri" w:hAnsi="Calibri"/>
                <w:b/>
                <w:bCs/>
                <w:color w:val="000000"/>
                <w:szCs w:val="24"/>
              </w:rPr>
              <w:t> </w:t>
            </w:r>
          </w:p>
          <w:p w14:paraId="56277733" w14:textId="77777777" w:rsidR="0070585C" w:rsidRPr="00FD4B97" w:rsidRDefault="0070585C" w:rsidP="00936F9F">
            <w:pPr>
              <w:ind w:left="709" w:hanging="709"/>
              <w:jc w:val="center"/>
              <w:rPr>
                <w:b/>
                <w:bCs/>
                <w:color w:val="000000"/>
                <w:szCs w:val="24"/>
              </w:rPr>
            </w:pPr>
            <w:r w:rsidRPr="00FD4B97">
              <w:rPr>
                <w:b/>
                <w:bCs/>
                <w:color w:val="000000"/>
                <w:szCs w:val="24"/>
              </w:rPr>
              <w:t>ONIV</w:t>
            </w:r>
          </w:p>
          <w:p w14:paraId="4314C25C" w14:textId="77777777" w:rsidR="0070585C" w:rsidRPr="00FD4B97" w:rsidRDefault="0070585C" w:rsidP="00936F9F">
            <w:pPr>
              <w:ind w:left="709" w:hanging="709"/>
              <w:jc w:val="center"/>
              <w:rPr>
                <w:b/>
                <w:bCs/>
                <w:szCs w:val="24"/>
              </w:rPr>
            </w:pPr>
            <w:r w:rsidRPr="00FD4B97">
              <w:rPr>
                <w:b/>
                <w:bCs/>
                <w:szCs w:val="24"/>
              </w:rPr>
              <w:t>celkem</w:t>
            </w:r>
          </w:p>
          <w:p w14:paraId="0E710D4E" w14:textId="77777777" w:rsidR="0070585C" w:rsidRPr="00FD4B97" w:rsidRDefault="0070585C" w:rsidP="00936F9F">
            <w:pPr>
              <w:ind w:left="709" w:hanging="709"/>
              <w:jc w:val="center"/>
              <w:rPr>
                <w:rFonts w:ascii="Calibri" w:hAnsi="Calibri"/>
                <w:b/>
                <w:bCs/>
                <w:color w:val="000000"/>
                <w:szCs w:val="24"/>
              </w:rPr>
            </w:pPr>
            <w:r w:rsidRPr="00FD4B97">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18208F" w14:textId="77777777" w:rsidR="0070585C" w:rsidRPr="00FD4B97" w:rsidRDefault="0070585C" w:rsidP="00936F9F">
            <w:pPr>
              <w:ind w:left="709" w:hanging="709"/>
              <w:jc w:val="center"/>
              <w:rPr>
                <w:b/>
                <w:bCs/>
                <w:color w:val="000000"/>
                <w:szCs w:val="24"/>
              </w:rPr>
            </w:pPr>
            <w:r w:rsidRPr="00FD4B97">
              <w:rPr>
                <w:b/>
                <w:bCs/>
                <w:color w:val="000000"/>
                <w:szCs w:val="24"/>
              </w:rPr>
              <w:t>Zam.</w:t>
            </w:r>
          </w:p>
          <w:p w14:paraId="12A5E2C5" w14:textId="77777777" w:rsidR="0070585C" w:rsidRPr="00FD4B97" w:rsidRDefault="0070585C" w:rsidP="00936F9F">
            <w:pPr>
              <w:ind w:left="709" w:hanging="709"/>
              <w:jc w:val="center"/>
              <w:rPr>
                <w:rFonts w:ascii="Calibri" w:hAnsi="Calibri"/>
                <w:b/>
                <w:bCs/>
                <w:color w:val="000000"/>
                <w:szCs w:val="24"/>
              </w:rPr>
            </w:pPr>
            <w:r w:rsidRPr="00FD4B97">
              <w:rPr>
                <w:b/>
                <w:bCs/>
                <w:szCs w:val="24"/>
              </w:rPr>
              <w:t>z./1000 ž.</w:t>
            </w:r>
          </w:p>
        </w:tc>
      </w:tr>
      <w:tr w:rsidR="0070585C" w:rsidRPr="00FD4B97" w14:paraId="0BF34854" w14:textId="77777777" w:rsidTr="00F83DD6">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B7FF5CC" w14:textId="77777777" w:rsidR="0070585C" w:rsidRPr="00FD4B97" w:rsidRDefault="0070585C" w:rsidP="00936F9F">
            <w:pPr>
              <w:ind w:left="709" w:hanging="709"/>
              <w:rPr>
                <w:b/>
                <w:bCs/>
                <w:color w:val="000000"/>
                <w:szCs w:val="24"/>
              </w:rPr>
            </w:pPr>
            <w:r w:rsidRPr="00FD4B97">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770594F5" w14:textId="77777777" w:rsidR="0070585C" w:rsidRPr="00FD4B97" w:rsidRDefault="0070585C" w:rsidP="00936F9F">
            <w:pPr>
              <w:jc w:val="right"/>
            </w:pPr>
            <w:r w:rsidRPr="00FD4B97">
              <w:t>58 191</w:t>
            </w:r>
          </w:p>
        </w:tc>
        <w:tc>
          <w:tcPr>
            <w:tcW w:w="1275" w:type="dxa"/>
            <w:tcBorders>
              <w:top w:val="single" w:sz="8" w:space="0" w:color="auto"/>
              <w:left w:val="single" w:sz="8" w:space="0" w:color="auto"/>
              <w:bottom w:val="single" w:sz="4" w:space="0" w:color="auto"/>
              <w:right w:val="single" w:sz="8" w:space="0" w:color="auto"/>
            </w:tcBorders>
            <w:shd w:val="clear" w:color="auto" w:fill="auto"/>
            <w:noWrap/>
          </w:tcPr>
          <w:p w14:paraId="2C307E81" w14:textId="77777777" w:rsidR="0070585C" w:rsidRPr="00FD4B97" w:rsidRDefault="0070585C" w:rsidP="00936F9F">
            <w:pPr>
              <w:jc w:val="right"/>
            </w:pPr>
            <w:r w:rsidRPr="00FD4B97">
              <w:t>57 650</w:t>
            </w:r>
          </w:p>
        </w:tc>
        <w:tc>
          <w:tcPr>
            <w:tcW w:w="1276" w:type="dxa"/>
            <w:tcBorders>
              <w:top w:val="single" w:sz="8" w:space="0" w:color="auto"/>
              <w:left w:val="single" w:sz="8" w:space="0" w:color="auto"/>
              <w:bottom w:val="single" w:sz="4" w:space="0" w:color="auto"/>
              <w:right w:val="single" w:sz="8" w:space="0" w:color="auto"/>
            </w:tcBorders>
          </w:tcPr>
          <w:p w14:paraId="5B71EC4F" w14:textId="77777777" w:rsidR="0070585C" w:rsidRPr="00FD4B97" w:rsidRDefault="0070585C" w:rsidP="00936F9F">
            <w:pPr>
              <w:jc w:val="right"/>
            </w:pPr>
            <w:r w:rsidRPr="00FD4B97">
              <w:t>44 763</w:t>
            </w:r>
          </w:p>
        </w:tc>
        <w:tc>
          <w:tcPr>
            <w:tcW w:w="1276" w:type="dxa"/>
            <w:tcBorders>
              <w:top w:val="single" w:sz="8" w:space="0" w:color="auto"/>
              <w:left w:val="single" w:sz="8" w:space="0" w:color="auto"/>
              <w:bottom w:val="single" w:sz="4" w:space="0" w:color="auto"/>
              <w:right w:val="single" w:sz="8" w:space="0" w:color="auto"/>
            </w:tcBorders>
          </w:tcPr>
          <w:p w14:paraId="3C837D8C" w14:textId="77777777" w:rsidR="0070585C" w:rsidRPr="00FD4B97" w:rsidRDefault="0070585C" w:rsidP="00936F9F">
            <w:pPr>
              <w:jc w:val="right"/>
            </w:pPr>
            <w:r w:rsidRPr="00FD4B97">
              <w:t>12 887</w:t>
            </w: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14:paraId="1B743E73" w14:textId="77777777" w:rsidR="0070585C" w:rsidRPr="00FD4B97" w:rsidRDefault="0070585C" w:rsidP="00936F9F">
            <w:pPr>
              <w:jc w:val="right"/>
            </w:pPr>
            <w:r w:rsidRPr="00FD4B97">
              <w:t>541</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14:paraId="558C8C68" w14:textId="77777777" w:rsidR="0070585C" w:rsidRPr="00FD4B97" w:rsidRDefault="0070585C" w:rsidP="00936F9F">
            <w:pPr>
              <w:jc w:val="right"/>
            </w:pPr>
            <w:r w:rsidRPr="00FD4B97">
              <w:t>12</w:t>
            </w:r>
            <w:r>
              <w:t>7,753</w:t>
            </w:r>
          </w:p>
        </w:tc>
      </w:tr>
      <w:tr w:rsidR="0070585C" w:rsidRPr="00FD4B97" w14:paraId="152DDC31"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F2A6A21" w14:textId="77777777" w:rsidR="0070585C" w:rsidRPr="00FD4B97" w:rsidRDefault="0070585C" w:rsidP="00936F9F">
            <w:pPr>
              <w:ind w:left="709" w:hanging="709"/>
              <w:rPr>
                <w:b/>
                <w:bCs/>
                <w:color w:val="000000"/>
                <w:szCs w:val="24"/>
              </w:rPr>
            </w:pPr>
            <w:r w:rsidRPr="00FD4B97">
              <w:rPr>
                <w:b/>
                <w:bCs/>
                <w:color w:val="000000"/>
                <w:szCs w:val="24"/>
              </w:rPr>
              <w:t>6 - 14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69361C86" w14:textId="77777777" w:rsidR="0070585C" w:rsidRPr="00FD4B97" w:rsidRDefault="0070585C" w:rsidP="00936F9F">
            <w:pPr>
              <w:jc w:val="right"/>
            </w:pPr>
            <w:r w:rsidRPr="00FD4B97">
              <w:t>74 069</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5BF124C8" w14:textId="77777777" w:rsidR="0070585C" w:rsidRPr="00FD4B97" w:rsidRDefault="0070585C" w:rsidP="00936F9F">
            <w:pPr>
              <w:jc w:val="right"/>
            </w:pPr>
            <w:r w:rsidRPr="00FD4B97">
              <w:t>72 933</w:t>
            </w:r>
          </w:p>
        </w:tc>
        <w:tc>
          <w:tcPr>
            <w:tcW w:w="1276" w:type="dxa"/>
            <w:tcBorders>
              <w:top w:val="single" w:sz="4" w:space="0" w:color="auto"/>
              <w:left w:val="single" w:sz="8" w:space="0" w:color="auto"/>
              <w:bottom w:val="single" w:sz="4" w:space="0" w:color="auto"/>
              <w:right w:val="single" w:sz="8" w:space="0" w:color="auto"/>
            </w:tcBorders>
          </w:tcPr>
          <w:p w14:paraId="4D1D0045" w14:textId="77777777" w:rsidR="0070585C" w:rsidRPr="00FD4B97" w:rsidRDefault="0070585C" w:rsidP="00936F9F">
            <w:pPr>
              <w:jc w:val="right"/>
            </w:pPr>
            <w:r w:rsidRPr="00FD4B97">
              <w:t>60 862</w:t>
            </w:r>
          </w:p>
        </w:tc>
        <w:tc>
          <w:tcPr>
            <w:tcW w:w="1276" w:type="dxa"/>
            <w:tcBorders>
              <w:top w:val="single" w:sz="4" w:space="0" w:color="auto"/>
              <w:left w:val="single" w:sz="8" w:space="0" w:color="auto"/>
              <w:bottom w:val="single" w:sz="4" w:space="0" w:color="auto"/>
              <w:right w:val="single" w:sz="8" w:space="0" w:color="auto"/>
            </w:tcBorders>
          </w:tcPr>
          <w:p w14:paraId="6CA03B51" w14:textId="77777777" w:rsidR="0070585C" w:rsidRPr="00FD4B97" w:rsidRDefault="0070585C" w:rsidP="00936F9F">
            <w:pPr>
              <w:jc w:val="right"/>
            </w:pPr>
            <w:r w:rsidRPr="00FD4B97">
              <w:t>12 071</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5A1093FA" w14:textId="77777777" w:rsidR="0070585C" w:rsidRPr="00FD4B97" w:rsidRDefault="0070585C" w:rsidP="00936F9F">
            <w:pPr>
              <w:jc w:val="right"/>
            </w:pPr>
            <w:r w:rsidRPr="00FD4B97">
              <w:t>1 136</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4909B9E8" w14:textId="77777777" w:rsidR="0070585C" w:rsidRPr="00FD4B97" w:rsidRDefault="0070585C" w:rsidP="00936F9F">
            <w:pPr>
              <w:jc w:val="right"/>
            </w:pPr>
            <w:r w:rsidRPr="00FD4B97">
              <w:t>12</w:t>
            </w:r>
            <w:r>
              <w:t>9,126</w:t>
            </w:r>
          </w:p>
        </w:tc>
      </w:tr>
      <w:tr w:rsidR="0070585C" w:rsidRPr="00FD4B97" w14:paraId="14AE5076"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B64EE4A" w14:textId="77777777" w:rsidR="0070585C" w:rsidRPr="00FD4B97" w:rsidRDefault="0070585C" w:rsidP="00936F9F">
            <w:pPr>
              <w:ind w:left="709" w:hanging="709"/>
              <w:rPr>
                <w:b/>
                <w:bCs/>
                <w:color w:val="000000"/>
                <w:szCs w:val="24"/>
              </w:rPr>
            </w:pPr>
            <w:r w:rsidRPr="00FD4B97">
              <w:rPr>
                <w:b/>
                <w:bCs/>
                <w:color w:val="000000"/>
                <w:szCs w:val="24"/>
              </w:rPr>
              <w:t>15 - 18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0A163FFD" w14:textId="77777777" w:rsidR="0070585C" w:rsidRPr="00FD4B97" w:rsidRDefault="0070585C" w:rsidP="00936F9F">
            <w:pPr>
              <w:jc w:val="right"/>
            </w:pPr>
            <w:r w:rsidRPr="00FD4B97">
              <w:t>86 461</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12A17BBE" w14:textId="77777777" w:rsidR="0070585C" w:rsidRPr="00FD4B97" w:rsidRDefault="0070585C" w:rsidP="00936F9F">
            <w:pPr>
              <w:jc w:val="right"/>
            </w:pPr>
            <w:r w:rsidRPr="00FD4B97">
              <w:t>85 344</w:t>
            </w:r>
          </w:p>
        </w:tc>
        <w:tc>
          <w:tcPr>
            <w:tcW w:w="1276" w:type="dxa"/>
            <w:tcBorders>
              <w:top w:val="single" w:sz="4" w:space="0" w:color="auto"/>
              <w:left w:val="single" w:sz="8" w:space="0" w:color="auto"/>
              <w:bottom w:val="single" w:sz="4" w:space="0" w:color="auto"/>
              <w:right w:val="single" w:sz="8" w:space="0" w:color="auto"/>
            </w:tcBorders>
          </w:tcPr>
          <w:p w14:paraId="5814EFA7" w14:textId="77777777" w:rsidR="0070585C" w:rsidRPr="00FD4B97" w:rsidRDefault="0070585C" w:rsidP="00936F9F">
            <w:pPr>
              <w:jc w:val="right"/>
            </w:pPr>
            <w:r w:rsidRPr="00FD4B97">
              <w:t>69 182</w:t>
            </w:r>
          </w:p>
        </w:tc>
        <w:tc>
          <w:tcPr>
            <w:tcW w:w="1276" w:type="dxa"/>
            <w:tcBorders>
              <w:top w:val="single" w:sz="4" w:space="0" w:color="auto"/>
              <w:left w:val="single" w:sz="8" w:space="0" w:color="auto"/>
              <w:bottom w:val="single" w:sz="4" w:space="0" w:color="auto"/>
              <w:right w:val="single" w:sz="8" w:space="0" w:color="auto"/>
            </w:tcBorders>
          </w:tcPr>
          <w:p w14:paraId="363ACC62" w14:textId="77777777" w:rsidR="0070585C" w:rsidRPr="00FD4B97" w:rsidRDefault="0070585C" w:rsidP="00936F9F">
            <w:pPr>
              <w:jc w:val="right"/>
            </w:pPr>
            <w:r w:rsidRPr="00FD4B97">
              <w:t>16 162</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08BFA8F7" w14:textId="77777777" w:rsidR="0070585C" w:rsidRPr="00FD4B97" w:rsidRDefault="0070585C" w:rsidP="00936F9F">
            <w:pPr>
              <w:jc w:val="right"/>
            </w:pPr>
            <w:r w:rsidRPr="00FD4B97">
              <w:t>1 117</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3BC1CBA5" w14:textId="77777777" w:rsidR="0070585C" w:rsidRPr="00FD4B97" w:rsidRDefault="0070585C" w:rsidP="00936F9F">
            <w:pPr>
              <w:jc w:val="right"/>
            </w:pPr>
            <w:r w:rsidRPr="00FD4B97">
              <w:t>14</w:t>
            </w:r>
            <w:r>
              <w:t>5,669</w:t>
            </w:r>
          </w:p>
        </w:tc>
      </w:tr>
      <w:tr w:rsidR="0070585C" w:rsidRPr="00FD4B97" w14:paraId="229A464A"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E517855" w14:textId="77777777" w:rsidR="0070585C" w:rsidRPr="00FD4B97" w:rsidRDefault="0070585C" w:rsidP="00936F9F">
            <w:pPr>
              <w:ind w:left="709" w:hanging="709"/>
              <w:rPr>
                <w:b/>
                <w:bCs/>
                <w:color w:val="000000"/>
                <w:szCs w:val="24"/>
              </w:rPr>
            </w:pPr>
            <w:r w:rsidRPr="00FD4B97">
              <w:rPr>
                <w:b/>
                <w:bCs/>
                <w:color w:val="000000"/>
                <w:szCs w:val="24"/>
              </w:rPr>
              <w:t>19 - 21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1682614C" w14:textId="77777777" w:rsidR="0070585C" w:rsidRPr="00FD4B97" w:rsidRDefault="0070585C" w:rsidP="00936F9F">
            <w:pPr>
              <w:jc w:val="right"/>
            </w:pPr>
            <w:r w:rsidRPr="00FD4B97">
              <w:t>73 986</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22DB635F" w14:textId="77777777" w:rsidR="0070585C" w:rsidRPr="00FD4B97" w:rsidRDefault="0070585C" w:rsidP="00936F9F">
            <w:pPr>
              <w:jc w:val="right"/>
            </w:pPr>
            <w:r w:rsidRPr="00FD4B97">
              <w:t>73 286</w:t>
            </w:r>
          </w:p>
        </w:tc>
        <w:tc>
          <w:tcPr>
            <w:tcW w:w="1276" w:type="dxa"/>
            <w:tcBorders>
              <w:top w:val="single" w:sz="4" w:space="0" w:color="auto"/>
              <w:left w:val="single" w:sz="8" w:space="0" w:color="auto"/>
              <w:bottom w:val="single" w:sz="4" w:space="0" w:color="auto"/>
              <w:right w:val="single" w:sz="8" w:space="0" w:color="auto"/>
            </w:tcBorders>
          </w:tcPr>
          <w:p w14:paraId="55800748" w14:textId="77777777" w:rsidR="0070585C" w:rsidRPr="00FD4B97" w:rsidRDefault="0070585C" w:rsidP="00936F9F">
            <w:pPr>
              <w:jc w:val="right"/>
            </w:pPr>
            <w:r w:rsidRPr="00FD4B97">
              <w:t>61 064</w:t>
            </w:r>
          </w:p>
        </w:tc>
        <w:tc>
          <w:tcPr>
            <w:tcW w:w="1276" w:type="dxa"/>
            <w:tcBorders>
              <w:top w:val="single" w:sz="4" w:space="0" w:color="auto"/>
              <w:left w:val="single" w:sz="8" w:space="0" w:color="auto"/>
              <w:bottom w:val="single" w:sz="4" w:space="0" w:color="auto"/>
              <w:right w:val="single" w:sz="8" w:space="0" w:color="auto"/>
            </w:tcBorders>
          </w:tcPr>
          <w:p w14:paraId="2BA431D8" w14:textId="77777777" w:rsidR="0070585C" w:rsidRPr="00FD4B97" w:rsidRDefault="0070585C" w:rsidP="00936F9F">
            <w:pPr>
              <w:jc w:val="right"/>
            </w:pPr>
            <w:r w:rsidRPr="00FD4B97">
              <w:t>12 222</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5518F965" w14:textId="77777777" w:rsidR="0070585C" w:rsidRPr="00FD4B97" w:rsidRDefault="0070585C" w:rsidP="00936F9F">
            <w:pPr>
              <w:jc w:val="right"/>
            </w:pPr>
            <w:r w:rsidRPr="00FD4B97">
              <w:t>700</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3A246DEF" w14:textId="77777777" w:rsidR="0070585C" w:rsidRPr="00FD4B97" w:rsidRDefault="0070585C" w:rsidP="00936F9F">
            <w:pPr>
              <w:jc w:val="right"/>
            </w:pPr>
            <w:r w:rsidRPr="00FD4B97">
              <w:t>12</w:t>
            </w:r>
            <w:r>
              <w:t>8,889</w:t>
            </w:r>
          </w:p>
        </w:tc>
      </w:tr>
      <w:tr w:rsidR="0070585C" w:rsidRPr="00FD4B97" w14:paraId="4AF42D43" w14:textId="77777777" w:rsidTr="00F83DD6">
        <w:trPr>
          <w:trHeight w:hRule="exact" w:val="284"/>
        </w:trPr>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3873DE8" w14:textId="77777777" w:rsidR="0070585C" w:rsidRPr="00FD4B97" w:rsidRDefault="0070585C" w:rsidP="00936F9F">
            <w:pPr>
              <w:ind w:left="709" w:hanging="709"/>
              <w:rPr>
                <w:b/>
                <w:bCs/>
                <w:color w:val="000000"/>
                <w:szCs w:val="24"/>
              </w:rPr>
            </w:pPr>
            <w:r w:rsidRPr="00FD4B97">
              <w:rPr>
                <w:b/>
                <w:bCs/>
                <w:color w:val="000000"/>
                <w:szCs w:val="24"/>
              </w:rPr>
              <w:t>KZÚV</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465EA986" w14:textId="77777777" w:rsidR="0070585C" w:rsidRPr="00FD4B97" w:rsidRDefault="0070585C" w:rsidP="00936F9F">
            <w:pPr>
              <w:jc w:val="right"/>
            </w:pPr>
            <w:r w:rsidRPr="00FD4B97">
              <w:t>352 778</w:t>
            </w:r>
          </w:p>
        </w:tc>
        <w:tc>
          <w:tcPr>
            <w:tcW w:w="1275" w:type="dxa"/>
            <w:tcBorders>
              <w:top w:val="single" w:sz="4" w:space="0" w:color="auto"/>
              <w:left w:val="single" w:sz="8" w:space="0" w:color="auto"/>
              <w:bottom w:val="single" w:sz="8" w:space="0" w:color="auto"/>
              <w:right w:val="single" w:sz="8" w:space="0" w:color="auto"/>
            </w:tcBorders>
            <w:shd w:val="clear" w:color="auto" w:fill="auto"/>
            <w:noWrap/>
          </w:tcPr>
          <w:p w14:paraId="389A5505" w14:textId="77777777" w:rsidR="0070585C" w:rsidRPr="00FD4B97" w:rsidRDefault="0070585C" w:rsidP="00936F9F">
            <w:pPr>
              <w:jc w:val="right"/>
            </w:pPr>
            <w:r w:rsidRPr="00FD4B97">
              <w:t>350 278</w:t>
            </w:r>
          </w:p>
        </w:tc>
        <w:tc>
          <w:tcPr>
            <w:tcW w:w="1276" w:type="dxa"/>
            <w:tcBorders>
              <w:top w:val="single" w:sz="4" w:space="0" w:color="auto"/>
              <w:left w:val="single" w:sz="8" w:space="0" w:color="auto"/>
              <w:bottom w:val="single" w:sz="8" w:space="0" w:color="auto"/>
              <w:right w:val="single" w:sz="8" w:space="0" w:color="auto"/>
            </w:tcBorders>
          </w:tcPr>
          <w:p w14:paraId="13BC6468" w14:textId="77777777" w:rsidR="0070585C" w:rsidRPr="00FD4B97" w:rsidRDefault="0070585C" w:rsidP="00936F9F">
            <w:pPr>
              <w:jc w:val="right"/>
            </w:pPr>
            <w:r w:rsidRPr="00FD4B97">
              <w:t>257 964</w:t>
            </w:r>
          </w:p>
        </w:tc>
        <w:tc>
          <w:tcPr>
            <w:tcW w:w="1276" w:type="dxa"/>
            <w:tcBorders>
              <w:top w:val="single" w:sz="4" w:space="0" w:color="auto"/>
              <w:left w:val="single" w:sz="8" w:space="0" w:color="auto"/>
              <w:bottom w:val="single" w:sz="8" w:space="0" w:color="auto"/>
              <w:right w:val="single" w:sz="8" w:space="0" w:color="auto"/>
            </w:tcBorders>
          </w:tcPr>
          <w:p w14:paraId="3D64971D" w14:textId="77777777" w:rsidR="0070585C" w:rsidRPr="00FD4B97" w:rsidRDefault="0070585C" w:rsidP="00936F9F">
            <w:pPr>
              <w:jc w:val="right"/>
            </w:pPr>
            <w:r w:rsidRPr="00FD4B97">
              <w:t>92 314</w:t>
            </w:r>
          </w:p>
        </w:tc>
        <w:tc>
          <w:tcPr>
            <w:tcW w:w="992" w:type="dxa"/>
            <w:tcBorders>
              <w:top w:val="single" w:sz="4" w:space="0" w:color="auto"/>
              <w:left w:val="single" w:sz="8" w:space="0" w:color="auto"/>
              <w:bottom w:val="single" w:sz="8" w:space="0" w:color="auto"/>
              <w:right w:val="single" w:sz="8" w:space="0" w:color="auto"/>
            </w:tcBorders>
            <w:shd w:val="clear" w:color="auto" w:fill="auto"/>
            <w:noWrap/>
          </w:tcPr>
          <w:p w14:paraId="57060941" w14:textId="77777777" w:rsidR="0070585C" w:rsidRPr="00FD4B97" w:rsidRDefault="0070585C" w:rsidP="00936F9F">
            <w:pPr>
              <w:jc w:val="right"/>
            </w:pPr>
            <w:r w:rsidRPr="00FD4B97">
              <w:t>2 500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14:paraId="1D9DD4AA" w14:textId="77777777" w:rsidR="0070585C" w:rsidRPr="00FD4B97" w:rsidRDefault="0070585C" w:rsidP="00936F9F">
            <w:pPr>
              <w:jc w:val="right"/>
            </w:pPr>
            <w:r>
              <w:t>700,394</w:t>
            </w:r>
          </w:p>
        </w:tc>
      </w:tr>
    </w:tbl>
    <w:p w14:paraId="14794353" w14:textId="77777777" w:rsidR="0070585C" w:rsidRDefault="0070585C" w:rsidP="0070585C">
      <w:pPr>
        <w:rPr>
          <w:color w:val="000000"/>
          <w:szCs w:val="24"/>
          <w:u w:val="single"/>
        </w:rPr>
      </w:pPr>
    </w:p>
    <w:p w14:paraId="5880F836" w14:textId="77777777" w:rsidR="00F83DD6" w:rsidRDefault="00F83DD6" w:rsidP="0070585C">
      <w:pPr>
        <w:rPr>
          <w:color w:val="000000"/>
          <w:szCs w:val="24"/>
          <w:u w:val="single"/>
        </w:rPr>
      </w:pPr>
    </w:p>
    <w:p w14:paraId="71C8C7DF" w14:textId="77777777" w:rsidR="0070585C" w:rsidRDefault="0070585C" w:rsidP="0070585C">
      <w:pPr>
        <w:tabs>
          <w:tab w:val="center" w:pos="4819"/>
        </w:tabs>
        <w:rPr>
          <w:b/>
          <w:color w:val="000000"/>
          <w:szCs w:val="24"/>
        </w:rPr>
      </w:pPr>
      <w:r w:rsidRPr="00D94F03">
        <w:rPr>
          <w:b/>
          <w:color w:val="000000"/>
          <w:szCs w:val="24"/>
        </w:rPr>
        <w:t>Sečtením výše uvedených kroků úpravy RN pak celková změna RN 2019 oproti RN 2018 činí:</w:t>
      </w:r>
    </w:p>
    <w:tbl>
      <w:tblPr>
        <w:tblW w:w="8505" w:type="dxa"/>
        <w:tblInd w:w="70"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70585C" w:rsidRPr="008B42CF" w14:paraId="7FBA5D6C" w14:textId="77777777" w:rsidTr="00F83DD6">
        <w:trPr>
          <w:trHeight w:val="112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A8A9C7" w14:textId="77777777" w:rsidR="0070585C" w:rsidRPr="00AC3FA9" w:rsidRDefault="0070585C" w:rsidP="00936F9F">
            <w:pPr>
              <w:ind w:left="709" w:hanging="709"/>
              <w:jc w:val="center"/>
              <w:rPr>
                <w:b/>
                <w:bCs/>
                <w:color w:val="000000"/>
                <w:szCs w:val="24"/>
              </w:rPr>
            </w:pPr>
            <w:r w:rsidRPr="00AC3FA9">
              <w:rPr>
                <w:b/>
                <w:bCs/>
                <w:color w:val="000000"/>
                <w:szCs w:val="24"/>
              </w:rPr>
              <w:t xml:space="preserve">Věková </w:t>
            </w:r>
          </w:p>
          <w:p w14:paraId="67860331" w14:textId="77777777" w:rsidR="0070585C" w:rsidRPr="00AC3FA9" w:rsidRDefault="0070585C" w:rsidP="00936F9F">
            <w:pPr>
              <w:ind w:left="709" w:hanging="709"/>
              <w:jc w:val="center"/>
              <w:rPr>
                <w:b/>
                <w:bCs/>
                <w:szCs w:val="24"/>
              </w:rPr>
            </w:pPr>
            <w:r w:rsidRPr="00AC3FA9">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356F15" w14:textId="77777777" w:rsidR="0070585C" w:rsidRPr="00AC3FA9" w:rsidRDefault="0070585C" w:rsidP="00936F9F">
            <w:pPr>
              <w:ind w:left="709" w:hanging="709"/>
              <w:jc w:val="center"/>
              <w:rPr>
                <w:b/>
                <w:bCs/>
                <w:color w:val="000000"/>
                <w:szCs w:val="24"/>
              </w:rPr>
            </w:pPr>
            <w:r w:rsidRPr="00AC3FA9">
              <w:rPr>
                <w:b/>
                <w:bCs/>
                <w:color w:val="000000"/>
                <w:szCs w:val="24"/>
              </w:rPr>
              <w:t>NIV</w:t>
            </w:r>
          </w:p>
          <w:p w14:paraId="6BF32AE7" w14:textId="77777777" w:rsidR="0070585C" w:rsidRPr="00AC3FA9" w:rsidRDefault="0070585C" w:rsidP="00936F9F">
            <w:pPr>
              <w:jc w:val="center"/>
              <w:rPr>
                <w:b/>
                <w:bCs/>
                <w:szCs w:val="24"/>
              </w:rPr>
            </w:pPr>
            <w:r w:rsidRPr="00AC3FA9">
              <w:rPr>
                <w:b/>
                <w:bCs/>
                <w:szCs w:val="24"/>
              </w:rPr>
              <w:t>celkem</w:t>
            </w:r>
          </w:p>
          <w:p w14:paraId="6AC1DB8C" w14:textId="77777777" w:rsidR="0070585C" w:rsidRPr="00AC3FA9" w:rsidRDefault="0070585C" w:rsidP="00936F9F">
            <w:pPr>
              <w:ind w:left="709" w:hanging="709"/>
              <w:jc w:val="center"/>
              <w:rPr>
                <w:rFonts w:ascii="Calibri" w:hAnsi="Calibri"/>
                <w:b/>
                <w:bCs/>
                <w:color w:val="000000"/>
                <w:szCs w:val="24"/>
              </w:rPr>
            </w:pPr>
            <w:r w:rsidRPr="00AC3FA9">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107EF9" w14:textId="77777777" w:rsidR="0070585C" w:rsidRPr="00AC3FA9" w:rsidRDefault="0070585C" w:rsidP="00936F9F">
            <w:pPr>
              <w:ind w:left="709" w:hanging="709"/>
              <w:jc w:val="center"/>
              <w:rPr>
                <w:b/>
                <w:bCs/>
                <w:color w:val="000000"/>
                <w:szCs w:val="24"/>
              </w:rPr>
            </w:pPr>
            <w:r w:rsidRPr="00AC3FA9">
              <w:rPr>
                <w:b/>
                <w:bCs/>
                <w:color w:val="000000"/>
                <w:szCs w:val="24"/>
              </w:rPr>
              <w:t>MP</w:t>
            </w:r>
          </w:p>
          <w:p w14:paraId="55E3ECA0" w14:textId="77777777" w:rsidR="0070585C" w:rsidRPr="00AC3FA9" w:rsidRDefault="0070585C" w:rsidP="00936F9F">
            <w:pPr>
              <w:ind w:left="709" w:hanging="709"/>
              <w:jc w:val="center"/>
              <w:rPr>
                <w:b/>
                <w:bCs/>
                <w:color w:val="000000"/>
                <w:szCs w:val="24"/>
              </w:rPr>
            </w:pPr>
            <w:r w:rsidRPr="00AC3FA9">
              <w:rPr>
                <w:b/>
                <w:bCs/>
                <w:color w:val="000000"/>
                <w:szCs w:val="24"/>
              </w:rPr>
              <w:t>celkem</w:t>
            </w:r>
          </w:p>
          <w:p w14:paraId="23F98B9F" w14:textId="77777777" w:rsidR="0070585C" w:rsidRPr="00AC3FA9" w:rsidRDefault="0070585C" w:rsidP="00936F9F">
            <w:pPr>
              <w:jc w:val="center"/>
              <w:rPr>
                <w:b/>
                <w:bCs/>
                <w:szCs w:val="24"/>
              </w:rPr>
            </w:pPr>
            <w:r w:rsidRPr="00AC3FA9">
              <w:rPr>
                <w:b/>
                <w:bCs/>
                <w:szCs w:val="24"/>
              </w:rPr>
              <w:t>vč. odvodů</w:t>
            </w:r>
          </w:p>
          <w:p w14:paraId="376E0FE7" w14:textId="77777777" w:rsidR="0070585C" w:rsidRPr="00AC3FA9" w:rsidRDefault="0070585C" w:rsidP="00936F9F">
            <w:pPr>
              <w:ind w:left="709" w:hanging="709"/>
              <w:jc w:val="center"/>
              <w:rPr>
                <w:b/>
                <w:bCs/>
                <w:color w:val="000000"/>
                <w:szCs w:val="24"/>
              </w:rPr>
            </w:pPr>
            <w:r w:rsidRPr="00AC3FA9">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1464F327" w14:textId="77777777" w:rsidR="0070585C" w:rsidRPr="00AC3FA9" w:rsidRDefault="0070585C" w:rsidP="00936F9F">
            <w:pPr>
              <w:ind w:left="709" w:hanging="709"/>
              <w:jc w:val="center"/>
              <w:rPr>
                <w:b/>
                <w:bCs/>
                <w:color w:val="000000"/>
                <w:szCs w:val="24"/>
              </w:rPr>
            </w:pPr>
            <w:r w:rsidRPr="00AC3FA9">
              <w:rPr>
                <w:b/>
                <w:bCs/>
                <w:color w:val="000000"/>
                <w:szCs w:val="24"/>
              </w:rPr>
              <w:t>MPP</w:t>
            </w:r>
          </w:p>
          <w:p w14:paraId="7FD0D7A9" w14:textId="77777777" w:rsidR="0070585C" w:rsidRPr="00AC3FA9" w:rsidRDefault="0070585C" w:rsidP="00936F9F">
            <w:pPr>
              <w:ind w:left="709" w:hanging="709"/>
              <w:jc w:val="center"/>
              <w:rPr>
                <w:b/>
                <w:bCs/>
                <w:color w:val="000000"/>
                <w:szCs w:val="24"/>
              </w:rPr>
            </w:pPr>
            <w:r w:rsidRPr="00AC3FA9">
              <w:rPr>
                <w:b/>
                <w:bCs/>
                <w:color w:val="000000"/>
                <w:szCs w:val="24"/>
              </w:rPr>
              <w:t>celkem</w:t>
            </w:r>
          </w:p>
          <w:p w14:paraId="09EE6CF4" w14:textId="77777777" w:rsidR="0070585C" w:rsidRPr="00AC3FA9" w:rsidRDefault="0070585C" w:rsidP="00F83DD6">
            <w:pPr>
              <w:jc w:val="left"/>
              <w:rPr>
                <w:b/>
                <w:bCs/>
                <w:szCs w:val="24"/>
              </w:rPr>
            </w:pPr>
            <w:r w:rsidRPr="00AC3FA9">
              <w:rPr>
                <w:b/>
                <w:bCs/>
                <w:szCs w:val="24"/>
              </w:rPr>
              <w:t>vč. odvodů</w:t>
            </w:r>
          </w:p>
          <w:p w14:paraId="1AD6782D" w14:textId="77777777" w:rsidR="0070585C" w:rsidRPr="00AC3FA9" w:rsidRDefault="0070585C" w:rsidP="00936F9F">
            <w:pPr>
              <w:ind w:left="709" w:hanging="709"/>
              <w:jc w:val="center"/>
              <w:rPr>
                <w:b/>
                <w:bCs/>
                <w:color w:val="000000"/>
                <w:szCs w:val="24"/>
              </w:rPr>
            </w:pPr>
            <w:r w:rsidRPr="00AC3FA9">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30CD1E48" w14:textId="77777777" w:rsidR="0070585C" w:rsidRPr="00AC3FA9" w:rsidRDefault="0070585C" w:rsidP="00936F9F">
            <w:pPr>
              <w:ind w:left="709" w:hanging="709"/>
              <w:jc w:val="center"/>
              <w:rPr>
                <w:b/>
                <w:bCs/>
                <w:color w:val="000000"/>
                <w:szCs w:val="24"/>
              </w:rPr>
            </w:pPr>
            <w:r w:rsidRPr="00AC3FA9">
              <w:rPr>
                <w:b/>
                <w:bCs/>
                <w:color w:val="000000"/>
                <w:szCs w:val="24"/>
              </w:rPr>
              <w:t>MPN</w:t>
            </w:r>
          </w:p>
          <w:p w14:paraId="480F7205" w14:textId="77777777" w:rsidR="0070585C" w:rsidRPr="00AC3FA9" w:rsidRDefault="0070585C" w:rsidP="00936F9F">
            <w:pPr>
              <w:ind w:left="709" w:hanging="709"/>
              <w:jc w:val="center"/>
              <w:rPr>
                <w:b/>
                <w:bCs/>
                <w:color w:val="000000"/>
                <w:szCs w:val="24"/>
              </w:rPr>
            </w:pPr>
            <w:r w:rsidRPr="00AC3FA9">
              <w:rPr>
                <w:b/>
                <w:bCs/>
                <w:color w:val="000000"/>
                <w:szCs w:val="24"/>
              </w:rPr>
              <w:t>celkem</w:t>
            </w:r>
          </w:p>
          <w:p w14:paraId="1395F6B2" w14:textId="77777777" w:rsidR="0070585C" w:rsidRPr="00AC3FA9" w:rsidRDefault="0070585C" w:rsidP="00936F9F">
            <w:pPr>
              <w:ind w:left="13" w:hanging="13"/>
              <w:jc w:val="center"/>
              <w:rPr>
                <w:b/>
                <w:bCs/>
                <w:szCs w:val="24"/>
              </w:rPr>
            </w:pPr>
            <w:r w:rsidRPr="00AC3FA9">
              <w:rPr>
                <w:b/>
                <w:bCs/>
                <w:szCs w:val="24"/>
              </w:rPr>
              <w:t>vč. odvodů</w:t>
            </w:r>
          </w:p>
          <w:p w14:paraId="7B25CC13" w14:textId="77777777" w:rsidR="0070585C" w:rsidRPr="00AC3FA9" w:rsidRDefault="0070585C" w:rsidP="00936F9F">
            <w:pPr>
              <w:ind w:left="709" w:hanging="709"/>
              <w:jc w:val="center"/>
              <w:rPr>
                <w:b/>
                <w:bCs/>
                <w:color w:val="000000"/>
                <w:szCs w:val="24"/>
              </w:rPr>
            </w:pPr>
            <w:r w:rsidRPr="00AC3FA9">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12E4B1" w14:textId="77777777" w:rsidR="0070585C" w:rsidRPr="00AC3FA9" w:rsidRDefault="0070585C" w:rsidP="00936F9F">
            <w:pPr>
              <w:ind w:left="709" w:hanging="709"/>
              <w:jc w:val="center"/>
              <w:rPr>
                <w:rFonts w:ascii="Calibri" w:hAnsi="Calibri"/>
                <w:b/>
                <w:bCs/>
                <w:color w:val="000000"/>
                <w:szCs w:val="24"/>
              </w:rPr>
            </w:pPr>
            <w:r w:rsidRPr="00AC3FA9">
              <w:rPr>
                <w:rFonts w:ascii="Calibri" w:hAnsi="Calibri"/>
                <w:b/>
                <w:bCs/>
                <w:color w:val="000000"/>
                <w:szCs w:val="24"/>
              </w:rPr>
              <w:t> </w:t>
            </w:r>
          </w:p>
          <w:p w14:paraId="13DC5ACE" w14:textId="77777777" w:rsidR="0070585C" w:rsidRPr="00AC3FA9" w:rsidRDefault="0070585C" w:rsidP="00936F9F">
            <w:pPr>
              <w:ind w:left="709" w:hanging="709"/>
              <w:jc w:val="center"/>
              <w:rPr>
                <w:b/>
                <w:bCs/>
                <w:color w:val="000000"/>
                <w:szCs w:val="24"/>
              </w:rPr>
            </w:pPr>
            <w:r w:rsidRPr="00AC3FA9">
              <w:rPr>
                <w:b/>
                <w:bCs/>
                <w:color w:val="000000"/>
                <w:szCs w:val="24"/>
              </w:rPr>
              <w:t>ONIV</w:t>
            </w:r>
          </w:p>
          <w:p w14:paraId="07945819" w14:textId="77777777" w:rsidR="0070585C" w:rsidRPr="00AC3FA9" w:rsidRDefault="0070585C" w:rsidP="00936F9F">
            <w:pPr>
              <w:ind w:left="709" w:hanging="709"/>
              <w:jc w:val="center"/>
              <w:rPr>
                <w:b/>
                <w:bCs/>
                <w:szCs w:val="24"/>
              </w:rPr>
            </w:pPr>
            <w:r w:rsidRPr="00AC3FA9">
              <w:rPr>
                <w:b/>
                <w:bCs/>
                <w:szCs w:val="24"/>
              </w:rPr>
              <w:t>celkem</w:t>
            </w:r>
          </w:p>
          <w:p w14:paraId="61046097" w14:textId="77777777" w:rsidR="0070585C" w:rsidRPr="00AC3FA9" w:rsidRDefault="0070585C" w:rsidP="00936F9F">
            <w:pPr>
              <w:ind w:left="709" w:hanging="709"/>
              <w:jc w:val="center"/>
              <w:rPr>
                <w:rFonts w:ascii="Calibri" w:hAnsi="Calibri"/>
                <w:b/>
                <w:bCs/>
                <w:color w:val="000000"/>
                <w:szCs w:val="24"/>
              </w:rPr>
            </w:pPr>
            <w:r w:rsidRPr="00AC3FA9">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FA72D1" w14:textId="77777777" w:rsidR="0070585C" w:rsidRPr="00AC3FA9" w:rsidRDefault="0070585C" w:rsidP="00936F9F">
            <w:pPr>
              <w:ind w:left="709" w:hanging="709"/>
              <w:jc w:val="center"/>
              <w:rPr>
                <w:b/>
                <w:bCs/>
                <w:color w:val="000000"/>
                <w:szCs w:val="24"/>
              </w:rPr>
            </w:pPr>
            <w:r w:rsidRPr="00AC3FA9">
              <w:rPr>
                <w:b/>
                <w:bCs/>
                <w:color w:val="000000"/>
                <w:szCs w:val="24"/>
              </w:rPr>
              <w:t>Zam.</w:t>
            </w:r>
          </w:p>
          <w:p w14:paraId="4613C6B1" w14:textId="77777777" w:rsidR="0070585C" w:rsidRPr="00AC3FA9" w:rsidRDefault="0070585C" w:rsidP="00936F9F">
            <w:pPr>
              <w:ind w:left="709" w:hanging="709"/>
              <w:jc w:val="center"/>
              <w:rPr>
                <w:rFonts w:ascii="Calibri" w:hAnsi="Calibri"/>
                <w:b/>
                <w:bCs/>
                <w:color w:val="000000"/>
                <w:szCs w:val="24"/>
              </w:rPr>
            </w:pPr>
            <w:r w:rsidRPr="00AC3FA9">
              <w:rPr>
                <w:b/>
                <w:bCs/>
                <w:szCs w:val="24"/>
              </w:rPr>
              <w:t>z./1000 ž.</w:t>
            </w:r>
          </w:p>
        </w:tc>
      </w:tr>
      <w:tr w:rsidR="0070585C" w:rsidRPr="008B42CF" w14:paraId="5AD8E848" w14:textId="77777777" w:rsidTr="00F83DD6">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B9EF25E" w14:textId="77777777" w:rsidR="0070585C" w:rsidRPr="00AC3FA9" w:rsidRDefault="0070585C" w:rsidP="00936F9F">
            <w:pPr>
              <w:ind w:left="709" w:hanging="709"/>
              <w:rPr>
                <w:b/>
                <w:bCs/>
                <w:color w:val="000000"/>
                <w:szCs w:val="24"/>
              </w:rPr>
            </w:pPr>
            <w:r w:rsidRPr="00AC3FA9">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tcPr>
          <w:p w14:paraId="0BC4DCFD" w14:textId="77777777" w:rsidR="0070585C" w:rsidRPr="00BF62E3" w:rsidRDefault="0070585C" w:rsidP="00936F9F">
            <w:pPr>
              <w:jc w:val="right"/>
            </w:pPr>
            <w:r w:rsidRPr="00BF62E3">
              <w:t>7 251</w:t>
            </w:r>
          </w:p>
        </w:tc>
        <w:tc>
          <w:tcPr>
            <w:tcW w:w="1275" w:type="dxa"/>
            <w:tcBorders>
              <w:top w:val="single" w:sz="8" w:space="0" w:color="auto"/>
              <w:left w:val="single" w:sz="8" w:space="0" w:color="auto"/>
              <w:bottom w:val="single" w:sz="4" w:space="0" w:color="auto"/>
              <w:right w:val="single" w:sz="8" w:space="0" w:color="auto"/>
            </w:tcBorders>
            <w:shd w:val="clear" w:color="auto" w:fill="auto"/>
            <w:noWrap/>
          </w:tcPr>
          <w:p w14:paraId="1A5E8B69" w14:textId="77777777" w:rsidR="0070585C" w:rsidRPr="00A70D72" w:rsidRDefault="0070585C" w:rsidP="00936F9F">
            <w:pPr>
              <w:jc w:val="right"/>
            </w:pPr>
            <w:r w:rsidRPr="00A70D72">
              <w:t>7 209</w:t>
            </w:r>
          </w:p>
        </w:tc>
        <w:tc>
          <w:tcPr>
            <w:tcW w:w="1276" w:type="dxa"/>
            <w:tcBorders>
              <w:top w:val="single" w:sz="8" w:space="0" w:color="auto"/>
              <w:left w:val="single" w:sz="8" w:space="0" w:color="auto"/>
              <w:bottom w:val="single" w:sz="4" w:space="0" w:color="auto"/>
              <w:right w:val="single" w:sz="8" w:space="0" w:color="auto"/>
            </w:tcBorders>
          </w:tcPr>
          <w:p w14:paraId="38170925" w14:textId="77777777" w:rsidR="0070585C" w:rsidRPr="00A70D72" w:rsidRDefault="0070585C" w:rsidP="00936F9F">
            <w:pPr>
              <w:jc w:val="right"/>
            </w:pPr>
            <w:r w:rsidRPr="00A70D72">
              <w:t>6 037</w:t>
            </w:r>
          </w:p>
        </w:tc>
        <w:tc>
          <w:tcPr>
            <w:tcW w:w="1276" w:type="dxa"/>
            <w:tcBorders>
              <w:top w:val="single" w:sz="8" w:space="0" w:color="auto"/>
              <w:left w:val="single" w:sz="8" w:space="0" w:color="auto"/>
              <w:bottom w:val="single" w:sz="4" w:space="0" w:color="auto"/>
              <w:right w:val="single" w:sz="8" w:space="0" w:color="auto"/>
            </w:tcBorders>
          </w:tcPr>
          <w:p w14:paraId="66C6ADA6" w14:textId="77777777" w:rsidR="0070585C" w:rsidRPr="00A70D72" w:rsidRDefault="0070585C" w:rsidP="00936F9F">
            <w:pPr>
              <w:jc w:val="right"/>
            </w:pPr>
            <w:r w:rsidRPr="00A70D72">
              <w:t>1 172</w:t>
            </w: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14:paraId="6F00B802" w14:textId="77777777" w:rsidR="0070585C" w:rsidRPr="00BF62E3" w:rsidRDefault="0070585C" w:rsidP="00936F9F">
            <w:pPr>
              <w:jc w:val="right"/>
            </w:pPr>
            <w:r w:rsidRPr="00BF62E3">
              <w:t>42</w:t>
            </w:r>
          </w:p>
        </w:tc>
        <w:tc>
          <w:tcPr>
            <w:tcW w:w="1276" w:type="dxa"/>
            <w:tcBorders>
              <w:top w:val="single" w:sz="8" w:space="0" w:color="auto"/>
              <w:left w:val="single" w:sz="8" w:space="0" w:color="auto"/>
              <w:bottom w:val="single" w:sz="4" w:space="0" w:color="auto"/>
              <w:right w:val="single" w:sz="8" w:space="0" w:color="auto"/>
            </w:tcBorders>
            <w:shd w:val="clear" w:color="auto" w:fill="auto"/>
            <w:noWrap/>
          </w:tcPr>
          <w:p w14:paraId="09A0047D" w14:textId="77777777" w:rsidR="0070585C" w:rsidRPr="000E2781" w:rsidRDefault="0070585C" w:rsidP="00936F9F">
            <w:pPr>
              <w:jc w:val="right"/>
            </w:pPr>
            <w:r w:rsidRPr="000E2781">
              <w:t>2,627</w:t>
            </w:r>
          </w:p>
        </w:tc>
      </w:tr>
      <w:tr w:rsidR="0070585C" w:rsidRPr="008B42CF" w14:paraId="4B5F16ED"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E53E6D3" w14:textId="77777777" w:rsidR="0070585C" w:rsidRPr="00AC3FA9" w:rsidRDefault="0070585C" w:rsidP="00936F9F">
            <w:pPr>
              <w:ind w:left="709" w:hanging="709"/>
              <w:rPr>
                <w:b/>
                <w:bCs/>
                <w:color w:val="000000"/>
                <w:szCs w:val="24"/>
              </w:rPr>
            </w:pPr>
            <w:r w:rsidRPr="00AC3FA9">
              <w:rPr>
                <w:b/>
                <w:bCs/>
                <w:color w:val="000000"/>
                <w:szCs w:val="24"/>
              </w:rPr>
              <w:t>6 - 14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03CB103C" w14:textId="77777777" w:rsidR="0070585C" w:rsidRPr="00BF62E3" w:rsidRDefault="0070585C" w:rsidP="00936F9F">
            <w:pPr>
              <w:jc w:val="right"/>
            </w:pPr>
            <w:r w:rsidRPr="00BF62E3">
              <w:t>9 468</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203A90A3" w14:textId="77777777" w:rsidR="0070585C" w:rsidRPr="00A70D72" w:rsidRDefault="0070585C" w:rsidP="00936F9F">
            <w:pPr>
              <w:jc w:val="right"/>
            </w:pPr>
            <w:r w:rsidRPr="00A70D72">
              <w:t>9 409</w:t>
            </w:r>
          </w:p>
        </w:tc>
        <w:tc>
          <w:tcPr>
            <w:tcW w:w="1276" w:type="dxa"/>
            <w:tcBorders>
              <w:top w:val="single" w:sz="4" w:space="0" w:color="auto"/>
              <w:left w:val="single" w:sz="8" w:space="0" w:color="auto"/>
              <w:bottom w:val="single" w:sz="4" w:space="0" w:color="auto"/>
              <w:right w:val="single" w:sz="8" w:space="0" w:color="auto"/>
            </w:tcBorders>
          </w:tcPr>
          <w:p w14:paraId="01CB7198" w14:textId="77777777" w:rsidR="0070585C" w:rsidRPr="00A70D72" w:rsidRDefault="0070585C" w:rsidP="00936F9F">
            <w:pPr>
              <w:jc w:val="right"/>
            </w:pPr>
            <w:r w:rsidRPr="00A70D72">
              <w:t>8 312</w:t>
            </w:r>
          </w:p>
        </w:tc>
        <w:tc>
          <w:tcPr>
            <w:tcW w:w="1276" w:type="dxa"/>
            <w:tcBorders>
              <w:top w:val="single" w:sz="4" w:space="0" w:color="auto"/>
              <w:left w:val="single" w:sz="8" w:space="0" w:color="auto"/>
              <w:bottom w:val="single" w:sz="4" w:space="0" w:color="auto"/>
              <w:right w:val="single" w:sz="8" w:space="0" w:color="auto"/>
            </w:tcBorders>
          </w:tcPr>
          <w:p w14:paraId="74D1866B" w14:textId="77777777" w:rsidR="0070585C" w:rsidRPr="00A70D72" w:rsidRDefault="0070585C" w:rsidP="00936F9F">
            <w:pPr>
              <w:jc w:val="right"/>
            </w:pPr>
            <w:r w:rsidRPr="00A70D72">
              <w:t>1 097</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251EAB8A" w14:textId="77777777" w:rsidR="0070585C" w:rsidRPr="00BF62E3" w:rsidRDefault="0070585C" w:rsidP="00936F9F">
            <w:pPr>
              <w:jc w:val="right"/>
            </w:pPr>
            <w:r w:rsidRPr="00BF62E3">
              <w:t>59</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24A7907F" w14:textId="77777777" w:rsidR="0070585C" w:rsidRPr="000E2781" w:rsidRDefault="0070585C" w:rsidP="00936F9F">
            <w:pPr>
              <w:jc w:val="right"/>
            </w:pPr>
            <w:r w:rsidRPr="000E2781">
              <w:t>3,391</w:t>
            </w:r>
          </w:p>
        </w:tc>
      </w:tr>
      <w:tr w:rsidR="0070585C" w:rsidRPr="008B42CF" w14:paraId="7BEB3D47"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9FF642E" w14:textId="77777777" w:rsidR="0070585C" w:rsidRPr="00AC3FA9" w:rsidRDefault="0070585C" w:rsidP="00936F9F">
            <w:pPr>
              <w:ind w:left="709" w:hanging="709"/>
              <w:rPr>
                <w:b/>
                <w:bCs/>
                <w:color w:val="000000"/>
                <w:szCs w:val="24"/>
              </w:rPr>
            </w:pPr>
            <w:r w:rsidRPr="00AC3FA9">
              <w:rPr>
                <w:b/>
                <w:bCs/>
                <w:color w:val="000000"/>
                <w:szCs w:val="24"/>
              </w:rPr>
              <w:t>15 - 18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75B309A1" w14:textId="77777777" w:rsidR="0070585C" w:rsidRPr="00BF62E3" w:rsidRDefault="0070585C" w:rsidP="00936F9F">
            <w:pPr>
              <w:jc w:val="right"/>
            </w:pPr>
            <w:r w:rsidRPr="00BF62E3">
              <w:t>10 112</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70856C48" w14:textId="77777777" w:rsidR="0070585C" w:rsidRPr="00A70D72" w:rsidRDefault="0070585C" w:rsidP="00936F9F">
            <w:pPr>
              <w:jc w:val="right"/>
            </w:pPr>
            <w:r w:rsidRPr="00A70D72">
              <w:t>10 062</w:t>
            </w:r>
          </w:p>
        </w:tc>
        <w:tc>
          <w:tcPr>
            <w:tcW w:w="1276" w:type="dxa"/>
            <w:tcBorders>
              <w:top w:val="single" w:sz="4" w:space="0" w:color="auto"/>
              <w:left w:val="single" w:sz="8" w:space="0" w:color="auto"/>
              <w:bottom w:val="single" w:sz="4" w:space="0" w:color="auto"/>
              <w:right w:val="single" w:sz="8" w:space="0" w:color="auto"/>
            </w:tcBorders>
          </w:tcPr>
          <w:p w14:paraId="4997FDAB" w14:textId="77777777" w:rsidR="0070585C" w:rsidRPr="00A70D72" w:rsidRDefault="0070585C" w:rsidP="00936F9F">
            <w:pPr>
              <w:jc w:val="right"/>
            </w:pPr>
            <w:r w:rsidRPr="00A70D72">
              <w:t>8 593</w:t>
            </w:r>
          </w:p>
        </w:tc>
        <w:tc>
          <w:tcPr>
            <w:tcW w:w="1276" w:type="dxa"/>
            <w:tcBorders>
              <w:top w:val="single" w:sz="4" w:space="0" w:color="auto"/>
              <w:left w:val="single" w:sz="8" w:space="0" w:color="auto"/>
              <w:bottom w:val="single" w:sz="4" w:space="0" w:color="auto"/>
              <w:right w:val="single" w:sz="8" w:space="0" w:color="auto"/>
            </w:tcBorders>
          </w:tcPr>
          <w:p w14:paraId="66EB582B" w14:textId="77777777" w:rsidR="0070585C" w:rsidRPr="00A70D72" w:rsidRDefault="0070585C" w:rsidP="00936F9F">
            <w:pPr>
              <w:jc w:val="right"/>
            </w:pPr>
            <w:r w:rsidRPr="00A70D72">
              <w:t>1 469</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6DA25BA9" w14:textId="77777777" w:rsidR="0070585C" w:rsidRPr="00BF62E3" w:rsidRDefault="0070585C" w:rsidP="00936F9F">
            <w:pPr>
              <w:jc w:val="right"/>
            </w:pPr>
            <w:r w:rsidRPr="00BF62E3">
              <w:t>50</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08A34DC5" w14:textId="77777777" w:rsidR="0070585C" w:rsidRPr="000E2781" w:rsidRDefault="0070585C" w:rsidP="00936F9F">
            <w:pPr>
              <w:jc w:val="right"/>
            </w:pPr>
            <w:r w:rsidRPr="000E2781">
              <w:t>1,688</w:t>
            </w:r>
          </w:p>
        </w:tc>
      </w:tr>
      <w:tr w:rsidR="0070585C" w:rsidRPr="008B42CF" w14:paraId="5DB1D9C1" w14:textId="77777777" w:rsidTr="00F83DD6">
        <w:trPr>
          <w:trHeight w:hRule="exact" w:val="284"/>
        </w:trPr>
        <w:tc>
          <w:tcPr>
            <w:tcW w:w="12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A9ACE46" w14:textId="77777777" w:rsidR="0070585C" w:rsidRPr="00AC3FA9" w:rsidRDefault="0070585C" w:rsidP="00936F9F">
            <w:pPr>
              <w:ind w:left="709" w:hanging="709"/>
              <w:rPr>
                <w:b/>
                <w:bCs/>
                <w:color w:val="000000"/>
                <w:szCs w:val="24"/>
              </w:rPr>
            </w:pPr>
            <w:r w:rsidRPr="00AC3FA9">
              <w:rPr>
                <w:b/>
                <w:bCs/>
                <w:color w:val="000000"/>
                <w:szCs w:val="24"/>
              </w:rPr>
              <w:t>19 - 21 let</w:t>
            </w:r>
          </w:p>
        </w:tc>
        <w:tc>
          <w:tcPr>
            <w:tcW w:w="1134" w:type="dxa"/>
            <w:tcBorders>
              <w:top w:val="single" w:sz="4" w:space="0" w:color="auto"/>
              <w:left w:val="single" w:sz="8" w:space="0" w:color="auto"/>
              <w:bottom w:val="single" w:sz="4" w:space="0" w:color="auto"/>
              <w:right w:val="single" w:sz="8" w:space="0" w:color="auto"/>
            </w:tcBorders>
            <w:shd w:val="clear" w:color="auto" w:fill="auto"/>
            <w:noWrap/>
          </w:tcPr>
          <w:p w14:paraId="6FE8021B" w14:textId="77777777" w:rsidR="0070585C" w:rsidRPr="00BF62E3" w:rsidRDefault="0070585C" w:rsidP="00936F9F">
            <w:pPr>
              <w:jc w:val="right"/>
            </w:pPr>
            <w:r w:rsidRPr="00BF62E3">
              <w:t>8 610</w:t>
            </w:r>
          </w:p>
        </w:tc>
        <w:tc>
          <w:tcPr>
            <w:tcW w:w="1275" w:type="dxa"/>
            <w:tcBorders>
              <w:top w:val="single" w:sz="4" w:space="0" w:color="auto"/>
              <w:left w:val="single" w:sz="8" w:space="0" w:color="auto"/>
              <w:bottom w:val="single" w:sz="4" w:space="0" w:color="auto"/>
              <w:right w:val="single" w:sz="8" w:space="0" w:color="auto"/>
            </w:tcBorders>
            <w:shd w:val="clear" w:color="auto" w:fill="auto"/>
            <w:noWrap/>
          </w:tcPr>
          <w:p w14:paraId="32A5CC3B" w14:textId="77777777" w:rsidR="0070585C" w:rsidRPr="00A70D72" w:rsidRDefault="0070585C" w:rsidP="00936F9F">
            <w:pPr>
              <w:jc w:val="right"/>
            </w:pPr>
            <w:r w:rsidRPr="00A70D72">
              <w:t>8 610</w:t>
            </w:r>
          </w:p>
        </w:tc>
        <w:tc>
          <w:tcPr>
            <w:tcW w:w="1276" w:type="dxa"/>
            <w:tcBorders>
              <w:top w:val="single" w:sz="4" w:space="0" w:color="auto"/>
              <w:left w:val="single" w:sz="8" w:space="0" w:color="auto"/>
              <w:bottom w:val="single" w:sz="4" w:space="0" w:color="auto"/>
              <w:right w:val="single" w:sz="8" w:space="0" w:color="auto"/>
            </w:tcBorders>
          </w:tcPr>
          <w:p w14:paraId="1D98C82E" w14:textId="77777777" w:rsidR="0070585C" w:rsidRPr="00A70D72" w:rsidRDefault="0070585C" w:rsidP="00936F9F">
            <w:pPr>
              <w:jc w:val="right"/>
            </w:pPr>
            <w:r w:rsidRPr="00A70D72">
              <w:t>7 499</w:t>
            </w:r>
          </w:p>
        </w:tc>
        <w:tc>
          <w:tcPr>
            <w:tcW w:w="1276" w:type="dxa"/>
            <w:tcBorders>
              <w:top w:val="single" w:sz="4" w:space="0" w:color="auto"/>
              <w:left w:val="single" w:sz="8" w:space="0" w:color="auto"/>
              <w:bottom w:val="single" w:sz="4" w:space="0" w:color="auto"/>
              <w:right w:val="single" w:sz="8" w:space="0" w:color="auto"/>
            </w:tcBorders>
          </w:tcPr>
          <w:p w14:paraId="094450E6" w14:textId="77777777" w:rsidR="0070585C" w:rsidRPr="00A70D72" w:rsidRDefault="0070585C" w:rsidP="00936F9F">
            <w:pPr>
              <w:jc w:val="right"/>
            </w:pPr>
            <w:r w:rsidRPr="00A70D72">
              <w:t>1 111</w:t>
            </w:r>
          </w:p>
        </w:tc>
        <w:tc>
          <w:tcPr>
            <w:tcW w:w="992" w:type="dxa"/>
            <w:tcBorders>
              <w:top w:val="single" w:sz="4" w:space="0" w:color="auto"/>
              <w:left w:val="single" w:sz="8" w:space="0" w:color="auto"/>
              <w:bottom w:val="single" w:sz="4" w:space="0" w:color="auto"/>
              <w:right w:val="single" w:sz="8" w:space="0" w:color="auto"/>
            </w:tcBorders>
            <w:shd w:val="clear" w:color="auto" w:fill="auto"/>
            <w:noWrap/>
          </w:tcPr>
          <w:p w14:paraId="1CE04646" w14:textId="77777777" w:rsidR="0070585C" w:rsidRPr="00BF62E3" w:rsidRDefault="0070585C" w:rsidP="00936F9F">
            <w:pPr>
              <w:jc w:val="right"/>
            </w:pPr>
            <w:r w:rsidRPr="00BF62E3">
              <w:t>0</w:t>
            </w:r>
          </w:p>
        </w:tc>
        <w:tc>
          <w:tcPr>
            <w:tcW w:w="1276" w:type="dxa"/>
            <w:tcBorders>
              <w:top w:val="single" w:sz="4" w:space="0" w:color="auto"/>
              <w:left w:val="single" w:sz="8" w:space="0" w:color="auto"/>
              <w:bottom w:val="single" w:sz="4" w:space="0" w:color="auto"/>
              <w:right w:val="single" w:sz="8" w:space="0" w:color="auto"/>
            </w:tcBorders>
            <w:shd w:val="clear" w:color="auto" w:fill="auto"/>
            <w:noWrap/>
          </w:tcPr>
          <w:p w14:paraId="62F4A02D" w14:textId="77777777" w:rsidR="0070585C" w:rsidRPr="000E2781" w:rsidRDefault="0070585C" w:rsidP="00936F9F">
            <w:pPr>
              <w:jc w:val="right"/>
            </w:pPr>
            <w:r w:rsidRPr="000E2781">
              <w:t>1,276</w:t>
            </w:r>
          </w:p>
        </w:tc>
      </w:tr>
      <w:tr w:rsidR="0070585C" w:rsidRPr="008B42CF" w14:paraId="497A400A" w14:textId="77777777" w:rsidTr="00F83DD6">
        <w:trPr>
          <w:trHeight w:hRule="exact" w:val="284"/>
        </w:trPr>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AFBA12D" w14:textId="77777777" w:rsidR="0070585C" w:rsidRPr="00AC3FA9" w:rsidRDefault="0070585C" w:rsidP="00936F9F">
            <w:pPr>
              <w:ind w:left="709" w:hanging="709"/>
              <w:rPr>
                <w:b/>
                <w:bCs/>
                <w:color w:val="000000"/>
                <w:szCs w:val="24"/>
              </w:rPr>
            </w:pPr>
            <w:r w:rsidRPr="00AC3FA9">
              <w:rPr>
                <w:b/>
                <w:bCs/>
                <w:color w:val="000000"/>
                <w:szCs w:val="24"/>
              </w:rPr>
              <w:t>KZÚV</w:t>
            </w:r>
          </w:p>
        </w:tc>
        <w:tc>
          <w:tcPr>
            <w:tcW w:w="1134" w:type="dxa"/>
            <w:tcBorders>
              <w:top w:val="single" w:sz="4" w:space="0" w:color="auto"/>
              <w:left w:val="single" w:sz="8" w:space="0" w:color="auto"/>
              <w:bottom w:val="single" w:sz="8" w:space="0" w:color="auto"/>
              <w:right w:val="single" w:sz="8" w:space="0" w:color="auto"/>
            </w:tcBorders>
            <w:shd w:val="clear" w:color="auto" w:fill="auto"/>
            <w:noWrap/>
          </w:tcPr>
          <w:p w14:paraId="7262E993" w14:textId="77777777" w:rsidR="0070585C" w:rsidRPr="00BF62E3" w:rsidRDefault="0070585C" w:rsidP="00936F9F">
            <w:pPr>
              <w:jc w:val="right"/>
            </w:pPr>
            <w:r w:rsidRPr="00BF62E3">
              <w:t>40 072</w:t>
            </w:r>
          </w:p>
        </w:tc>
        <w:tc>
          <w:tcPr>
            <w:tcW w:w="1275" w:type="dxa"/>
            <w:tcBorders>
              <w:top w:val="single" w:sz="4" w:space="0" w:color="auto"/>
              <w:left w:val="single" w:sz="8" w:space="0" w:color="auto"/>
              <w:bottom w:val="single" w:sz="8" w:space="0" w:color="auto"/>
              <w:right w:val="single" w:sz="8" w:space="0" w:color="auto"/>
            </w:tcBorders>
            <w:shd w:val="clear" w:color="auto" w:fill="auto"/>
            <w:noWrap/>
          </w:tcPr>
          <w:p w14:paraId="57A7AF60" w14:textId="77777777" w:rsidR="0070585C" w:rsidRPr="00A70D72" w:rsidRDefault="0070585C" w:rsidP="00936F9F">
            <w:pPr>
              <w:jc w:val="right"/>
            </w:pPr>
            <w:r w:rsidRPr="00A70D72">
              <w:t>40 072</w:t>
            </w:r>
          </w:p>
        </w:tc>
        <w:tc>
          <w:tcPr>
            <w:tcW w:w="1276" w:type="dxa"/>
            <w:tcBorders>
              <w:top w:val="single" w:sz="4" w:space="0" w:color="auto"/>
              <w:left w:val="single" w:sz="8" w:space="0" w:color="auto"/>
              <w:bottom w:val="single" w:sz="8" w:space="0" w:color="auto"/>
              <w:right w:val="single" w:sz="8" w:space="0" w:color="auto"/>
            </w:tcBorders>
          </w:tcPr>
          <w:p w14:paraId="56FFE332" w14:textId="77777777" w:rsidR="0070585C" w:rsidRPr="00A70D72" w:rsidRDefault="0070585C" w:rsidP="00936F9F">
            <w:pPr>
              <w:jc w:val="right"/>
            </w:pPr>
            <w:r w:rsidRPr="00A70D72">
              <w:t>31 680</w:t>
            </w:r>
          </w:p>
        </w:tc>
        <w:tc>
          <w:tcPr>
            <w:tcW w:w="1276" w:type="dxa"/>
            <w:tcBorders>
              <w:top w:val="single" w:sz="4" w:space="0" w:color="auto"/>
              <w:left w:val="single" w:sz="8" w:space="0" w:color="auto"/>
              <w:bottom w:val="single" w:sz="8" w:space="0" w:color="auto"/>
              <w:right w:val="single" w:sz="8" w:space="0" w:color="auto"/>
            </w:tcBorders>
          </w:tcPr>
          <w:p w14:paraId="31BBCF87" w14:textId="77777777" w:rsidR="0070585C" w:rsidRPr="00A70D72" w:rsidRDefault="0070585C" w:rsidP="00936F9F">
            <w:pPr>
              <w:jc w:val="right"/>
            </w:pPr>
            <w:r w:rsidRPr="00A70D72">
              <w:t>8 392</w:t>
            </w:r>
          </w:p>
        </w:tc>
        <w:tc>
          <w:tcPr>
            <w:tcW w:w="992" w:type="dxa"/>
            <w:tcBorders>
              <w:top w:val="single" w:sz="4" w:space="0" w:color="auto"/>
              <w:left w:val="single" w:sz="8" w:space="0" w:color="auto"/>
              <w:bottom w:val="single" w:sz="8" w:space="0" w:color="auto"/>
              <w:right w:val="single" w:sz="8" w:space="0" w:color="auto"/>
            </w:tcBorders>
            <w:shd w:val="clear" w:color="auto" w:fill="auto"/>
            <w:noWrap/>
          </w:tcPr>
          <w:p w14:paraId="0D154A22" w14:textId="77777777" w:rsidR="0070585C" w:rsidRPr="00BF62E3" w:rsidRDefault="0070585C" w:rsidP="00936F9F">
            <w:pPr>
              <w:jc w:val="right"/>
            </w:pPr>
            <w:r w:rsidRPr="00BF62E3">
              <w:t>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14:paraId="04C9B6E6" w14:textId="77777777" w:rsidR="0070585C" w:rsidRPr="000E2781" w:rsidRDefault="0070585C" w:rsidP="00936F9F">
            <w:pPr>
              <w:jc w:val="right"/>
            </w:pPr>
            <w:r w:rsidRPr="000E2781">
              <w:t>6,935</w:t>
            </w:r>
          </w:p>
        </w:tc>
      </w:tr>
    </w:tbl>
    <w:p w14:paraId="71F79918" w14:textId="77777777" w:rsidR="0070585C" w:rsidRDefault="0070585C" w:rsidP="0070585C">
      <w:pPr>
        <w:tabs>
          <w:tab w:val="center" w:pos="4819"/>
        </w:tabs>
        <w:ind w:left="567"/>
        <w:rPr>
          <w:b/>
          <w:color w:val="000000"/>
          <w:szCs w:val="24"/>
        </w:rPr>
      </w:pPr>
    </w:p>
    <w:p w14:paraId="56C76538" w14:textId="7DDFA037" w:rsidR="003E1BB5" w:rsidRPr="00AC3FA9" w:rsidRDefault="003E1BB5" w:rsidP="003E1BB5">
      <w:pPr>
        <w:pStyle w:val="Text"/>
      </w:pPr>
      <w:r w:rsidRPr="00AC3FA9">
        <w:t>Celkové zvýšení RN 2019 oproti RN 2018 je o 12,8 až 14,7 %. Mzdové prostředky (včetně odvodů) jsou vyšší u pedagog</w:t>
      </w:r>
      <w:r>
        <w:t>ických pracovník</w:t>
      </w:r>
      <w:r w:rsidRPr="00AC3FA9">
        <w:t xml:space="preserve">ů o 14 až 15,8 %, u </w:t>
      </w:r>
      <w:r>
        <w:t>nepedagogických zaměstnanc</w:t>
      </w:r>
      <w:r w:rsidRPr="00AC3FA9">
        <w:t>ů o 10 %. ONIV je u věkové kategorie 3 – 5 let vyšší o 8,4 %, u věkové kategorie 6 – 14 let vyšší o 5,5 %, u věkové kategorie 15 – 21 let vyšší o 4,7 % a v ostatních kategoriích zůstává beze změny. Limit počtu zaměstnanců je u věkové kateg</w:t>
      </w:r>
      <w:r w:rsidR="00B8183F">
        <w:t>orie 3 – 5 let vyšší o 2,1 %, u </w:t>
      </w:r>
      <w:r w:rsidRPr="00AC3FA9">
        <w:t>věkové kategorie 6 – 14 let vyšší o 2,7 %, u věkové kategorie 15 – 21 let vyšší o 1,1 % a v ostatních kategoriích vyšší o 1 %.</w:t>
      </w:r>
    </w:p>
    <w:p w14:paraId="7BF09B41" w14:textId="77777777" w:rsidR="00F83DD6" w:rsidRDefault="00F83DD6" w:rsidP="0070585C">
      <w:pPr>
        <w:pStyle w:val="Text"/>
      </w:pPr>
    </w:p>
    <w:p w14:paraId="1A2A11D3" w14:textId="77777777" w:rsidR="0070585C" w:rsidRPr="00AC3FA9" w:rsidRDefault="0070585C" w:rsidP="00636DE9">
      <w:pPr>
        <w:pStyle w:val="Titulek"/>
        <w:keepNext/>
      </w:pPr>
      <w:bookmarkStart w:id="109" w:name="_Toc478632333"/>
      <w:bookmarkStart w:id="110" w:name="_Toc5965635"/>
      <w:r w:rsidRPr="00AC3FA9">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14</w:t>
      </w:r>
      <w:r w:rsidR="005F53B0">
        <w:rPr>
          <w:noProof/>
        </w:rPr>
        <w:fldChar w:fldCharType="end"/>
      </w:r>
      <w:r w:rsidRPr="00AC3FA9">
        <w:rPr>
          <w:szCs w:val="24"/>
        </w:rPr>
        <w:t>: Republikové normativy pro rok 201</w:t>
      </w:r>
      <w:bookmarkEnd w:id="109"/>
      <w:r w:rsidRPr="00AC3FA9">
        <w:rPr>
          <w:szCs w:val="24"/>
        </w:rPr>
        <w:t>9</w:t>
      </w:r>
      <w:bookmarkEnd w:id="110"/>
    </w:p>
    <w:tbl>
      <w:tblPr>
        <w:tblW w:w="8505" w:type="dxa"/>
        <w:tblInd w:w="57" w:type="dxa"/>
        <w:tblLayout w:type="fixed"/>
        <w:tblCellMar>
          <w:left w:w="70" w:type="dxa"/>
          <w:right w:w="70" w:type="dxa"/>
        </w:tblCellMar>
        <w:tblLook w:val="04A0" w:firstRow="1" w:lastRow="0" w:firstColumn="1" w:lastColumn="0" w:noHBand="0" w:noVBand="1"/>
      </w:tblPr>
      <w:tblGrid>
        <w:gridCol w:w="1276"/>
        <w:gridCol w:w="1134"/>
        <w:gridCol w:w="1275"/>
        <w:gridCol w:w="1276"/>
        <w:gridCol w:w="1276"/>
        <w:gridCol w:w="992"/>
        <w:gridCol w:w="1276"/>
      </w:tblGrid>
      <w:tr w:rsidR="0070585C" w:rsidRPr="00AC3FA9" w14:paraId="6EF4EE6E" w14:textId="77777777" w:rsidTr="009332D5">
        <w:trPr>
          <w:trHeight w:val="1055"/>
        </w:trPr>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5AFA7E87" w14:textId="77777777" w:rsidR="0070585C" w:rsidRPr="00AC3FA9" w:rsidRDefault="0070585C" w:rsidP="00936F9F">
            <w:pPr>
              <w:ind w:left="709" w:hanging="709"/>
              <w:jc w:val="center"/>
              <w:rPr>
                <w:b/>
                <w:bCs/>
                <w:color w:val="000000"/>
                <w:szCs w:val="24"/>
              </w:rPr>
            </w:pPr>
            <w:r w:rsidRPr="00AC3FA9">
              <w:rPr>
                <w:b/>
                <w:bCs/>
                <w:color w:val="000000"/>
                <w:szCs w:val="24"/>
              </w:rPr>
              <w:t xml:space="preserve">Věková </w:t>
            </w:r>
          </w:p>
          <w:p w14:paraId="56D4E7B2" w14:textId="77777777" w:rsidR="0070585C" w:rsidRPr="00AC3FA9" w:rsidRDefault="0070585C" w:rsidP="00936F9F">
            <w:pPr>
              <w:ind w:left="709" w:hanging="709"/>
              <w:jc w:val="center"/>
              <w:rPr>
                <w:b/>
                <w:bCs/>
                <w:szCs w:val="24"/>
              </w:rPr>
            </w:pPr>
            <w:r w:rsidRPr="00AC3FA9">
              <w:rPr>
                <w:b/>
                <w:bCs/>
                <w:szCs w:val="24"/>
              </w:rPr>
              <w:t>kategorie</w:t>
            </w:r>
          </w:p>
        </w:tc>
        <w:tc>
          <w:tcPr>
            <w:tcW w:w="1134"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40C96BA9" w14:textId="77777777" w:rsidR="0070585C" w:rsidRPr="00AC3FA9" w:rsidRDefault="0070585C" w:rsidP="00936F9F">
            <w:pPr>
              <w:ind w:left="709" w:hanging="709"/>
              <w:jc w:val="center"/>
              <w:rPr>
                <w:b/>
                <w:bCs/>
                <w:color w:val="000000"/>
                <w:szCs w:val="24"/>
              </w:rPr>
            </w:pPr>
            <w:r w:rsidRPr="00AC3FA9">
              <w:rPr>
                <w:b/>
                <w:bCs/>
                <w:color w:val="000000"/>
                <w:szCs w:val="24"/>
              </w:rPr>
              <w:t>NIV</w:t>
            </w:r>
          </w:p>
          <w:p w14:paraId="0A33FDA0" w14:textId="77777777" w:rsidR="0070585C" w:rsidRPr="00AC3FA9" w:rsidRDefault="0070585C" w:rsidP="00936F9F">
            <w:pPr>
              <w:jc w:val="center"/>
              <w:rPr>
                <w:b/>
                <w:bCs/>
                <w:szCs w:val="24"/>
              </w:rPr>
            </w:pPr>
            <w:r w:rsidRPr="00AC3FA9">
              <w:rPr>
                <w:b/>
                <w:bCs/>
                <w:szCs w:val="24"/>
              </w:rPr>
              <w:t>celkem</w:t>
            </w:r>
          </w:p>
          <w:p w14:paraId="0795A4B1" w14:textId="77777777" w:rsidR="0070585C" w:rsidRPr="00AC3FA9" w:rsidRDefault="0070585C" w:rsidP="00936F9F">
            <w:pPr>
              <w:ind w:left="709" w:hanging="709"/>
              <w:jc w:val="center"/>
              <w:rPr>
                <w:rFonts w:ascii="Calibri" w:hAnsi="Calibri"/>
                <w:b/>
                <w:bCs/>
                <w:color w:val="000000"/>
                <w:szCs w:val="24"/>
              </w:rPr>
            </w:pPr>
            <w:r w:rsidRPr="00AC3FA9">
              <w:rPr>
                <w:b/>
                <w:bCs/>
                <w:szCs w:val="24"/>
              </w:rPr>
              <w:t>Kč/žáka</w:t>
            </w:r>
          </w:p>
        </w:tc>
        <w:tc>
          <w:tcPr>
            <w:tcW w:w="1275"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12DBCB4F" w14:textId="77777777" w:rsidR="0070585C" w:rsidRPr="00AC3FA9" w:rsidRDefault="0070585C" w:rsidP="00936F9F">
            <w:pPr>
              <w:ind w:left="709" w:hanging="709"/>
              <w:jc w:val="center"/>
              <w:rPr>
                <w:b/>
                <w:bCs/>
                <w:color w:val="000000"/>
                <w:szCs w:val="24"/>
              </w:rPr>
            </w:pPr>
            <w:r w:rsidRPr="00AC3FA9">
              <w:rPr>
                <w:b/>
                <w:bCs/>
                <w:color w:val="000000"/>
                <w:szCs w:val="24"/>
              </w:rPr>
              <w:t>MP</w:t>
            </w:r>
          </w:p>
          <w:p w14:paraId="1513413C" w14:textId="77777777" w:rsidR="0070585C" w:rsidRPr="00AC3FA9" w:rsidRDefault="0070585C" w:rsidP="00936F9F">
            <w:pPr>
              <w:ind w:left="709" w:hanging="709"/>
              <w:jc w:val="center"/>
              <w:rPr>
                <w:b/>
                <w:bCs/>
                <w:color w:val="000000"/>
                <w:szCs w:val="24"/>
              </w:rPr>
            </w:pPr>
            <w:r w:rsidRPr="00AC3FA9">
              <w:rPr>
                <w:b/>
                <w:bCs/>
                <w:color w:val="000000"/>
                <w:szCs w:val="24"/>
              </w:rPr>
              <w:t>celkem</w:t>
            </w:r>
          </w:p>
          <w:p w14:paraId="1EBA62BB" w14:textId="77777777" w:rsidR="0070585C" w:rsidRPr="00AC3FA9" w:rsidRDefault="0070585C" w:rsidP="00936F9F">
            <w:pPr>
              <w:jc w:val="center"/>
              <w:rPr>
                <w:b/>
                <w:bCs/>
                <w:szCs w:val="24"/>
              </w:rPr>
            </w:pPr>
            <w:r w:rsidRPr="00AC3FA9">
              <w:rPr>
                <w:b/>
                <w:bCs/>
                <w:szCs w:val="24"/>
              </w:rPr>
              <w:t>vč. odvodů</w:t>
            </w:r>
          </w:p>
          <w:p w14:paraId="6F6A61CB" w14:textId="77777777" w:rsidR="0070585C" w:rsidRPr="00AC3FA9" w:rsidRDefault="0070585C" w:rsidP="00936F9F">
            <w:pPr>
              <w:ind w:left="709" w:hanging="709"/>
              <w:jc w:val="center"/>
              <w:rPr>
                <w:b/>
                <w:bCs/>
                <w:color w:val="000000"/>
                <w:szCs w:val="24"/>
              </w:rPr>
            </w:pPr>
            <w:r w:rsidRPr="00AC3FA9">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369BFC" w14:textId="77777777" w:rsidR="0070585C" w:rsidRPr="00AC3FA9" w:rsidRDefault="0070585C" w:rsidP="00936F9F">
            <w:pPr>
              <w:ind w:left="709" w:hanging="709"/>
              <w:jc w:val="center"/>
              <w:rPr>
                <w:b/>
                <w:bCs/>
                <w:color w:val="000000"/>
                <w:szCs w:val="24"/>
              </w:rPr>
            </w:pPr>
            <w:r w:rsidRPr="00AC3FA9">
              <w:rPr>
                <w:b/>
                <w:bCs/>
                <w:color w:val="000000"/>
                <w:szCs w:val="24"/>
              </w:rPr>
              <w:t>MPP</w:t>
            </w:r>
          </w:p>
          <w:p w14:paraId="4D0AFA79" w14:textId="77777777" w:rsidR="0070585C" w:rsidRPr="00AC3FA9" w:rsidRDefault="0070585C" w:rsidP="00936F9F">
            <w:pPr>
              <w:ind w:left="709" w:hanging="709"/>
              <w:jc w:val="center"/>
              <w:rPr>
                <w:b/>
                <w:bCs/>
                <w:color w:val="000000"/>
                <w:szCs w:val="24"/>
              </w:rPr>
            </w:pPr>
            <w:r w:rsidRPr="00AC3FA9">
              <w:rPr>
                <w:b/>
                <w:bCs/>
                <w:color w:val="000000"/>
                <w:szCs w:val="24"/>
              </w:rPr>
              <w:t>celkem</w:t>
            </w:r>
          </w:p>
          <w:p w14:paraId="3937CB53" w14:textId="77777777" w:rsidR="0070585C" w:rsidRPr="00AC3FA9" w:rsidRDefault="0070585C" w:rsidP="00936F9F">
            <w:pPr>
              <w:jc w:val="center"/>
              <w:rPr>
                <w:b/>
                <w:bCs/>
                <w:szCs w:val="24"/>
              </w:rPr>
            </w:pPr>
            <w:r w:rsidRPr="00AC3FA9">
              <w:rPr>
                <w:b/>
                <w:bCs/>
                <w:szCs w:val="24"/>
              </w:rPr>
              <w:t>vč. odvodů</w:t>
            </w:r>
          </w:p>
          <w:p w14:paraId="2C80010D" w14:textId="77777777" w:rsidR="0070585C" w:rsidRPr="00AC3FA9" w:rsidRDefault="0070585C" w:rsidP="00936F9F">
            <w:pPr>
              <w:ind w:left="709" w:hanging="709"/>
              <w:jc w:val="center"/>
              <w:rPr>
                <w:b/>
                <w:bCs/>
                <w:color w:val="000000"/>
                <w:szCs w:val="24"/>
              </w:rPr>
            </w:pPr>
            <w:r w:rsidRPr="00AC3FA9">
              <w:rPr>
                <w:b/>
                <w:bCs/>
                <w:szCs w:val="24"/>
              </w:rPr>
              <w:t>Kč/žáka</w:t>
            </w:r>
          </w:p>
        </w:tc>
        <w:tc>
          <w:tcPr>
            <w:tcW w:w="1276"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B517A7" w14:textId="77777777" w:rsidR="0070585C" w:rsidRPr="00AC3FA9" w:rsidRDefault="0070585C" w:rsidP="00936F9F">
            <w:pPr>
              <w:ind w:left="709" w:hanging="709"/>
              <w:jc w:val="center"/>
              <w:rPr>
                <w:b/>
                <w:bCs/>
                <w:color w:val="000000"/>
                <w:szCs w:val="24"/>
              </w:rPr>
            </w:pPr>
            <w:r w:rsidRPr="00AC3FA9">
              <w:rPr>
                <w:b/>
                <w:bCs/>
                <w:color w:val="000000"/>
                <w:szCs w:val="24"/>
              </w:rPr>
              <w:t>MPN</w:t>
            </w:r>
          </w:p>
          <w:p w14:paraId="4F5949E5" w14:textId="77777777" w:rsidR="0070585C" w:rsidRPr="00AC3FA9" w:rsidRDefault="0070585C" w:rsidP="00936F9F">
            <w:pPr>
              <w:ind w:left="709" w:hanging="709"/>
              <w:jc w:val="center"/>
              <w:rPr>
                <w:b/>
                <w:bCs/>
                <w:color w:val="000000"/>
                <w:szCs w:val="24"/>
              </w:rPr>
            </w:pPr>
            <w:r w:rsidRPr="00AC3FA9">
              <w:rPr>
                <w:b/>
                <w:bCs/>
                <w:color w:val="000000"/>
                <w:szCs w:val="24"/>
              </w:rPr>
              <w:t>celkem</w:t>
            </w:r>
          </w:p>
          <w:p w14:paraId="2F74A312" w14:textId="77777777" w:rsidR="0070585C" w:rsidRPr="00AC3FA9" w:rsidRDefault="0070585C" w:rsidP="00936F9F">
            <w:pPr>
              <w:ind w:left="13" w:hanging="13"/>
              <w:jc w:val="center"/>
              <w:rPr>
                <w:b/>
                <w:bCs/>
                <w:szCs w:val="24"/>
              </w:rPr>
            </w:pPr>
            <w:r w:rsidRPr="00AC3FA9">
              <w:rPr>
                <w:b/>
                <w:bCs/>
                <w:szCs w:val="24"/>
              </w:rPr>
              <w:t>vč. odvodů</w:t>
            </w:r>
          </w:p>
          <w:p w14:paraId="28A0AAF4" w14:textId="77777777" w:rsidR="0070585C" w:rsidRPr="00AC3FA9" w:rsidRDefault="0070585C" w:rsidP="00936F9F">
            <w:pPr>
              <w:ind w:left="709" w:hanging="709"/>
              <w:jc w:val="center"/>
              <w:rPr>
                <w:b/>
                <w:bCs/>
                <w:color w:val="000000"/>
                <w:szCs w:val="24"/>
              </w:rPr>
            </w:pPr>
            <w:r w:rsidRPr="00AC3FA9">
              <w:rPr>
                <w:b/>
                <w:bCs/>
                <w:szCs w:val="24"/>
              </w:rPr>
              <w:t>Kč/žáka</w:t>
            </w:r>
          </w:p>
        </w:tc>
        <w:tc>
          <w:tcPr>
            <w:tcW w:w="992"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36CB1C12" w14:textId="77777777" w:rsidR="0070585C" w:rsidRPr="00AC3FA9" w:rsidRDefault="0070585C" w:rsidP="00936F9F">
            <w:pPr>
              <w:ind w:left="709" w:hanging="709"/>
              <w:jc w:val="center"/>
              <w:rPr>
                <w:b/>
                <w:bCs/>
                <w:color w:val="000000"/>
                <w:szCs w:val="24"/>
              </w:rPr>
            </w:pPr>
            <w:r w:rsidRPr="00AC3FA9">
              <w:rPr>
                <w:b/>
                <w:bCs/>
                <w:color w:val="000000"/>
                <w:szCs w:val="24"/>
              </w:rPr>
              <w:t>ONIV</w:t>
            </w:r>
          </w:p>
          <w:p w14:paraId="2900B8AE" w14:textId="77777777" w:rsidR="0070585C" w:rsidRPr="00AC3FA9" w:rsidRDefault="0070585C" w:rsidP="00936F9F">
            <w:pPr>
              <w:ind w:left="709" w:hanging="709"/>
              <w:jc w:val="center"/>
              <w:rPr>
                <w:b/>
                <w:bCs/>
                <w:szCs w:val="24"/>
              </w:rPr>
            </w:pPr>
            <w:r w:rsidRPr="00AC3FA9">
              <w:rPr>
                <w:b/>
                <w:bCs/>
                <w:szCs w:val="24"/>
              </w:rPr>
              <w:t>celkem</w:t>
            </w:r>
          </w:p>
          <w:p w14:paraId="1BB9B265" w14:textId="77777777" w:rsidR="0070585C" w:rsidRPr="00AC3FA9" w:rsidRDefault="0070585C" w:rsidP="00936F9F">
            <w:pPr>
              <w:ind w:left="709" w:hanging="709"/>
              <w:jc w:val="center"/>
              <w:rPr>
                <w:rFonts w:ascii="Calibri" w:hAnsi="Calibri"/>
                <w:b/>
                <w:bCs/>
                <w:color w:val="000000"/>
                <w:szCs w:val="24"/>
              </w:rPr>
            </w:pPr>
            <w:r w:rsidRPr="00AC3FA9">
              <w:rPr>
                <w:b/>
                <w:bCs/>
                <w:szCs w:val="24"/>
              </w:rPr>
              <w:t>Kč/žáka</w:t>
            </w:r>
          </w:p>
        </w:tc>
        <w:tc>
          <w:tcPr>
            <w:tcW w:w="1276" w:type="dxa"/>
            <w:tcBorders>
              <w:top w:val="single" w:sz="8" w:space="0" w:color="auto"/>
              <w:left w:val="single" w:sz="8" w:space="0" w:color="auto"/>
              <w:bottom w:val="single" w:sz="8" w:space="0" w:color="auto"/>
              <w:right w:val="single" w:sz="8" w:space="0" w:color="auto"/>
            </w:tcBorders>
            <w:shd w:val="clear" w:color="auto" w:fill="auto"/>
            <w:noWrap/>
            <w:tcMar>
              <w:left w:w="57" w:type="dxa"/>
              <w:right w:w="57" w:type="dxa"/>
            </w:tcMar>
            <w:vAlign w:val="center"/>
            <w:hideMark/>
          </w:tcPr>
          <w:p w14:paraId="3DFD9599" w14:textId="77777777" w:rsidR="0070585C" w:rsidRPr="00AC3FA9" w:rsidRDefault="0070585C" w:rsidP="00936F9F">
            <w:pPr>
              <w:ind w:left="709" w:hanging="709"/>
              <w:jc w:val="center"/>
              <w:rPr>
                <w:b/>
                <w:bCs/>
                <w:color w:val="000000"/>
                <w:szCs w:val="24"/>
              </w:rPr>
            </w:pPr>
            <w:r w:rsidRPr="00AC3FA9">
              <w:rPr>
                <w:b/>
                <w:bCs/>
                <w:color w:val="000000"/>
                <w:szCs w:val="24"/>
              </w:rPr>
              <w:t>Zam.</w:t>
            </w:r>
          </w:p>
          <w:p w14:paraId="4460DE4E" w14:textId="77777777" w:rsidR="0070585C" w:rsidRPr="00AC3FA9" w:rsidRDefault="0070585C" w:rsidP="00936F9F">
            <w:pPr>
              <w:ind w:left="709" w:hanging="709"/>
              <w:jc w:val="center"/>
              <w:rPr>
                <w:b/>
                <w:bCs/>
                <w:szCs w:val="24"/>
              </w:rPr>
            </w:pPr>
            <w:r w:rsidRPr="00AC3FA9">
              <w:rPr>
                <w:b/>
                <w:bCs/>
                <w:szCs w:val="24"/>
              </w:rPr>
              <w:t> </w:t>
            </w:r>
          </w:p>
          <w:p w14:paraId="533D3A5D" w14:textId="77777777" w:rsidR="0070585C" w:rsidRPr="00AC3FA9" w:rsidRDefault="0070585C" w:rsidP="00936F9F">
            <w:pPr>
              <w:ind w:left="709" w:hanging="709"/>
              <w:jc w:val="center"/>
              <w:rPr>
                <w:rFonts w:ascii="Calibri" w:hAnsi="Calibri"/>
                <w:b/>
                <w:bCs/>
                <w:color w:val="000000"/>
                <w:szCs w:val="24"/>
              </w:rPr>
            </w:pPr>
            <w:r w:rsidRPr="00AC3FA9">
              <w:rPr>
                <w:b/>
                <w:bCs/>
                <w:szCs w:val="24"/>
              </w:rPr>
              <w:t>Z./1000ž</w:t>
            </w:r>
          </w:p>
        </w:tc>
      </w:tr>
      <w:tr w:rsidR="0070585C" w:rsidRPr="00AC3FA9" w14:paraId="44AEC73D" w14:textId="77777777" w:rsidTr="009332D5">
        <w:trPr>
          <w:trHeight w:hRule="exact" w:val="284"/>
        </w:trPr>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56BDA56" w14:textId="77777777" w:rsidR="0070585C" w:rsidRPr="00AC3FA9" w:rsidRDefault="0070585C" w:rsidP="00936F9F">
            <w:pPr>
              <w:ind w:left="709" w:hanging="709"/>
              <w:jc w:val="left"/>
              <w:rPr>
                <w:b/>
                <w:bCs/>
                <w:color w:val="000000"/>
                <w:szCs w:val="24"/>
              </w:rPr>
            </w:pPr>
            <w:r w:rsidRPr="00AC3FA9">
              <w:rPr>
                <w:b/>
                <w:bCs/>
                <w:color w:val="000000"/>
                <w:szCs w:val="24"/>
              </w:rPr>
              <w:t>3 - 5 let</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5A3F021" w14:textId="77777777" w:rsidR="0070585C" w:rsidRPr="007870CB" w:rsidRDefault="0070585C" w:rsidP="00936F9F">
            <w:pPr>
              <w:jc w:val="right"/>
              <w:rPr>
                <w:szCs w:val="22"/>
              </w:rPr>
            </w:pPr>
            <w:r w:rsidRPr="007870CB">
              <w:rPr>
                <w:szCs w:val="22"/>
              </w:rPr>
              <w:t>58 191</w:t>
            </w:r>
          </w:p>
        </w:tc>
        <w:tc>
          <w:tcPr>
            <w:tcW w:w="1275"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D40087E" w14:textId="77777777" w:rsidR="0070585C" w:rsidRPr="007870CB" w:rsidRDefault="0070585C" w:rsidP="00936F9F">
            <w:pPr>
              <w:jc w:val="right"/>
              <w:rPr>
                <w:szCs w:val="22"/>
              </w:rPr>
            </w:pPr>
            <w:r w:rsidRPr="007870CB">
              <w:rPr>
                <w:szCs w:val="22"/>
              </w:rPr>
              <w:t>57 650</w:t>
            </w:r>
          </w:p>
        </w:tc>
        <w:tc>
          <w:tcPr>
            <w:tcW w:w="1276" w:type="dxa"/>
            <w:tcBorders>
              <w:top w:val="single" w:sz="8" w:space="0" w:color="auto"/>
              <w:left w:val="single" w:sz="8" w:space="0" w:color="auto"/>
              <w:bottom w:val="single" w:sz="4" w:space="0" w:color="auto"/>
              <w:right w:val="single" w:sz="8" w:space="0" w:color="auto"/>
            </w:tcBorders>
            <w:vAlign w:val="center"/>
          </w:tcPr>
          <w:p w14:paraId="6C928FD4" w14:textId="77777777" w:rsidR="0070585C" w:rsidRPr="007870CB" w:rsidRDefault="0070585C" w:rsidP="00936F9F">
            <w:pPr>
              <w:jc w:val="right"/>
              <w:rPr>
                <w:szCs w:val="22"/>
              </w:rPr>
            </w:pPr>
            <w:r w:rsidRPr="007870CB">
              <w:rPr>
                <w:szCs w:val="22"/>
              </w:rPr>
              <w:t>44 763</w:t>
            </w:r>
          </w:p>
        </w:tc>
        <w:tc>
          <w:tcPr>
            <w:tcW w:w="1276" w:type="dxa"/>
            <w:tcBorders>
              <w:top w:val="single" w:sz="8" w:space="0" w:color="auto"/>
              <w:left w:val="single" w:sz="8" w:space="0" w:color="auto"/>
              <w:bottom w:val="single" w:sz="4" w:space="0" w:color="auto"/>
              <w:right w:val="single" w:sz="8" w:space="0" w:color="auto"/>
            </w:tcBorders>
            <w:vAlign w:val="center"/>
          </w:tcPr>
          <w:p w14:paraId="4DA4B1D9" w14:textId="77777777" w:rsidR="0070585C" w:rsidRPr="007870CB" w:rsidRDefault="0070585C" w:rsidP="00936F9F">
            <w:pPr>
              <w:jc w:val="right"/>
              <w:rPr>
                <w:szCs w:val="22"/>
              </w:rPr>
            </w:pPr>
            <w:r w:rsidRPr="007870CB">
              <w:rPr>
                <w:szCs w:val="22"/>
              </w:rPr>
              <w:t>12 887</w:t>
            </w:r>
          </w:p>
        </w:tc>
        <w:tc>
          <w:tcPr>
            <w:tcW w:w="992" w:type="dxa"/>
            <w:tcBorders>
              <w:top w:val="single" w:sz="8" w:space="0" w:color="auto"/>
              <w:left w:val="single" w:sz="8" w:space="0" w:color="auto"/>
              <w:bottom w:val="single" w:sz="4" w:space="0" w:color="auto"/>
              <w:right w:val="single" w:sz="8" w:space="0" w:color="auto"/>
            </w:tcBorders>
            <w:shd w:val="clear" w:color="auto" w:fill="auto"/>
            <w:noWrap/>
          </w:tcPr>
          <w:p w14:paraId="4247B929" w14:textId="77777777" w:rsidR="0070585C" w:rsidRPr="007870CB" w:rsidRDefault="0070585C" w:rsidP="00936F9F">
            <w:pPr>
              <w:jc w:val="right"/>
              <w:rPr>
                <w:szCs w:val="22"/>
              </w:rPr>
            </w:pPr>
            <w:r w:rsidRPr="007870CB">
              <w:rPr>
                <w:szCs w:val="22"/>
              </w:rPr>
              <w:t>541</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4971FE0" w14:textId="77777777" w:rsidR="0070585C" w:rsidRPr="007870CB" w:rsidRDefault="0070585C" w:rsidP="00936F9F">
            <w:pPr>
              <w:jc w:val="right"/>
              <w:rPr>
                <w:szCs w:val="22"/>
              </w:rPr>
            </w:pPr>
            <w:r w:rsidRPr="007870CB">
              <w:rPr>
                <w:szCs w:val="22"/>
              </w:rPr>
              <w:t>126,488</w:t>
            </w:r>
          </w:p>
        </w:tc>
      </w:tr>
      <w:tr w:rsidR="0070585C" w:rsidRPr="00AC3FA9" w14:paraId="7ED9147C" w14:textId="77777777" w:rsidTr="009332D5">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001E5A76" w14:textId="77777777" w:rsidR="0070585C" w:rsidRPr="00AC3FA9" w:rsidRDefault="0070585C" w:rsidP="00936F9F">
            <w:pPr>
              <w:ind w:left="709" w:hanging="709"/>
              <w:jc w:val="left"/>
              <w:rPr>
                <w:b/>
                <w:bCs/>
                <w:color w:val="000000"/>
                <w:szCs w:val="24"/>
              </w:rPr>
            </w:pPr>
            <w:r w:rsidRPr="00AC3FA9">
              <w:rPr>
                <w:b/>
                <w:bCs/>
                <w:color w:val="000000"/>
                <w:szCs w:val="24"/>
              </w:rPr>
              <w:t>6 - 14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2781188A" w14:textId="77777777" w:rsidR="0070585C" w:rsidRPr="007870CB" w:rsidRDefault="0070585C" w:rsidP="00936F9F">
            <w:pPr>
              <w:jc w:val="right"/>
              <w:rPr>
                <w:szCs w:val="22"/>
              </w:rPr>
            </w:pPr>
            <w:r w:rsidRPr="007870CB">
              <w:rPr>
                <w:szCs w:val="22"/>
              </w:rPr>
              <w:t>74 069</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E973E67" w14:textId="77777777" w:rsidR="0070585C" w:rsidRPr="007870CB" w:rsidRDefault="0070585C" w:rsidP="00936F9F">
            <w:pPr>
              <w:jc w:val="right"/>
              <w:rPr>
                <w:szCs w:val="22"/>
              </w:rPr>
            </w:pPr>
            <w:r w:rsidRPr="007870CB">
              <w:rPr>
                <w:szCs w:val="22"/>
              </w:rPr>
              <w:t>72 933</w:t>
            </w:r>
          </w:p>
        </w:tc>
        <w:tc>
          <w:tcPr>
            <w:tcW w:w="1276" w:type="dxa"/>
            <w:tcBorders>
              <w:top w:val="nil"/>
              <w:left w:val="single" w:sz="8" w:space="0" w:color="auto"/>
              <w:bottom w:val="single" w:sz="4" w:space="0" w:color="auto"/>
              <w:right w:val="single" w:sz="8" w:space="0" w:color="auto"/>
            </w:tcBorders>
            <w:vAlign w:val="center"/>
          </w:tcPr>
          <w:p w14:paraId="2B41B63C" w14:textId="77777777" w:rsidR="0070585C" w:rsidRPr="007870CB" w:rsidRDefault="0070585C" w:rsidP="00936F9F">
            <w:pPr>
              <w:jc w:val="right"/>
              <w:rPr>
                <w:szCs w:val="22"/>
              </w:rPr>
            </w:pPr>
            <w:r w:rsidRPr="007870CB">
              <w:rPr>
                <w:szCs w:val="22"/>
              </w:rPr>
              <w:t>60 862</w:t>
            </w:r>
          </w:p>
        </w:tc>
        <w:tc>
          <w:tcPr>
            <w:tcW w:w="1276" w:type="dxa"/>
            <w:tcBorders>
              <w:top w:val="nil"/>
              <w:left w:val="single" w:sz="8" w:space="0" w:color="auto"/>
              <w:bottom w:val="single" w:sz="4" w:space="0" w:color="auto"/>
              <w:right w:val="single" w:sz="8" w:space="0" w:color="auto"/>
            </w:tcBorders>
            <w:vAlign w:val="center"/>
          </w:tcPr>
          <w:p w14:paraId="12F8D3D9" w14:textId="77777777" w:rsidR="0070585C" w:rsidRPr="007870CB" w:rsidRDefault="0070585C" w:rsidP="00936F9F">
            <w:pPr>
              <w:jc w:val="right"/>
              <w:rPr>
                <w:szCs w:val="22"/>
              </w:rPr>
            </w:pPr>
            <w:r w:rsidRPr="007870CB">
              <w:rPr>
                <w:szCs w:val="22"/>
              </w:rPr>
              <w:t>12 071</w:t>
            </w:r>
          </w:p>
        </w:tc>
        <w:tc>
          <w:tcPr>
            <w:tcW w:w="992" w:type="dxa"/>
            <w:tcBorders>
              <w:top w:val="nil"/>
              <w:left w:val="single" w:sz="8" w:space="0" w:color="auto"/>
              <w:bottom w:val="single" w:sz="4" w:space="0" w:color="auto"/>
              <w:right w:val="single" w:sz="8" w:space="0" w:color="auto"/>
            </w:tcBorders>
            <w:shd w:val="clear" w:color="auto" w:fill="auto"/>
            <w:noWrap/>
          </w:tcPr>
          <w:p w14:paraId="6EE3DA36" w14:textId="77777777" w:rsidR="0070585C" w:rsidRPr="007870CB" w:rsidRDefault="0070585C" w:rsidP="00936F9F">
            <w:pPr>
              <w:jc w:val="right"/>
              <w:rPr>
                <w:szCs w:val="22"/>
              </w:rPr>
            </w:pPr>
            <w:r w:rsidRPr="007870CB">
              <w:rPr>
                <w:szCs w:val="22"/>
              </w:rPr>
              <w:t>1 136</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3637342B" w14:textId="77777777" w:rsidR="0070585C" w:rsidRPr="007870CB" w:rsidRDefault="0070585C" w:rsidP="00936F9F">
            <w:pPr>
              <w:jc w:val="right"/>
              <w:rPr>
                <w:szCs w:val="22"/>
              </w:rPr>
            </w:pPr>
            <w:r w:rsidRPr="007870CB">
              <w:rPr>
                <w:szCs w:val="22"/>
              </w:rPr>
              <w:t>127,848</w:t>
            </w:r>
          </w:p>
        </w:tc>
      </w:tr>
      <w:tr w:rsidR="0070585C" w:rsidRPr="00AC3FA9" w14:paraId="5A4ECFFF" w14:textId="77777777" w:rsidTr="009332D5">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68F3C218" w14:textId="77777777" w:rsidR="0070585C" w:rsidRPr="00AC3FA9" w:rsidRDefault="0070585C" w:rsidP="00936F9F">
            <w:pPr>
              <w:ind w:left="709" w:hanging="709"/>
              <w:jc w:val="left"/>
              <w:rPr>
                <w:b/>
                <w:bCs/>
                <w:color w:val="000000"/>
                <w:szCs w:val="24"/>
              </w:rPr>
            </w:pPr>
            <w:r w:rsidRPr="00AC3FA9">
              <w:rPr>
                <w:b/>
                <w:bCs/>
                <w:color w:val="000000"/>
                <w:szCs w:val="24"/>
              </w:rPr>
              <w:t>15 - 18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6A6A0608" w14:textId="77777777" w:rsidR="0070585C" w:rsidRPr="007870CB" w:rsidRDefault="0070585C" w:rsidP="00936F9F">
            <w:pPr>
              <w:jc w:val="right"/>
              <w:rPr>
                <w:szCs w:val="22"/>
              </w:rPr>
            </w:pPr>
            <w:r w:rsidRPr="007870CB">
              <w:rPr>
                <w:szCs w:val="22"/>
              </w:rPr>
              <w:t>86 461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0764FA8" w14:textId="77777777" w:rsidR="0070585C" w:rsidRPr="007870CB" w:rsidRDefault="0070585C" w:rsidP="00936F9F">
            <w:pPr>
              <w:jc w:val="right"/>
              <w:rPr>
                <w:szCs w:val="22"/>
              </w:rPr>
            </w:pPr>
            <w:r w:rsidRPr="007870CB">
              <w:rPr>
                <w:szCs w:val="22"/>
              </w:rPr>
              <w:t>85 344</w:t>
            </w:r>
          </w:p>
        </w:tc>
        <w:tc>
          <w:tcPr>
            <w:tcW w:w="1276" w:type="dxa"/>
            <w:tcBorders>
              <w:top w:val="nil"/>
              <w:left w:val="single" w:sz="8" w:space="0" w:color="auto"/>
              <w:bottom w:val="single" w:sz="4" w:space="0" w:color="auto"/>
              <w:right w:val="single" w:sz="8" w:space="0" w:color="auto"/>
            </w:tcBorders>
            <w:vAlign w:val="center"/>
          </w:tcPr>
          <w:p w14:paraId="55DA7EFA" w14:textId="77777777" w:rsidR="0070585C" w:rsidRPr="007870CB" w:rsidRDefault="0070585C" w:rsidP="00936F9F">
            <w:pPr>
              <w:jc w:val="right"/>
              <w:rPr>
                <w:szCs w:val="22"/>
              </w:rPr>
            </w:pPr>
            <w:r w:rsidRPr="007870CB">
              <w:rPr>
                <w:szCs w:val="22"/>
              </w:rPr>
              <w:t>69 182</w:t>
            </w:r>
          </w:p>
        </w:tc>
        <w:tc>
          <w:tcPr>
            <w:tcW w:w="1276" w:type="dxa"/>
            <w:tcBorders>
              <w:top w:val="nil"/>
              <w:left w:val="single" w:sz="8" w:space="0" w:color="auto"/>
              <w:bottom w:val="single" w:sz="4" w:space="0" w:color="auto"/>
              <w:right w:val="single" w:sz="8" w:space="0" w:color="auto"/>
            </w:tcBorders>
            <w:vAlign w:val="center"/>
          </w:tcPr>
          <w:p w14:paraId="3A461756" w14:textId="77777777" w:rsidR="0070585C" w:rsidRPr="007870CB" w:rsidRDefault="0070585C" w:rsidP="00936F9F">
            <w:pPr>
              <w:jc w:val="right"/>
              <w:rPr>
                <w:szCs w:val="22"/>
              </w:rPr>
            </w:pPr>
            <w:r w:rsidRPr="007870CB">
              <w:rPr>
                <w:szCs w:val="22"/>
              </w:rPr>
              <w:t>16 162</w:t>
            </w:r>
          </w:p>
        </w:tc>
        <w:tc>
          <w:tcPr>
            <w:tcW w:w="992" w:type="dxa"/>
            <w:tcBorders>
              <w:top w:val="nil"/>
              <w:left w:val="single" w:sz="8" w:space="0" w:color="auto"/>
              <w:bottom w:val="single" w:sz="4" w:space="0" w:color="auto"/>
              <w:right w:val="single" w:sz="8" w:space="0" w:color="auto"/>
            </w:tcBorders>
            <w:shd w:val="clear" w:color="auto" w:fill="auto"/>
            <w:noWrap/>
          </w:tcPr>
          <w:p w14:paraId="2DFA0D5E" w14:textId="77777777" w:rsidR="0070585C" w:rsidRPr="007870CB" w:rsidRDefault="0070585C" w:rsidP="00936F9F">
            <w:pPr>
              <w:jc w:val="right"/>
              <w:rPr>
                <w:szCs w:val="22"/>
              </w:rPr>
            </w:pPr>
            <w:r w:rsidRPr="007870CB">
              <w:rPr>
                <w:szCs w:val="22"/>
              </w:rPr>
              <w:t>1 117</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6CDFA1CB" w14:textId="77777777" w:rsidR="0070585C" w:rsidRPr="007870CB" w:rsidRDefault="0070585C" w:rsidP="00936F9F">
            <w:pPr>
              <w:jc w:val="right"/>
              <w:rPr>
                <w:szCs w:val="22"/>
              </w:rPr>
            </w:pPr>
            <w:r w:rsidRPr="007870CB">
              <w:rPr>
                <w:szCs w:val="22"/>
              </w:rPr>
              <w:t>144,227</w:t>
            </w:r>
          </w:p>
        </w:tc>
      </w:tr>
      <w:tr w:rsidR="0070585C" w:rsidRPr="00AC3FA9" w14:paraId="1CFBBC6C" w14:textId="77777777" w:rsidTr="009332D5">
        <w:trPr>
          <w:trHeight w:hRule="exact" w:val="284"/>
        </w:trPr>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C8E4F2B" w14:textId="77777777" w:rsidR="0070585C" w:rsidRPr="00AC3FA9" w:rsidRDefault="0070585C" w:rsidP="00936F9F">
            <w:pPr>
              <w:ind w:left="709" w:hanging="709"/>
              <w:jc w:val="left"/>
              <w:rPr>
                <w:b/>
                <w:bCs/>
                <w:color w:val="000000"/>
                <w:szCs w:val="24"/>
              </w:rPr>
            </w:pPr>
            <w:r w:rsidRPr="00AC3FA9">
              <w:rPr>
                <w:b/>
                <w:bCs/>
                <w:color w:val="000000"/>
                <w:szCs w:val="24"/>
              </w:rPr>
              <w:t>19 - 21 let</w:t>
            </w:r>
          </w:p>
        </w:tc>
        <w:tc>
          <w:tcPr>
            <w:tcW w:w="1134" w:type="dxa"/>
            <w:tcBorders>
              <w:top w:val="nil"/>
              <w:left w:val="single" w:sz="8" w:space="0" w:color="auto"/>
              <w:bottom w:val="single" w:sz="4" w:space="0" w:color="auto"/>
              <w:right w:val="single" w:sz="8" w:space="0" w:color="auto"/>
            </w:tcBorders>
            <w:shd w:val="clear" w:color="auto" w:fill="auto"/>
            <w:noWrap/>
            <w:vAlign w:val="center"/>
          </w:tcPr>
          <w:p w14:paraId="1A7FDCD2" w14:textId="77777777" w:rsidR="0070585C" w:rsidRPr="007870CB" w:rsidRDefault="0070585C" w:rsidP="00936F9F">
            <w:pPr>
              <w:jc w:val="right"/>
              <w:rPr>
                <w:szCs w:val="22"/>
              </w:rPr>
            </w:pPr>
            <w:r w:rsidRPr="007870CB">
              <w:rPr>
                <w:szCs w:val="22"/>
              </w:rPr>
              <w:t>73 986</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647209B" w14:textId="77777777" w:rsidR="0070585C" w:rsidRPr="007870CB" w:rsidRDefault="0070585C" w:rsidP="00936F9F">
            <w:pPr>
              <w:jc w:val="right"/>
              <w:rPr>
                <w:szCs w:val="22"/>
              </w:rPr>
            </w:pPr>
            <w:r w:rsidRPr="007870CB">
              <w:rPr>
                <w:szCs w:val="22"/>
              </w:rPr>
              <w:t>73 286</w:t>
            </w:r>
          </w:p>
        </w:tc>
        <w:tc>
          <w:tcPr>
            <w:tcW w:w="1276" w:type="dxa"/>
            <w:tcBorders>
              <w:top w:val="nil"/>
              <w:left w:val="single" w:sz="8" w:space="0" w:color="auto"/>
              <w:bottom w:val="single" w:sz="4" w:space="0" w:color="auto"/>
              <w:right w:val="single" w:sz="8" w:space="0" w:color="auto"/>
            </w:tcBorders>
            <w:vAlign w:val="center"/>
          </w:tcPr>
          <w:p w14:paraId="61BABC9D" w14:textId="77777777" w:rsidR="0070585C" w:rsidRPr="007870CB" w:rsidRDefault="0070585C" w:rsidP="00936F9F">
            <w:pPr>
              <w:jc w:val="right"/>
              <w:rPr>
                <w:szCs w:val="22"/>
              </w:rPr>
            </w:pPr>
            <w:r w:rsidRPr="007870CB">
              <w:rPr>
                <w:szCs w:val="22"/>
              </w:rPr>
              <w:t>61 064</w:t>
            </w:r>
          </w:p>
        </w:tc>
        <w:tc>
          <w:tcPr>
            <w:tcW w:w="1276" w:type="dxa"/>
            <w:tcBorders>
              <w:top w:val="nil"/>
              <w:left w:val="single" w:sz="8" w:space="0" w:color="auto"/>
              <w:bottom w:val="single" w:sz="4" w:space="0" w:color="auto"/>
              <w:right w:val="single" w:sz="8" w:space="0" w:color="auto"/>
            </w:tcBorders>
            <w:vAlign w:val="center"/>
          </w:tcPr>
          <w:p w14:paraId="53E2B8DD" w14:textId="77777777" w:rsidR="0070585C" w:rsidRPr="007870CB" w:rsidRDefault="0070585C" w:rsidP="00936F9F">
            <w:pPr>
              <w:jc w:val="right"/>
              <w:rPr>
                <w:szCs w:val="22"/>
              </w:rPr>
            </w:pPr>
            <w:r w:rsidRPr="007870CB">
              <w:rPr>
                <w:szCs w:val="22"/>
              </w:rPr>
              <w:t>12 222</w:t>
            </w:r>
          </w:p>
        </w:tc>
        <w:tc>
          <w:tcPr>
            <w:tcW w:w="992" w:type="dxa"/>
            <w:tcBorders>
              <w:top w:val="nil"/>
              <w:left w:val="single" w:sz="8" w:space="0" w:color="auto"/>
              <w:bottom w:val="single" w:sz="4" w:space="0" w:color="auto"/>
              <w:right w:val="single" w:sz="8" w:space="0" w:color="auto"/>
            </w:tcBorders>
            <w:shd w:val="clear" w:color="auto" w:fill="auto"/>
            <w:noWrap/>
          </w:tcPr>
          <w:p w14:paraId="3BDACA5B" w14:textId="77777777" w:rsidR="0070585C" w:rsidRPr="007870CB" w:rsidRDefault="0070585C" w:rsidP="00936F9F">
            <w:pPr>
              <w:jc w:val="right"/>
              <w:rPr>
                <w:szCs w:val="22"/>
              </w:rPr>
            </w:pPr>
            <w:r w:rsidRPr="007870CB">
              <w:rPr>
                <w:szCs w:val="22"/>
              </w:rPr>
              <w:t>700</w:t>
            </w:r>
          </w:p>
        </w:tc>
        <w:tc>
          <w:tcPr>
            <w:tcW w:w="1276" w:type="dxa"/>
            <w:tcBorders>
              <w:top w:val="nil"/>
              <w:left w:val="single" w:sz="8" w:space="0" w:color="auto"/>
              <w:bottom w:val="single" w:sz="4" w:space="0" w:color="auto"/>
              <w:right w:val="single" w:sz="8" w:space="0" w:color="auto"/>
            </w:tcBorders>
            <w:shd w:val="clear" w:color="auto" w:fill="auto"/>
            <w:noWrap/>
            <w:vAlign w:val="center"/>
          </w:tcPr>
          <w:p w14:paraId="5391D741" w14:textId="77777777" w:rsidR="0070585C" w:rsidRPr="007870CB" w:rsidRDefault="0070585C" w:rsidP="00936F9F">
            <w:pPr>
              <w:jc w:val="right"/>
              <w:rPr>
                <w:szCs w:val="22"/>
              </w:rPr>
            </w:pPr>
            <w:r w:rsidRPr="007870CB">
              <w:rPr>
                <w:szCs w:val="22"/>
              </w:rPr>
              <w:t>127,613</w:t>
            </w:r>
          </w:p>
        </w:tc>
      </w:tr>
      <w:tr w:rsidR="0070585C" w:rsidRPr="00AC3FA9" w14:paraId="7D4A3D86" w14:textId="77777777" w:rsidTr="009332D5">
        <w:trPr>
          <w:trHeight w:hRule="exact" w:val="284"/>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0782C9E" w14:textId="77777777" w:rsidR="0070585C" w:rsidRPr="00AC3FA9" w:rsidRDefault="0070585C" w:rsidP="00936F9F">
            <w:pPr>
              <w:ind w:left="709" w:hanging="709"/>
              <w:jc w:val="left"/>
              <w:rPr>
                <w:b/>
                <w:bCs/>
                <w:color w:val="000000"/>
                <w:szCs w:val="24"/>
              </w:rPr>
            </w:pPr>
            <w:r w:rsidRPr="00AC3FA9">
              <w:rPr>
                <w:b/>
                <w:bCs/>
                <w:color w:val="000000"/>
                <w:szCs w:val="24"/>
              </w:rPr>
              <w:t>KZÚV</w:t>
            </w:r>
          </w:p>
        </w:tc>
        <w:tc>
          <w:tcPr>
            <w:tcW w:w="1134" w:type="dxa"/>
            <w:tcBorders>
              <w:top w:val="nil"/>
              <w:left w:val="single" w:sz="8" w:space="0" w:color="auto"/>
              <w:bottom w:val="single" w:sz="8" w:space="0" w:color="auto"/>
              <w:right w:val="single" w:sz="8" w:space="0" w:color="auto"/>
            </w:tcBorders>
            <w:shd w:val="clear" w:color="auto" w:fill="auto"/>
            <w:noWrap/>
            <w:vAlign w:val="center"/>
          </w:tcPr>
          <w:p w14:paraId="1D54516A" w14:textId="77777777" w:rsidR="0070585C" w:rsidRPr="007870CB" w:rsidRDefault="0070585C" w:rsidP="00936F9F">
            <w:pPr>
              <w:jc w:val="right"/>
              <w:rPr>
                <w:szCs w:val="22"/>
              </w:rPr>
            </w:pPr>
            <w:r w:rsidRPr="007870CB">
              <w:rPr>
                <w:szCs w:val="22"/>
              </w:rPr>
              <w:t>352 778</w:t>
            </w:r>
          </w:p>
        </w:tc>
        <w:tc>
          <w:tcPr>
            <w:tcW w:w="1275" w:type="dxa"/>
            <w:tcBorders>
              <w:top w:val="nil"/>
              <w:left w:val="single" w:sz="8" w:space="0" w:color="auto"/>
              <w:bottom w:val="single" w:sz="8" w:space="0" w:color="auto"/>
              <w:right w:val="single" w:sz="8" w:space="0" w:color="auto"/>
            </w:tcBorders>
            <w:shd w:val="clear" w:color="auto" w:fill="auto"/>
            <w:noWrap/>
            <w:vAlign w:val="center"/>
          </w:tcPr>
          <w:p w14:paraId="46C402D6" w14:textId="77777777" w:rsidR="0070585C" w:rsidRPr="007870CB" w:rsidRDefault="0070585C" w:rsidP="00936F9F">
            <w:pPr>
              <w:jc w:val="right"/>
              <w:rPr>
                <w:szCs w:val="22"/>
              </w:rPr>
            </w:pPr>
            <w:r w:rsidRPr="007870CB">
              <w:rPr>
                <w:szCs w:val="22"/>
              </w:rPr>
              <w:t>350 278</w:t>
            </w:r>
          </w:p>
        </w:tc>
        <w:tc>
          <w:tcPr>
            <w:tcW w:w="1276" w:type="dxa"/>
            <w:tcBorders>
              <w:top w:val="nil"/>
              <w:left w:val="single" w:sz="8" w:space="0" w:color="auto"/>
              <w:bottom w:val="single" w:sz="8" w:space="0" w:color="auto"/>
              <w:right w:val="single" w:sz="8" w:space="0" w:color="auto"/>
            </w:tcBorders>
            <w:vAlign w:val="center"/>
          </w:tcPr>
          <w:p w14:paraId="68AD9AFA" w14:textId="77777777" w:rsidR="0070585C" w:rsidRPr="007870CB" w:rsidRDefault="0070585C" w:rsidP="00936F9F">
            <w:pPr>
              <w:jc w:val="right"/>
              <w:rPr>
                <w:szCs w:val="22"/>
              </w:rPr>
            </w:pPr>
            <w:r w:rsidRPr="007870CB">
              <w:rPr>
                <w:szCs w:val="22"/>
              </w:rPr>
              <w:t>257 964</w:t>
            </w:r>
          </w:p>
        </w:tc>
        <w:tc>
          <w:tcPr>
            <w:tcW w:w="1276" w:type="dxa"/>
            <w:tcBorders>
              <w:top w:val="nil"/>
              <w:left w:val="single" w:sz="8" w:space="0" w:color="auto"/>
              <w:bottom w:val="single" w:sz="8" w:space="0" w:color="auto"/>
              <w:right w:val="single" w:sz="8" w:space="0" w:color="auto"/>
            </w:tcBorders>
            <w:vAlign w:val="center"/>
          </w:tcPr>
          <w:p w14:paraId="671F5910" w14:textId="77777777" w:rsidR="0070585C" w:rsidRPr="007870CB" w:rsidRDefault="0070585C" w:rsidP="00936F9F">
            <w:pPr>
              <w:jc w:val="right"/>
              <w:rPr>
                <w:szCs w:val="22"/>
              </w:rPr>
            </w:pPr>
            <w:r w:rsidRPr="007870CB">
              <w:rPr>
                <w:szCs w:val="22"/>
              </w:rPr>
              <w:t>92 314</w:t>
            </w:r>
          </w:p>
        </w:tc>
        <w:tc>
          <w:tcPr>
            <w:tcW w:w="992" w:type="dxa"/>
            <w:tcBorders>
              <w:top w:val="nil"/>
              <w:left w:val="single" w:sz="8" w:space="0" w:color="auto"/>
              <w:bottom w:val="single" w:sz="8" w:space="0" w:color="auto"/>
              <w:right w:val="single" w:sz="8" w:space="0" w:color="auto"/>
            </w:tcBorders>
            <w:shd w:val="clear" w:color="auto" w:fill="auto"/>
            <w:noWrap/>
          </w:tcPr>
          <w:p w14:paraId="38A89866" w14:textId="77777777" w:rsidR="0070585C" w:rsidRPr="007870CB" w:rsidRDefault="0070585C" w:rsidP="00936F9F">
            <w:pPr>
              <w:jc w:val="right"/>
              <w:rPr>
                <w:szCs w:val="22"/>
              </w:rPr>
            </w:pPr>
            <w:r w:rsidRPr="007870CB">
              <w:rPr>
                <w:szCs w:val="22"/>
              </w:rPr>
              <w:t>2 500</w:t>
            </w:r>
          </w:p>
        </w:tc>
        <w:tc>
          <w:tcPr>
            <w:tcW w:w="1276" w:type="dxa"/>
            <w:tcBorders>
              <w:top w:val="nil"/>
              <w:left w:val="single" w:sz="8" w:space="0" w:color="auto"/>
              <w:bottom w:val="single" w:sz="8" w:space="0" w:color="auto"/>
              <w:right w:val="single" w:sz="8" w:space="0" w:color="auto"/>
            </w:tcBorders>
            <w:shd w:val="clear" w:color="auto" w:fill="auto"/>
            <w:noWrap/>
            <w:vAlign w:val="center"/>
          </w:tcPr>
          <w:p w14:paraId="36EB55E0" w14:textId="77777777" w:rsidR="0070585C" w:rsidRPr="007870CB" w:rsidRDefault="0070585C" w:rsidP="00936F9F">
            <w:pPr>
              <w:jc w:val="right"/>
              <w:rPr>
                <w:szCs w:val="22"/>
              </w:rPr>
            </w:pPr>
            <w:r w:rsidRPr="007870CB">
              <w:rPr>
                <w:szCs w:val="22"/>
              </w:rPr>
              <w:t>693,459</w:t>
            </w:r>
          </w:p>
        </w:tc>
      </w:tr>
    </w:tbl>
    <w:p w14:paraId="24274501" w14:textId="77777777" w:rsidR="0070585C" w:rsidRPr="00CC5B18" w:rsidRDefault="0070585C" w:rsidP="0070585C">
      <w:pPr>
        <w:pStyle w:val="Text"/>
        <w:rPr>
          <w:highlight w:val="cyan"/>
        </w:rPr>
      </w:pPr>
    </w:p>
    <w:p w14:paraId="118EECA4" w14:textId="77777777" w:rsidR="0070585C" w:rsidRPr="000555CE" w:rsidRDefault="0070585C" w:rsidP="0070585C">
      <w:pPr>
        <w:ind w:left="540" w:hanging="540"/>
        <w:rPr>
          <w:b/>
          <w:color w:val="000000"/>
          <w:szCs w:val="24"/>
        </w:rPr>
      </w:pPr>
      <w:r w:rsidRPr="000555CE">
        <w:rPr>
          <w:b/>
          <w:i/>
          <w:color w:val="000000"/>
          <w:szCs w:val="24"/>
        </w:rPr>
        <w:t>Normativní rozpis rozpočtu přímých výdajů RgŠ ÚSC na rok 2019</w:t>
      </w:r>
    </w:p>
    <w:p w14:paraId="331908AD" w14:textId="77777777" w:rsidR="0070585C" w:rsidRDefault="0070585C" w:rsidP="00B83EC6">
      <w:pPr>
        <w:pStyle w:val="Text"/>
      </w:pPr>
      <w:r w:rsidRPr="000555CE">
        <w:t>Propočtem reálných výkonů školního roku 2018/2019 a RN 2019 získáme normativní rozpis rozpočtu RgŠ ÚSC pro rok 2019, který tvoří 94,</w:t>
      </w:r>
      <w:r w:rsidRPr="0043025F">
        <w:t>5 % celkových zdrojů RgŠ ÚSC. Normativní rozpis podle jednotlivých krajů je uveden v tabulkové příloze – tabulka č. 3.</w:t>
      </w:r>
    </w:p>
    <w:p w14:paraId="33FE9BEC" w14:textId="77777777" w:rsidR="00F83DD6" w:rsidRDefault="00F83DD6" w:rsidP="00B83EC6">
      <w:pPr>
        <w:pStyle w:val="Text"/>
      </w:pPr>
    </w:p>
    <w:p w14:paraId="626E980E" w14:textId="77777777" w:rsidR="0070585C" w:rsidRDefault="0070585C" w:rsidP="0070585C">
      <w:pPr>
        <w:pStyle w:val="Titulek"/>
        <w:keepNext/>
        <w:rPr>
          <w:color w:val="000000"/>
          <w:szCs w:val="24"/>
        </w:rPr>
      </w:pPr>
      <w:bookmarkStart w:id="111" w:name="_Toc5965636"/>
      <w:r w:rsidRPr="000555CE">
        <w:lastRenderedPageBreak/>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15</w:t>
      </w:r>
      <w:r w:rsidR="005F53B0">
        <w:rPr>
          <w:noProof/>
        </w:rPr>
        <w:fldChar w:fldCharType="end"/>
      </w:r>
      <w:r w:rsidRPr="000555CE">
        <w:rPr>
          <w:color w:val="000000"/>
          <w:szCs w:val="24"/>
        </w:rPr>
        <w:t>: Normativní rozpis rozpočtu RgŠ ÚSC na rok 2019</w:t>
      </w:r>
      <w:bookmarkEnd w:id="111"/>
    </w:p>
    <w:tbl>
      <w:tblPr>
        <w:tblW w:w="8918" w:type="dxa"/>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57" w:type="dxa"/>
        </w:tblCellMar>
        <w:tblLook w:val="04A0" w:firstRow="1" w:lastRow="0" w:firstColumn="1" w:lastColumn="0" w:noHBand="0" w:noVBand="1"/>
      </w:tblPr>
      <w:tblGrid>
        <w:gridCol w:w="1843"/>
        <w:gridCol w:w="992"/>
        <w:gridCol w:w="1417"/>
        <w:gridCol w:w="1281"/>
        <w:gridCol w:w="1276"/>
        <w:gridCol w:w="1134"/>
        <w:gridCol w:w="975"/>
      </w:tblGrid>
      <w:tr w:rsidR="0070585C" w:rsidRPr="008B42CF" w14:paraId="1A550344" w14:textId="77777777" w:rsidTr="009332D5">
        <w:trPr>
          <w:trHeight w:val="974"/>
        </w:trPr>
        <w:tc>
          <w:tcPr>
            <w:tcW w:w="1843" w:type="dxa"/>
            <w:tcBorders>
              <w:top w:val="single" w:sz="8" w:space="0" w:color="auto"/>
              <w:bottom w:val="single" w:sz="8" w:space="0" w:color="auto"/>
            </w:tcBorders>
            <w:shd w:val="clear" w:color="auto" w:fill="auto"/>
            <w:noWrap/>
            <w:tcMar>
              <w:right w:w="0" w:type="dxa"/>
            </w:tcMar>
            <w:vAlign w:val="center"/>
          </w:tcPr>
          <w:p w14:paraId="47CC4EAA" w14:textId="77777777" w:rsidR="0070585C" w:rsidRPr="009F4EA8" w:rsidRDefault="0070585C" w:rsidP="00936F9F">
            <w:pPr>
              <w:jc w:val="center"/>
              <w:rPr>
                <w:b/>
                <w:color w:val="000000"/>
                <w:sz w:val="22"/>
                <w:szCs w:val="22"/>
              </w:rPr>
            </w:pPr>
            <w:r w:rsidRPr="009F4EA8">
              <w:rPr>
                <w:b/>
                <w:color w:val="000000"/>
                <w:sz w:val="22"/>
                <w:szCs w:val="22"/>
              </w:rPr>
              <w:t>Věková kategorie</w:t>
            </w:r>
          </w:p>
        </w:tc>
        <w:tc>
          <w:tcPr>
            <w:tcW w:w="992" w:type="dxa"/>
            <w:tcBorders>
              <w:top w:val="single" w:sz="8" w:space="0" w:color="auto"/>
              <w:bottom w:val="single" w:sz="8" w:space="0" w:color="auto"/>
            </w:tcBorders>
            <w:shd w:val="clear" w:color="auto" w:fill="auto"/>
            <w:noWrap/>
            <w:tcMar>
              <w:right w:w="0" w:type="dxa"/>
            </w:tcMar>
            <w:vAlign w:val="center"/>
          </w:tcPr>
          <w:p w14:paraId="03F2BA16" w14:textId="77777777" w:rsidR="0070585C" w:rsidRPr="009F4EA8" w:rsidRDefault="0070585C" w:rsidP="00936F9F">
            <w:pPr>
              <w:jc w:val="center"/>
              <w:rPr>
                <w:b/>
                <w:color w:val="000000"/>
                <w:sz w:val="22"/>
                <w:szCs w:val="22"/>
              </w:rPr>
            </w:pPr>
            <w:r w:rsidRPr="009F4EA8">
              <w:rPr>
                <w:b/>
                <w:color w:val="000000"/>
                <w:sz w:val="22"/>
                <w:szCs w:val="22"/>
              </w:rPr>
              <w:t>Výkony 201</w:t>
            </w:r>
            <w:r>
              <w:rPr>
                <w:b/>
                <w:color w:val="000000"/>
                <w:sz w:val="22"/>
                <w:szCs w:val="22"/>
              </w:rPr>
              <w:t>8</w:t>
            </w:r>
            <w:r w:rsidRPr="009F4EA8">
              <w:rPr>
                <w:b/>
                <w:color w:val="000000"/>
                <w:sz w:val="22"/>
                <w:szCs w:val="22"/>
              </w:rPr>
              <w:t>/1</w:t>
            </w:r>
            <w:r>
              <w:rPr>
                <w:b/>
                <w:color w:val="000000"/>
                <w:sz w:val="22"/>
                <w:szCs w:val="22"/>
              </w:rPr>
              <w:t>9</w:t>
            </w:r>
          </w:p>
        </w:tc>
        <w:tc>
          <w:tcPr>
            <w:tcW w:w="1417" w:type="dxa"/>
            <w:tcBorders>
              <w:top w:val="single" w:sz="8" w:space="0" w:color="auto"/>
              <w:bottom w:val="single" w:sz="8" w:space="0" w:color="auto"/>
            </w:tcBorders>
            <w:shd w:val="clear" w:color="auto" w:fill="auto"/>
            <w:noWrap/>
            <w:tcMar>
              <w:right w:w="0" w:type="dxa"/>
            </w:tcMar>
            <w:vAlign w:val="center"/>
          </w:tcPr>
          <w:p w14:paraId="11D987CE" w14:textId="77777777" w:rsidR="0070585C" w:rsidRPr="009F4EA8" w:rsidRDefault="0070585C" w:rsidP="00936F9F">
            <w:pPr>
              <w:jc w:val="center"/>
              <w:rPr>
                <w:b/>
                <w:color w:val="000000"/>
                <w:sz w:val="22"/>
                <w:szCs w:val="22"/>
              </w:rPr>
            </w:pPr>
            <w:r w:rsidRPr="009F4EA8">
              <w:rPr>
                <w:b/>
                <w:color w:val="000000"/>
                <w:sz w:val="22"/>
                <w:szCs w:val="22"/>
              </w:rPr>
              <w:t>NIV</w:t>
            </w:r>
          </w:p>
          <w:p w14:paraId="613BAAF2" w14:textId="77777777" w:rsidR="0070585C" w:rsidRPr="009F4EA8" w:rsidRDefault="0070585C" w:rsidP="00936F9F">
            <w:pPr>
              <w:jc w:val="center"/>
              <w:rPr>
                <w:b/>
                <w:color w:val="000000"/>
                <w:sz w:val="22"/>
                <w:szCs w:val="22"/>
              </w:rPr>
            </w:pPr>
            <w:r w:rsidRPr="009F4EA8">
              <w:rPr>
                <w:b/>
                <w:color w:val="000000"/>
                <w:sz w:val="22"/>
                <w:szCs w:val="22"/>
              </w:rPr>
              <w:t>celkem</w:t>
            </w:r>
          </w:p>
          <w:p w14:paraId="491A0032" w14:textId="77777777" w:rsidR="0070585C" w:rsidRPr="009F4EA8" w:rsidRDefault="0070585C" w:rsidP="00936F9F">
            <w:pPr>
              <w:jc w:val="center"/>
              <w:rPr>
                <w:b/>
                <w:color w:val="000000"/>
                <w:sz w:val="22"/>
                <w:szCs w:val="22"/>
              </w:rPr>
            </w:pPr>
            <w:r w:rsidRPr="009F4EA8">
              <w:rPr>
                <w:b/>
                <w:color w:val="000000"/>
                <w:sz w:val="22"/>
                <w:szCs w:val="22"/>
              </w:rPr>
              <w:t>v Kč</w:t>
            </w:r>
          </w:p>
        </w:tc>
        <w:tc>
          <w:tcPr>
            <w:tcW w:w="1281" w:type="dxa"/>
            <w:tcBorders>
              <w:top w:val="single" w:sz="8" w:space="0" w:color="auto"/>
              <w:bottom w:val="single" w:sz="8" w:space="0" w:color="auto"/>
            </w:tcBorders>
            <w:shd w:val="clear" w:color="000000" w:fill="auto"/>
            <w:noWrap/>
            <w:tcMar>
              <w:right w:w="0" w:type="dxa"/>
            </w:tcMar>
            <w:vAlign w:val="center"/>
          </w:tcPr>
          <w:p w14:paraId="058668CA" w14:textId="77777777" w:rsidR="0070585C" w:rsidRPr="009F4EA8" w:rsidRDefault="0070585C" w:rsidP="00936F9F">
            <w:pPr>
              <w:jc w:val="center"/>
              <w:rPr>
                <w:b/>
                <w:color w:val="000000"/>
                <w:sz w:val="22"/>
                <w:szCs w:val="22"/>
              </w:rPr>
            </w:pPr>
            <w:r w:rsidRPr="009F4EA8">
              <w:rPr>
                <w:b/>
                <w:color w:val="000000"/>
                <w:sz w:val="22"/>
                <w:szCs w:val="22"/>
              </w:rPr>
              <w:t>MPP vč.</w:t>
            </w:r>
            <w:r>
              <w:rPr>
                <w:b/>
                <w:color w:val="000000"/>
                <w:sz w:val="22"/>
                <w:szCs w:val="22"/>
              </w:rPr>
              <w:t> </w:t>
            </w:r>
            <w:r w:rsidRPr="009F4EA8">
              <w:rPr>
                <w:b/>
                <w:color w:val="000000"/>
                <w:sz w:val="22"/>
                <w:szCs w:val="22"/>
              </w:rPr>
              <w:t>odvodů celkem</w:t>
            </w:r>
          </w:p>
          <w:p w14:paraId="106ED312" w14:textId="77777777" w:rsidR="0070585C" w:rsidRPr="009F4EA8" w:rsidRDefault="0070585C" w:rsidP="00936F9F">
            <w:pPr>
              <w:jc w:val="center"/>
              <w:rPr>
                <w:b/>
                <w:color w:val="000000"/>
                <w:sz w:val="22"/>
                <w:szCs w:val="22"/>
              </w:rPr>
            </w:pPr>
            <w:r w:rsidRPr="009F4EA8">
              <w:rPr>
                <w:b/>
                <w:color w:val="000000"/>
                <w:sz w:val="22"/>
                <w:szCs w:val="22"/>
              </w:rPr>
              <w:t>v Kč</w:t>
            </w:r>
          </w:p>
        </w:tc>
        <w:tc>
          <w:tcPr>
            <w:tcW w:w="1276" w:type="dxa"/>
            <w:tcBorders>
              <w:top w:val="single" w:sz="8" w:space="0" w:color="auto"/>
              <w:bottom w:val="single" w:sz="8" w:space="0" w:color="auto"/>
            </w:tcBorders>
            <w:tcMar>
              <w:right w:w="0" w:type="dxa"/>
            </w:tcMar>
            <w:vAlign w:val="center"/>
          </w:tcPr>
          <w:p w14:paraId="06A40A2C" w14:textId="77777777" w:rsidR="0070585C" w:rsidRPr="009F4EA8" w:rsidRDefault="0070585C" w:rsidP="00936F9F">
            <w:pPr>
              <w:jc w:val="center"/>
              <w:rPr>
                <w:b/>
                <w:color w:val="000000"/>
                <w:sz w:val="22"/>
                <w:szCs w:val="22"/>
              </w:rPr>
            </w:pPr>
            <w:r w:rsidRPr="009F4EA8">
              <w:rPr>
                <w:b/>
                <w:color w:val="000000"/>
                <w:sz w:val="22"/>
                <w:szCs w:val="22"/>
              </w:rPr>
              <w:t>MPN       vč.</w:t>
            </w:r>
            <w:r>
              <w:rPr>
                <w:b/>
                <w:color w:val="000000"/>
                <w:sz w:val="22"/>
                <w:szCs w:val="22"/>
              </w:rPr>
              <w:t> </w:t>
            </w:r>
            <w:r w:rsidRPr="009F4EA8">
              <w:rPr>
                <w:b/>
                <w:color w:val="000000"/>
                <w:sz w:val="22"/>
                <w:szCs w:val="22"/>
              </w:rPr>
              <w:t>odvodů celkem</w:t>
            </w:r>
          </w:p>
          <w:p w14:paraId="5E26E90A" w14:textId="77777777" w:rsidR="0070585C" w:rsidRPr="009F4EA8" w:rsidRDefault="0070585C" w:rsidP="00936F9F">
            <w:pPr>
              <w:jc w:val="center"/>
              <w:rPr>
                <w:b/>
                <w:color w:val="000000"/>
                <w:sz w:val="22"/>
                <w:szCs w:val="22"/>
              </w:rPr>
            </w:pPr>
            <w:r w:rsidRPr="009F4EA8">
              <w:rPr>
                <w:b/>
                <w:color w:val="000000"/>
                <w:sz w:val="22"/>
                <w:szCs w:val="22"/>
              </w:rPr>
              <w:t>v</w:t>
            </w:r>
            <w:r>
              <w:rPr>
                <w:b/>
                <w:color w:val="000000"/>
                <w:sz w:val="22"/>
                <w:szCs w:val="22"/>
              </w:rPr>
              <w:t> </w:t>
            </w:r>
            <w:r w:rsidRPr="009F4EA8">
              <w:rPr>
                <w:b/>
                <w:color w:val="000000"/>
                <w:sz w:val="22"/>
                <w:szCs w:val="22"/>
              </w:rPr>
              <w:t>Kč</w:t>
            </w:r>
          </w:p>
        </w:tc>
        <w:tc>
          <w:tcPr>
            <w:tcW w:w="1134" w:type="dxa"/>
            <w:tcBorders>
              <w:top w:val="single" w:sz="8" w:space="0" w:color="auto"/>
              <w:bottom w:val="single" w:sz="8" w:space="0" w:color="auto"/>
            </w:tcBorders>
            <w:tcMar>
              <w:right w:w="0" w:type="dxa"/>
            </w:tcMar>
            <w:vAlign w:val="center"/>
          </w:tcPr>
          <w:p w14:paraId="15C7012C" w14:textId="77777777" w:rsidR="0070585C" w:rsidRPr="009F4EA8" w:rsidRDefault="0070585C" w:rsidP="00936F9F">
            <w:pPr>
              <w:jc w:val="center"/>
              <w:rPr>
                <w:b/>
                <w:color w:val="000000"/>
                <w:sz w:val="22"/>
                <w:szCs w:val="22"/>
              </w:rPr>
            </w:pPr>
            <w:r w:rsidRPr="009F4EA8">
              <w:rPr>
                <w:b/>
                <w:color w:val="000000"/>
                <w:sz w:val="22"/>
                <w:szCs w:val="22"/>
              </w:rPr>
              <w:t>ONIV celkem</w:t>
            </w:r>
          </w:p>
          <w:p w14:paraId="0E84B4FA" w14:textId="77777777" w:rsidR="0070585C" w:rsidRPr="009F4EA8" w:rsidRDefault="0070585C" w:rsidP="00936F9F">
            <w:pPr>
              <w:jc w:val="center"/>
              <w:rPr>
                <w:b/>
                <w:color w:val="000000"/>
                <w:sz w:val="22"/>
                <w:szCs w:val="22"/>
              </w:rPr>
            </w:pPr>
            <w:r w:rsidRPr="009F4EA8">
              <w:rPr>
                <w:b/>
                <w:color w:val="000000"/>
                <w:sz w:val="22"/>
                <w:szCs w:val="22"/>
              </w:rPr>
              <w:t>v</w:t>
            </w:r>
            <w:r>
              <w:rPr>
                <w:b/>
                <w:color w:val="000000"/>
                <w:sz w:val="22"/>
                <w:szCs w:val="22"/>
              </w:rPr>
              <w:t> </w:t>
            </w:r>
            <w:r w:rsidRPr="009F4EA8">
              <w:rPr>
                <w:b/>
                <w:color w:val="000000"/>
                <w:sz w:val="22"/>
                <w:szCs w:val="22"/>
              </w:rPr>
              <w:t>Kč</w:t>
            </w:r>
          </w:p>
        </w:tc>
        <w:tc>
          <w:tcPr>
            <w:tcW w:w="975" w:type="dxa"/>
            <w:tcBorders>
              <w:top w:val="single" w:sz="8" w:space="0" w:color="auto"/>
              <w:bottom w:val="single" w:sz="8" w:space="0" w:color="auto"/>
            </w:tcBorders>
            <w:shd w:val="clear" w:color="auto" w:fill="auto"/>
            <w:noWrap/>
            <w:tcMar>
              <w:right w:w="0" w:type="dxa"/>
            </w:tcMar>
            <w:vAlign w:val="center"/>
          </w:tcPr>
          <w:p w14:paraId="141F92F2" w14:textId="77777777" w:rsidR="0070585C" w:rsidRPr="009F4EA8" w:rsidRDefault="0070585C" w:rsidP="00936F9F">
            <w:pPr>
              <w:jc w:val="center"/>
              <w:rPr>
                <w:b/>
                <w:color w:val="000000"/>
                <w:sz w:val="22"/>
                <w:szCs w:val="22"/>
              </w:rPr>
            </w:pPr>
            <w:r w:rsidRPr="009F4EA8">
              <w:rPr>
                <w:b/>
                <w:color w:val="000000"/>
                <w:sz w:val="22"/>
                <w:szCs w:val="22"/>
              </w:rPr>
              <w:t>Zam.</w:t>
            </w:r>
          </w:p>
        </w:tc>
      </w:tr>
      <w:tr w:rsidR="0070585C" w:rsidRPr="008B42CF" w14:paraId="2F837543" w14:textId="77777777" w:rsidTr="009332D5">
        <w:trPr>
          <w:trHeight w:hRule="exact" w:val="284"/>
        </w:trPr>
        <w:tc>
          <w:tcPr>
            <w:tcW w:w="1843" w:type="dxa"/>
            <w:tcBorders>
              <w:top w:val="single" w:sz="8" w:space="0" w:color="auto"/>
            </w:tcBorders>
            <w:shd w:val="clear" w:color="auto" w:fill="auto"/>
            <w:noWrap/>
            <w:vAlign w:val="center"/>
          </w:tcPr>
          <w:p w14:paraId="4A6B07C4" w14:textId="77777777" w:rsidR="0070585C" w:rsidRPr="009F4EA8" w:rsidRDefault="0070585C" w:rsidP="00936F9F">
            <w:pPr>
              <w:rPr>
                <w:b/>
                <w:color w:val="000000"/>
                <w:szCs w:val="22"/>
              </w:rPr>
            </w:pPr>
            <w:r w:rsidRPr="009F4EA8">
              <w:rPr>
                <w:b/>
                <w:color w:val="000000"/>
                <w:szCs w:val="22"/>
              </w:rPr>
              <w:t>3 - 5 let</w:t>
            </w:r>
          </w:p>
        </w:tc>
        <w:tc>
          <w:tcPr>
            <w:tcW w:w="992" w:type="dxa"/>
            <w:tcBorders>
              <w:top w:val="single" w:sz="8" w:space="0" w:color="auto"/>
            </w:tcBorders>
            <w:shd w:val="clear" w:color="auto" w:fill="auto"/>
            <w:noWrap/>
            <w:vAlign w:val="center"/>
          </w:tcPr>
          <w:p w14:paraId="0715CFA9" w14:textId="77777777" w:rsidR="0070585C" w:rsidRPr="007870CB" w:rsidRDefault="0070585C" w:rsidP="00936F9F">
            <w:pPr>
              <w:jc w:val="right"/>
              <w:rPr>
                <w:sz w:val="18"/>
                <w:szCs w:val="22"/>
              </w:rPr>
            </w:pPr>
            <w:r w:rsidRPr="007870CB">
              <w:rPr>
                <w:sz w:val="18"/>
                <w:szCs w:val="22"/>
              </w:rPr>
              <w:t>351 154,6</w:t>
            </w:r>
          </w:p>
        </w:tc>
        <w:tc>
          <w:tcPr>
            <w:tcW w:w="1417" w:type="dxa"/>
            <w:tcBorders>
              <w:top w:val="nil"/>
              <w:left w:val="single" w:sz="8" w:space="0" w:color="auto"/>
              <w:bottom w:val="single" w:sz="4" w:space="0" w:color="auto"/>
              <w:right w:val="single" w:sz="4" w:space="0" w:color="auto"/>
            </w:tcBorders>
            <w:shd w:val="clear" w:color="auto" w:fill="auto"/>
            <w:noWrap/>
            <w:tcMar>
              <w:right w:w="28" w:type="dxa"/>
            </w:tcMar>
            <w:vAlign w:val="center"/>
          </w:tcPr>
          <w:p w14:paraId="6ACC379F" w14:textId="77777777" w:rsidR="0070585C" w:rsidRPr="007870CB" w:rsidRDefault="0070585C" w:rsidP="00936F9F">
            <w:pPr>
              <w:jc w:val="right"/>
              <w:rPr>
                <w:sz w:val="18"/>
              </w:rPr>
            </w:pPr>
            <w:r w:rsidRPr="007870CB">
              <w:rPr>
                <w:sz w:val="18"/>
              </w:rPr>
              <w:t>20 434 034 423</w:t>
            </w:r>
          </w:p>
        </w:tc>
        <w:tc>
          <w:tcPr>
            <w:tcW w:w="1281" w:type="dxa"/>
            <w:tcBorders>
              <w:top w:val="single" w:sz="8" w:space="0" w:color="auto"/>
            </w:tcBorders>
            <w:shd w:val="clear" w:color="auto" w:fill="auto"/>
            <w:noWrap/>
            <w:tcMar>
              <w:right w:w="28" w:type="dxa"/>
            </w:tcMar>
            <w:vAlign w:val="center"/>
          </w:tcPr>
          <w:p w14:paraId="377EB590" w14:textId="77777777" w:rsidR="0070585C" w:rsidRPr="007870CB" w:rsidRDefault="0070585C" w:rsidP="00936F9F">
            <w:pPr>
              <w:jc w:val="right"/>
              <w:rPr>
                <w:sz w:val="18"/>
              </w:rPr>
            </w:pPr>
            <w:r w:rsidRPr="007870CB">
              <w:rPr>
                <w:sz w:val="18"/>
              </w:rPr>
              <w:t>15 718 731 124</w:t>
            </w:r>
          </w:p>
        </w:tc>
        <w:tc>
          <w:tcPr>
            <w:tcW w:w="1276" w:type="dxa"/>
            <w:tcBorders>
              <w:top w:val="single" w:sz="8" w:space="0" w:color="auto"/>
            </w:tcBorders>
            <w:shd w:val="clear" w:color="auto" w:fill="auto"/>
            <w:tcMar>
              <w:right w:w="28" w:type="dxa"/>
            </w:tcMar>
            <w:vAlign w:val="center"/>
          </w:tcPr>
          <w:p w14:paraId="1308373F" w14:textId="77777777" w:rsidR="0070585C" w:rsidRPr="007870CB" w:rsidRDefault="0070585C" w:rsidP="00936F9F">
            <w:pPr>
              <w:jc w:val="right"/>
              <w:rPr>
                <w:sz w:val="18"/>
              </w:rPr>
            </w:pPr>
            <w:r w:rsidRPr="007870CB">
              <w:rPr>
                <w:sz w:val="18"/>
              </w:rPr>
              <w:t>4 525 328 686</w:t>
            </w:r>
          </w:p>
        </w:tc>
        <w:tc>
          <w:tcPr>
            <w:tcW w:w="1134" w:type="dxa"/>
            <w:tcBorders>
              <w:top w:val="nil"/>
              <w:left w:val="single" w:sz="4" w:space="0" w:color="auto"/>
              <w:bottom w:val="single" w:sz="4" w:space="0" w:color="auto"/>
              <w:right w:val="single" w:sz="4" w:space="0" w:color="auto"/>
            </w:tcBorders>
            <w:shd w:val="clear" w:color="auto" w:fill="auto"/>
            <w:tcMar>
              <w:right w:w="28" w:type="dxa"/>
            </w:tcMar>
            <w:vAlign w:val="center"/>
          </w:tcPr>
          <w:p w14:paraId="3D3C2EE0" w14:textId="77777777" w:rsidR="0070585C" w:rsidRPr="007870CB" w:rsidRDefault="0070585C" w:rsidP="00936F9F">
            <w:pPr>
              <w:jc w:val="right"/>
              <w:rPr>
                <w:sz w:val="18"/>
              </w:rPr>
            </w:pPr>
            <w:r w:rsidRPr="007870CB">
              <w:rPr>
                <w:sz w:val="18"/>
              </w:rPr>
              <w:t>189 974 613</w:t>
            </w:r>
          </w:p>
        </w:tc>
        <w:tc>
          <w:tcPr>
            <w:tcW w:w="975" w:type="dxa"/>
            <w:tcBorders>
              <w:top w:val="single" w:sz="8" w:space="0" w:color="auto"/>
            </w:tcBorders>
            <w:shd w:val="clear" w:color="auto" w:fill="auto"/>
            <w:noWrap/>
            <w:tcMar>
              <w:right w:w="28" w:type="dxa"/>
            </w:tcMar>
          </w:tcPr>
          <w:p w14:paraId="48DF09B0" w14:textId="77777777" w:rsidR="0070585C" w:rsidRPr="007870CB" w:rsidRDefault="0070585C" w:rsidP="00936F9F">
            <w:pPr>
              <w:jc w:val="right"/>
              <w:rPr>
                <w:sz w:val="18"/>
              </w:rPr>
            </w:pPr>
            <w:r w:rsidRPr="007870CB">
              <w:rPr>
                <w:sz w:val="18"/>
              </w:rPr>
              <w:t>44 861,04</w:t>
            </w:r>
          </w:p>
        </w:tc>
      </w:tr>
      <w:tr w:rsidR="0070585C" w:rsidRPr="008B42CF" w14:paraId="5F6F3EC5" w14:textId="77777777" w:rsidTr="009332D5">
        <w:trPr>
          <w:trHeight w:hRule="exact" w:val="284"/>
        </w:trPr>
        <w:tc>
          <w:tcPr>
            <w:tcW w:w="1843" w:type="dxa"/>
            <w:shd w:val="clear" w:color="auto" w:fill="auto"/>
            <w:noWrap/>
            <w:vAlign w:val="center"/>
          </w:tcPr>
          <w:p w14:paraId="61365A63" w14:textId="77777777" w:rsidR="0070585C" w:rsidRPr="009F4EA8" w:rsidRDefault="0070585C" w:rsidP="00936F9F">
            <w:pPr>
              <w:rPr>
                <w:b/>
                <w:color w:val="000000"/>
                <w:szCs w:val="22"/>
              </w:rPr>
            </w:pPr>
            <w:r w:rsidRPr="009F4EA8">
              <w:rPr>
                <w:b/>
                <w:color w:val="000000"/>
                <w:szCs w:val="22"/>
              </w:rPr>
              <w:t>6 - 14 let</w:t>
            </w:r>
          </w:p>
        </w:tc>
        <w:tc>
          <w:tcPr>
            <w:tcW w:w="992" w:type="dxa"/>
            <w:shd w:val="clear" w:color="auto" w:fill="auto"/>
            <w:noWrap/>
            <w:vAlign w:val="center"/>
          </w:tcPr>
          <w:p w14:paraId="7D367A01" w14:textId="77777777" w:rsidR="0070585C" w:rsidRPr="007870CB" w:rsidRDefault="0070585C" w:rsidP="00936F9F">
            <w:pPr>
              <w:jc w:val="right"/>
              <w:rPr>
                <w:sz w:val="18"/>
                <w:szCs w:val="22"/>
              </w:rPr>
            </w:pPr>
            <w:r w:rsidRPr="007870CB">
              <w:rPr>
                <w:sz w:val="18"/>
                <w:szCs w:val="22"/>
              </w:rPr>
              <w:t>959 044,0</w:t>
            </w:r>
          </w:p>
        </w:tc>
        <w:tc>
          <w:tcPr>
            <w:tcW w:w="1417" w:type="dxa"/>
            <w:tcBorders>
              <w:top w:val="nil"/>
              <w:left w:val="single" w:sz="8" w:space="0" w:color="auto"/>
              <w:bottom w:val="single" w:sz="4" w:space="0" w:color="auto"/>
              <w:right w:val="single" w:sz="4" w:space="0" w:color="auto"/>
            </w:tcBorders>
            <w:shd w:val="clear" w:color="auto" w:fill="auto"/>
            <w:noWrap/>
            <w:tcMar>
              <w:right w:w="28" w:type="dxa"/>
            </w:tcMar>
            <w:vAlign w:val="center"/>
          </w:tcPr>
          <w:p w14:paraId="2DF363BD" w14:textId="77777777" w:rsidR="0070585C" w:rsidRPr="007870CB" w:rsidRDefault="0070585C" w:rsidP="00936F9F">
            <w:pPr>
              <w:jc w:val="right"/>
              <w:rPr>
                <w:sz w:val="18"/>
              </w:rPr>
            </w:pPr>
            <w:r w:rsidRPr="007870CB">
              <w:rPr>
                <w:sz w:val="18"/>
              </w:rPr>
              <w:t>71 035 430 044</w:t>
            </w:r>
          </w:p>
        </w:tc>
        <w:tc>
          <w:tcPr>
            <w:tcW w:w="1281" w:type="dxa"/>
            <w:shd w:val="clear" w:color="auto" w:fill="auto"/>
            <w:noWrap/>
            <w:tcMar>
              <w:right w:w="28" w:type="dxa"/>
            </w:tcMar>
            <w:vAlign w:val="center"/>
          </w:tcPr>
          <w:p w14:paraId="6D46085F" w14:textId="77777777" w:rsidR="0070585C" w:rsidRPr="007870CB" w:rsidRDefault="0070585C" w:rsidP="00936F9F">
            <w:pPr>
              <w:jc w:val="right"/>
              <w:rPr>
                <w:sz w:val="18"/>
              </w:rPr>
            </w:pPr>
            <w:r w:rsidRPr="007870CB">
              <w:rPr>
                <w:sz w:val="18"/>
              </w:rPr>
              <w:t>58 369 335 932</w:t>
            </w:r>
          </w:p>
        </w:tc>
        <w:tc>
          <w:tcPr>
            <w:tcW w:w="1276" w:type="dxa"/>
            <w:shd w:val="clear" w:color="auto" w:fill="auto"/>
            <w:tcMar>
              <w:right w:w="28" w:type="dxa"/>
            </w:tcMar>
            <w:vAlign w:val="center"/>
          </w:tcPr>
          <w:p w14:paraId="32BC25FD" w14:textId="77777777" w:rsidR="0070585C" w:rsidRPr="007870CB" w:rsidRDefault="0070585C" w:rsidP="00936F9F">
            <w:pPr>
              <w:jc w:val="right"/>
              <w:rPr>
                <w:sz w:val="18"/>
              </w:rPr>
            </w:pPr>
            <w:r w:rsidRPr="007870CB">
              <w:rPr>
                <w:sz w:val="18"/>
              </w:rPr>
              <w:t>11 576 620 128</w:t>
            </w:r>
          </w:p>
        </w:tc>
        <w:tc>
          <w:tcPr>
            <w:tcW w:w="1134" w:type="dxa"/>
            <w:tcBorders>
              <w:top w:val="nil"/>
              <w:left w:val="single" w:sz="4" w:space="0" w:color="auto"/>
              <w:bottom w:val="single" w:sz="4" w:space="0" w:color="auto"/>
              <w:right w:val="single" w:sz="4" w:space="0" w:color="auto"/>
            </w:tcBorders>
            <w:shd w:val="clear" w:color="auto" w:fill="auto"/>
            <w:tcMar>
              <w:right w:w="28" w:type="dxa"/>
            </w:tcMar>
            <w:vAlign w:val="center"/>
          </w:tcPr>
          <w:p w14:paraId="770A2FF3" w14:textId="77777777" w:rsidR="0070585C" w:rsidRPr="007870CB" w:rsidRDefault="0070585C" w:rsidP="00936F9F">
            <w:pPr>
              <w:jc w:val="right"/>
              <w:rPr>
                <w:sz w:val="18"/>
              </w:rPr>
            </w:pPr>
            <w:r w:rsidRPr="007870CB">
              <w:rPr>
                <w:sz w:val="18"/>
              </w:rPr>
              <w:t>1 089 473 984</w:t>
            </w:r>
          </w:p>
        </w:tc>
        <w:tc>
          <w:tcPr>
            <w:tcW w:w="975" w:type="dxa"/>
            <w:shd w:val="clear" w:color="auto" w:fill="auto"/>
            <w:noWrap/>
            <w:tcMar>
              <w:right w:w="28" w:type="dxa"/>
            </w:tcMar>
          </w:tcPr>
          <w:p w14:paraId="5CDE83B3" w14:textId="77777777" w:rsidR="0070585C" w:rsidRPr="007870CB" w:rsidRDefault="0070585C" w:rsidP="00936F9F">
            <w:pPr>
              <w:jc w:val="right"/>
              <w:rPr>
                <w:sz w:val="18"/>
              </w:rPr>
            </w:pPr>
            <w:r w:rsidRPr="007870CB">
              <w:rPr>
                <w:sz w:val="18"/>
              </w:rPr>
              <w:t>123 837,51</w:t>
            </w:r>
          </w:p>
        </w:tc>
      </w:tr>
      <w:tr w:rsidR="0070585C" w:rsidRPr="008B42CF" w14:paraId="55C8B8CA" w14:textId="77777777" w:rsidTr="009332D5">
        <w:trPr>
          <w:trHeight w:hRule="exact" w:val="284"/>
        </w:trPr>
        <w:tc>
          <w:tcPr>
            <w:tcW w:w="1843" w:type="dxa"/>
            <w:shd w:val="clear" w:color="auto" w:fill="auto"/>
            <w:noWrap/>
            <w:vAlign w:val="center"/>
          </w:tcPr>
          <w:p w14:paraId="49C7F61D" w14:textId="77777777" w:rsidR="0070585C" w:rsidRPr="009F4EA8" w:rsidRDefault="0070585C" w:rsidP="00936F9F">
            <w:pPr>
              <w:rPr>
                <w:b/>
                <w:color w:val="000000"/>
                <w:szCs w:val="22"/>
              </w:rPr>
            </w:pPr>
            <w:r w:rsidRPr="009F4EA8">
              <w:rPr>
                <w:b/>
                <w:color w:val="000000"/>
                <w:szCs w:val="22"/>
              </w:rPr>
              <w:t>15 - 18 let</w:t>
            </w:r>
          </w:p>
        </w:tc>
        <w:tc>
          <w:tcPr>
            <w:tcW w:w="992" w:type="dxa"/>
            <w:shd w:val="clear" w:color="auto" w:fill="auto"/>
            <w:noWrap/>
            <w:vAlign w:val="center"/>
          </w:tcPr>
          <w:p w14:paraId="17399B9E" w14:textId="77777777" w:rsidR="0070585C" w:rsidRPr="007870CB" w:rsidRDefault="0070585C" w:rsidP="00936F9F">
            <w:pPr>
              <w:jc w:val="right"/>
              <w:rPr>
                <w:sz w:val="18"/>
                <w:szCs w:val="22"/>
              </w:rPr>
            </w:pPr>
            <w:r w:rsidRPr="007870CB">
              <w:rPr>
                <w:sz w:val="18"/>
                <w:szCs w:val="22"/>
              </w:rPr>
              <w:t>311 562,0</w:t>
            </w:r>
          </w:p>
        </w:tc>
        <w:tc>
          <w:tcPr>
            <w:tcW w:w="1417" w:type="dxa"/>
            <w:tcBorders>
              <w:top w:val="nil"/>
              <w:left w:val="single" w:sz="8" w:space="0" w:color="auto"/>
              <w:bottom w:val="single" w:sz="4" w:space="0" w:color="auto"/>
              <w:right w:val="single" w:sz="4" w:space="0" w:color="auto"/>
            </w:tcBorders>
            <w:shd w:val="clear" w:color="auto" w:fill="auto"/>
            <w:noWrap/>
            <w:tcMar>
              <w:right w:w="28" w:type="dxa"/>
            </w:tcMar>
            <w:vAlign w:val="center"/>
          </w:tcPr>
          <w:p w14:paraId="1813B127" w14:textId="77777777" w:rsidR="0070585C" w:rsidRPr="007870CB" w:rsidRDefault="0070585C" w:rsidP="00936F9F">
            <w:pPr>
              <w:jc w:val="right"/>
              <w:rPr>
                <w:sz w:val="18"/>
              </w:rPr>
            </w:pPr>
            <w:r w:rsidRPr="007870CB">
              <w:rPr>
                <w:sz w:val="18"/>
              </w:rPr>
              <w:t>26 937 962 082</w:t>
            </w:r>
          </w:p>
        </w:tc>
        <w:tc>
          <w:tcPr>
            <w:tcW w:w="1281" w:type="dxa"/>
            <w:shd w:val="clear" w:color="auto" w:fill="auto"/>
            <w:noWrap/>
            <w:tcMar>
              <w:right w:w="28" w:type="dxa"/>
            </w:tcMar>
            <w:vAlign w:val="center"/>
          </w:tcPr>
          <w:p w14:paraId="467FD3D9" w14:textId="77777777" w:rsidR="0070585C" w:rsidRPr="007870CB" w:rsidRDefault="0070585C" w:rsidP="00936F9F">
            <w:pPr>
              <w:jc w:val="right"/>
              <w:rPr>
                <w:sz w:val="18"/>
              </w:rPr>
            </w:pPr>
            <w:r w:rsidRPr="007870CB">
              <w:rPr>
                <w:sz w:val="18"/>
              </w:rPr>
              <w:t>21 554 482 284</w:t>
            </w:r>
          </w:p>
        </w:tc>
        <w:tc>
          <w:tcPr>
            <w:tcW w:w="1276" w:type="dxa"/>
            <w:shd w:val="clear" w:color="auto" w:fill="auto"/>
            <w:tcMar>
              <w:right w:w="28" w:type="dxa"/>
            </w:tcMar>
            <w:vAlign w:val="center"/>
          </w:tcPr>
          <w:p w14:paraId="30EF0BE4" w14:textId="77777777" w:rsidR="0070585C" w:rsidRPr="007870CB" w:rsidRDefault="0070585C" w:rsidP="00936F9F">
            <w:pPr>
              <w:jc w:val="right"/>
              <w:rPr>
                <w:sz w:val="18"/>
              </w:rPr>
            </w:pPr>
            <w:r w:rsidRPr="007870CB">
              <w:rPr>
                <w:sz w:val="18"/>
              </w:rPr>
              <w:t>5 035 465 044</w:t>
            </w:r>
          </w:p>
        </w:tc>
        <w:tc>
          <w:tcPr>
            <w:tcW w:w="1134" w:type="dxa"/>
            <w:tcBorders>
              <w:top w:val="nil"/>
              <w:left w:val="single" w:sz="4" w:space="0" w:color="auto"/>
              <w:bottom w:val="single" w:sz="4" w:space="0" w:color="auto"/>
              <w:right w:val="single" w:sz="4" w:space="0" w:color="auto"/>
            </w:tcBorders>
            <w:shd w:val="clear" w:color="auto" w:fill="auto"/>
            <w:tcMar>
              <w:right w:w="28" w:type="dxa"/>
            </w:tcMar>
            <w:vAlign w:val="center"/>
          </w:tcPr>
          <w:p w14:paraId="5DA7FE6C" w14:textId="77777777" w:rsidR="0070585C" w:rsidRPr="007870CB" w:rsidRDefault="0070585C" w:rsidP="00936F9F">
            <w:pPr>
              <w:jc w:val="right"/>
              <w:rPr>
                <w:sz w:val="18"/>
              </w:rPr>
            </w:pPr>
            <w:r w:rsidRPr="007870CB">
              <w:rPr>
                <w:sz w:val="18"/>
              </w:rPr>
              <w:t>348 014 754</w:t>
            </w:r>
          </w:p>
        </w:tc>
        <w:tc>
          <w:tcPr>
            <w:tcW w:w="975" w:type="dxa"/>
            <w:shd w:val="clear" w:color="auto" w:fill="auto"/>
            <w:noWrap/>
            <w:tcMar>
              <w:right w:w="28" w:type="dxa"/>
            </w:tcMar>
          </w:tcPr>
          <w:p w14:paraId="10D851D9" w14:textId="77777777" w:rsidR="0070585C" w:rsidRPr="007870CB" w:rsidRDefault="0070585C" w:rsidP="00936F9F">
            <w:pPr>
              <w:jc w:val="right"/>
              <w:rPr>
                <w:sz w:val="18"/>
              </w:rPr>
            </w:pPr>
            <w:r w:rsidRPr="007870CB">
              <w:rPr>
                <w:sz w:val="18"/>
              </w:rPr>
              <w:t>45 384,92</w:t>
            </w:r>
          </w:p>
        </w:tc>
      </w:tr>
      <w:tr w:rsidR="0070585C" w:rsidRPr="008B42CF" w14:paraId="7485C68A" w14:textId="77777777" w:rsidTr="009332D5">
        <w:trPr>
          <w:trHeight w:hRule="exact" w:val="284"/>
        </w:trPr>
        <w:tc>
          <w:tcPr>
            <w:tcW w:w="1843" w:type="dxa"/>
            <w:shd w:val="clear" w:color="auto" w:fill="auto"/>
            <w:noWrap/>
            <w:vAlign w:val="center"/>
          </w:tcPr>
          <w:p w14:paraId="1065F7C0" w14:textId="77777777" w:rsidR="0070585C" w:rsidRPr="009F4EA8" w:rsidRDefault="0070585C" w:rsidP="00936F9F">
            <w:pPr>
              <w:rPr>
                <w:b/>
                <w:color w:val="000000"/>
                <w:szCs w:val="22"/>
              </w:rPr>
            </w:pPr>
            <w:r w:rsidRPr="009F4EA8">
              <w:rPr>
                <w:b/>
                <w:color w:val="000000"/>
                <w:szCs w:val="22"/>
              </w:rPr>
              <w:t>19 - 21 let</w:t>
            </w:r>
          </w:p>
        </w:tc>
        <w:tc>
          <w:tcPr>
            <w:tcW w:w="992" w:type="dxa"/>
            <w:shd w:val="clear" w:color="auto" w:fill="auto"/>
            <w:noWrap/>
            <w:vAlign w:val="center"/>
          </w:tcPr>
          <w:p w14:paraId="32DE367A" w14:textId="77777777" w:rsidR="0070585C" w:rsidRPr="007870CB" w:rsidRDefault="0070585C" w:rsidP="00936F9F">
            <w:pPr>
              <w:jc w:val="right"/>
              <w:rPr>
                <w:sz w:val="18"/>
                <w:szCs w:val="22"/>
              </w:rPr>
            </w:pPr>
            <w:r w:rsidRPr="007870CB">
              <w:rPr>
                <w:sz w:val="18"/>
                <w:szCs w:val="22"/>
              </w:rPr>
              <w:t>8 047,0</w:t>
            </w:r>
          </w:p>
        </w:tc>
        <w:tc>
          <w:tcPr>
            <w:tcW w:w="1417" w:type="dxa"/>
            <w:tcBorders>
              <w:top w:val="nil"/>
              <w:left w:val="single" w:sz="8" w:space="0" w:color="auto"/>
              <w:bottom w:val="single" w:sz="4" w:space="0" w:color="auto"/>
              <w:right w:val="single" w:sz="4" w:space="0" w:color="auto"/>
            </w:tcBorders>
            <w:shd w:val="clear" w:color="auto" w:fill="auto"/>
            <w:noWrap/>
            <w:tcMar>
              <w:right w:w="28" w:type="dxa"/>
            </w:tcMar>
            <w:vAlign w:val="center"/>
          </w:tcPr>
          <w:p w14:paraId="11DCA2DE" w14:textId="77777777" w:rsidR="0070585C" w:rsidRPr="007870CB" w:rsidRDefault="0070585C" w:rsidP="00936F9F">
            <w:pPr>
              <w:jc w:val="right"/>
              <w:rPr>
                <w:sz w:val="18"/>
              </w:rPr>
            </w:pPr>
            <w:r w:rsidRPr="007870CB">
              <w:rPr>
                <w:sz w:val="18"/>
              </w:rPr>
              <w:t>595 365 342</w:t>
            </w:r>
          </w:p>
        </w:tc>
        <w:tc>
          <w:tcPr>
            <w:tcW w:w="1281" w:type="dxa"/>
            <w:shd w:val="clear" w:color="auto" w:fill="auto"/>
            <w:noWrap/>
            <w:tcMar>
              <w:right w:w="28" w:type="dxa"/>
            </w:tcMar>
            <w:vAlign w:val="center"/>
          </w:tcPr>
          <w:p w14:paraId="5860C922" w14:textId="77777777" w:rsidR="0070585C" w:rsidRPr="007870CB" w:rsidRDefault="0070585C" w:rsidP="00936F9F">
            <w:pPr>
              <w:jc w:val="right"/>
              <w:rPr>
                <w:sz w:val="18"/>
              </w:rPr>
            </w:pPr>
            <w:r w:rsidRPr="007870CB">
              <w:rPr>
                <w:sz w:val="18"/>
              </w:rPr>
              <w:t>491 382 008</w:t>
            </w:r>
          </w:p>
        </w:tc>
        <w:tc>
          <w:tcPr>
            <w:tcW w:w="1276" w:type="dxa"/>
            <w:shd w:val="clear" w:color="auto" w:fill="auto"/>
            <w:tcMar>
              <w:right w:w="28" w:type="dxa"/>
            </w:tcMar>
            <w:vAlign w:val="center"/>
          </w:tcPr>
          <w:p w14:paraId="1410F6D2" w14:textId="77777777" w:rsidR="0070585C" w:rsidRPr="007870CB" w:rsidRDefault="0070585C" w:rsidP="00936F9F">
            <w:pPr>
              <w:jc w:val="right"/>
              <w:rPr>
                <w:sz w:val="18"/>
              </w:rPr>
            </w:pPr>
            <w:r w:rsidRPr="007870CB">
              <w:rPr>
                <w:sz w:val="18"/>
              </w:rPr>
              <w:t>98 350 434</w:t>
            </w:r>
          </w:p>
        </w:tc>
        <w:tc>
          <w:tcPr>
            <w:tcW w:w="1134" w:type="dxa"/>
            <w:tcBorders>
              <w:top w:val="nil"/>
              <w:left w:val="single" w:sz="4" w:space="0" w:color="auto"/>
              <w:bottom w:val="single" w:sz="4" w:space="0" w:color="auto"/>
              <w:right w:val="single" w:sz="4" w:space="0" w:color="auto"/>
            </w:tcBorders>
            <w:shd w:val="clear" w:color="auto" w:fill="auto"/>
            <w:tcMar>
              <w:right w:w="28" w:type="dxa"/>
            </w:tcMar>
            <w:vAlign w:val="center"/>
          </w:tcPr>
          <w:p w14:paraId="69D9851E" w14:textId="77777777" w:rsidR="0070585C" w:rsidRPr="007870CB" w:rsidRDefault="0070585C" w:rsidP="00936F9F">
            <w:pPr>
              <w:jc w:val="right"/>
              <w:rPr>
                <w:sz w:val="18"/>
              </w:rPr>
            </w:pPr>
            <w:r w:rsidRPr="007870CB">
              <w:rPr>
                <w:sz w:val="18"/>
              </w:rPr>
              <w:t>5 632 900</w:t>
            </w:r>
          </w:p>
        </w:tc>
        <w:tc>
          <w:tcPr>
            <w:tcW w:w="975" w:type="dxa"/>
            <w:shd w:val="clear" w:color="auto" w:fill="auto"/>
            <w:noWrap/>
            <w:tcMar>
              <w:right w:w="28" w:type="dxa"/>
            </w:tcMar>
          </w:tcPr>
          <w:p w14:paraId="58D4BDE4" w14:textId="77777777" w:rsidR="0070585C" w:rsidRPr="007870CB" w:rsidRDefault="0070585C" w:rsidP="00936F9F">
            <w:pPr>
              <w:jc w:val="right"/>
              <w:rPr>
                <w:sz w:val="18"/>
              </w:rPr>
            </w:pPr>
            <w:r w:rsidRPr="007870CB">
              <w:rPr>
                <w:sz w:val="18"/>
              </w:rPr>
              <w:t>1 037,16</w:t>
            </w:r>
          </w:p>
        </w:tc>
      </w:tr>
      <w:tr w:rsidR="0070585C" w:rsidRPr="008B42CF" w14:paraId="3549C919" w14:textId="77777777" w:rsidTr="009332D5">
        <w:trPr>
          <w:trHeight w:hRule="exact" w:val="284"/>
        </w:trPr>
        <w:tc>
          <w:tcPr>
            <w:tcW w:w="1843" w:type="dxa"/>
            <w:tcBorders>
              <w:bottom w:val="single" w:sz="8" w:space="0" w:color="auto"/>
            </w:tcBorders>
            <w:shd w:val="clear" w:color="auto" w:fill="auto"/>
            <w:noWrap/>
            <w:vAlign w:val="center"/>
          </w:tcPr>
          <w:p w14:paraId="4B1E9FDB" w14:textId="77777777" w:rsidR="0070585C" w:rsidRPr="009F4EA8" w:rsidRDefault="0070585C" w:rsidP="00936F9F">
            <w:pPr>
              <w:rPr>
                <w:b/>
                <w:color w:val="000000"/>
                <w:szCs w:val="22"/>
              </w:rPr>
            </w:pPr>
            <w:r w:rsidRPr="009F4EA8">
              <w:rPr>
                <w:b/>
                <w:color w:val="000000"/>
                <w:szCs w:val="22"/>
              </w:rPr>
              <w:t>3-18 let v KZÚV</w:t>
            </w:r>
          </w:p>
        </w:tc>
        <w:tc>
          <w:tcPr>
            <w:tcW w:w="992" w:type="dxa"/>
            <w:tcBorders>
              <w:bottom w:val="single" w:sz="8" w:space="0" w:color="auto"/>
            </w:tcBorders>
            <w:shd w:val="clear" w:color="auto" w:fill="auto"/>
            <w:noWrap/>
            <w:vAlign w:val="center"/>
          </w:tcPr>
          <w:p w14:paraId="70E77AFC" w14:textId="77777777" w:rsidR="0070585C" w:rsidRPr="007870CB" w:rsidRDefault="0070585C" w:rsidP="00936F9F">
            <w:pPr>
              <w:jc w:val="right"/>
              <w:rPr>
                <w:sz w:val="18"/>
                <w:szCs w:val="22"/>
              </w:rPr>
            </w:pPr>
            <w:r w:rsidRPr="007870CB">
              <w:rPr>
                <w:sz w:val="18"/>
                <w:szCs w:val="22"/>
              </w:rPr>
              <w:t>4 774,0</w:t>
            </w:r>
          </w:p>
        </w:tc>
        <w:tc>
          <w:tcPr>
            <w:tcW w:w="1417" w:type="dxa"/>
            <w:tcBorders>
              <w:top w:val="nil"/>
              <w:left w:val="single" w:sz="8" w:space="0" w:color="auto"/>
              <w:bottom w:val="nil"/>
              <w:right w:val="single" w:sz="4" w:space="0" w:color="auto"/>
            </w:tcBorders>
            <w:shd w:val="clear" w:color="auto" w:fill="auto"/>
            <w:noWrap/>
            <w:tcMar>
              <w:right w:w="28" w:type="dxa"/>
            </w:tcMar>
            <w:vAlign w:val="center"/>
          </w:tcPr>
          <w:p w14:paraId="7B65FAFF" w14:textId="77777777" w:rsidR="0070585C" w:rsidRPr="007870CB" w:rsidRDefault="0070585C" w:rsidP="00936F9F">
            <w:pPr>
              <w:jc w:val="right"/>
              <w:rPr>
                <w:sz w:val="18"/>
              </w:rPr>
            </w:pPr>
            <w:r w:rsidRPr="007870CB">
              <w:rPr>
                <w:sz w:val="18"/>
              </w:rPr>
              <w:t>1 684 162 172</w:t>
            </w:r>
          </w:p>
        </w:tc>
        <w:tc>
          <w:tcPr>
            <w:tcW w:w="1281" w:type="dxa"/>
            <w:tcBorders>
              <w:bottom w:val="single" w:sz="8" w:space="0" w:color="auto"/>
            </w:tcBorders>
            <w:shd w:val="clear" w:color="auto" w:fill="auto"/>
            <w:noWrap/>
            <w:tcMar>
              <w:right w:w="28" w:type="dxa"/>
            </w:tcMar>
            <w:vAlign w:val="center"/>
          </w:tcPr>
          <w:p w14:paraId="125B06BF" w14:textId="77777777" w:rsidR="0070585C" w:rsidRPr="007870CB" w:rsidRDefault="0070585C" w:rsidP="00936F9F">
            <w:pPr>
              <w:jc w:val="right"/>
              <w:rPr>
                <w:sz w:val="18"/>
              </w:rPr>
            </w:pPr>
            <w:r w:rsidRPr="007870CB">
              <w:rPr>
                <w:sz w:val="18"/>
              </w:rPr>
              <w:t>1 231 520 136</w:t>
            </w:r>
          </w:p>
        </w:tc>
        <w:tc>
          <w:tcPr>
            <w:tcW w:w="1276" w:type="dxa"/>
            <w:tcBorders>
              <w:bottom w:val="single" w:sz="8" w:space="0" w:color="auto"/>
            </w:tcBorders>
            <w:shd w:val="clear" w:color="auto" w:fill="auto"/>
            <w:tcMar>
              <w:right w:w="28" w:type="dxa"/>
            </w:tcMar>
            <w:vAlign w:val="center"/>
          </w:tcPr>
          <w:p w14:paraId="491E7579" w14:textId="77777777" w:rsidR="0070585C" w:rsidRPr="007870CB" w:rsidRDefault="0070585C" w:rsidP="00936F9F">
            <w:pPr>
              <w:jc w:val="right"/>
              <w:rPr>
                <w:sz w:val="18"/>
              </w:rPr>
            </w:pPr>
            <w:r w:rsidRPr="007870CB">
              <w:rPr>
                <w:sz w:val="18"/>
              </w:rPr>
              <w:t>440 707 036</w:t>
            </w:r>
          </w:p>
        </w:tc>
        <w:tc>
          <w:tcPr>
            <w:tcW w:w="1134" w:type="dxa"/>
            <w:tcBorders>
              <w:top w:val="nil"/>
              <w:left w:val="single" w:sz="4" w:space="0" w:color="auto"/>
              <w:bottom w:val="nil"/>
              <w:right w:val="single" w:sz="4" w:space="0" w:color="auto"/>
            </w:tcBorders>
            <w:shd w:val="clear" w:color="auto" w:fill="auto"/>
            <w:tcMar>
              <w:right w:w="28" w:type="dxa"/>
            </w:tcMar>
            <w:vAlign w:val="center"/>
          </w:tcPr>
          <w:p w14:paraId="308D839E" w14:textId="77777777" w:rsidR="0070585C" w:rsidRPr="007870CB" w:rsidRDefault="0070585C" w:rsidP="00936F9F">
            <w:pPr>
              <w:jc w:val="right"/>
              <w:rPr>
                <w:sz w:val="18"/>
              </w:rPr>
            </w:pPr>
            <w:r w:rsidRPr="007870CB">
              <w:rPr>
                <w:sz w:val="18"/>
              </w:rPr>
              <w:t>11 935 000</w:t>
            </w:r>
          </w:p>
        </w:tc>
        <w:tc>
          <w:tcPr>
            <w:tcW w:w="975" w:type="dxa"/>
            <w:tcBorders>
              <w:bottom w:val="single" w:sz="8" w:space="0" w:color="auto"/>
            </w:tcBorders>
            <w:shd w:val="clear" w:color="auto" w:fill="auto"/>
            <w:noWrap/>
            <w:tcMar>
              <w:right w:w="28" w:type="dxa"/>
            </w:tcMar>
          </w:tcPr>
          <w:p w14:paraId="3FFF0403" w14:textId="77777777" w:rsidR="0070585C" w:rsidRPr="007870CB" w:rsidRDefault="0070585C" w:rsidP="00936F9F">
            <w:pPr>
              <w:jc w:val="right"/>
              <w:rPr>
                <w:sz w:val="18"/>
              </w:rPr>
            </w:pPr>
            <w:r w:rsidRPr="007870CB">
              <w:rPr>
                <w:sz w:val="18"/>
              </w:rPr>
              <w:t>3 343,68</w:t>
            </w:r>
          </w:p>
        </w:tc>
      </w:tr>
      <w:tr w:rsidR="0070585C" w:rsidRPr="008B42CF" w14:paraId="7081C211" w14:textId="77777777" w:rsidTr="009332D5">
        <w:trPr>
          <w:trHeight w:hRule="exact" w:val="284"/>
        </w:trPr>
        <w:tc>
          <w:tcPr>
            <w:tcW w:w="1843" w:type="dxa"/>
            <w:tcBorders>
              <w:top w:val="single" w:sz="8" w:space="0" w:color="auto"/>
              <w:bottom w:val="single" w:sz="8" w:space="0" w:color="auto"/>
            </w:tcBorders>
            <w:shd w:val="clear" w:color="auto" w:fill="auto"/>
            <w:noWrap/>
            <w:vAlign w:val="center"/>
          </w:tcPr>
          <w:p w14:paraId="6AB48E09" w14:textId="77777777" w:rsidR="0070585C" w:rsidRPr="009F4EA8" w:rsidRDefault="0070585C" w:rsidP="00936F9F">
            <w:pPr>
              <w:rPr>
                <w:b/>
                <w:bCs/>
                <w:szCs w:val="22"/>
              </w:rPr>
            </w:pPr>
            <w:r w:rsidRPr="009F4EA8">
              <w:rPr>
                <w:b/>
                <w:bCs/>
                <w:szCs w:val="22"/>
              </w:rPr>
              <w:t xml:space="preserve">RgŠ ÚSC celkem </w:t>
            </w:r>
          </w:p>
        </w:tc>
        <w:tc>
          <w:tcPr>
            <w:tcW w:w="992" w:type="dxa"/>
            <w:tcBorders>
              <w:top w:val="single" w:sz="8" w:space="0" w:color="auto"/>
              <w:bottom w:val="single" w:sz="8" w:space="0" w:color="auto"/>
            </w:tcBorders>
            <w:shd w:val="clear" w:color="auto" w:fill="auto"/>
            <w:noWrap/>
            <w:vAlign w:val="center"/>
          </w:tcPr>
          <w:p w14:paraId="2BB9D3D3" w14:textId="77777777" w:rsidR="0070585C" w:rsidRPr="007870CB" w:rsidRDefault="0070585C" w:rsidP="00936F9F">
            <w:pPr>
              <w:jc w:val="right"/>
              <w:rPr>
                <w:sz w:val="18"/>
                <w:szCs w:val="22"/>
              </w:rPr>
            </w:pPr>
            <w:r w:rsidRPr="007870CB">
              <w:rPr>
                <w:sz w:val="18"/>
                <w:szCs w:val="22"/>
              </w:rPr>
              <w:t>1 634 581,6</w:t>
            </w:r>
          </w:p>
        </w:tc>
        <w:tc>
          <w:tcPr>
            <w:tcW w:w="1417" w:type="dxa"/>
            <w:tcBorders>
              <w:top w:val="single" w:sz="8" w:space="0" w:color="auto"/>
              <w:left w:val="single" w:sz="8" w:space="0" w:color="auto"/>
              <w:bottom w:val="single" w:sz="8" w:space="0" w:color="auto"/>
              <w:right w:val="single" w:sz="4" w:space="0" w:color="auto"/>
            </w:tcBorders>
            <w:shd w:val="clear" w:color="auto" w:fill="auto"/>
            <w:noWrap/>
            <w:tcMar>
              <w:right w:w="28" w:type="dxa"/>
            </w:tcMar>
            <w:vAlign w:val="center"/>
          </w:tcPr>
          <w:p w14:paraId="1300165A" w14:textId="77777777" w:rsidR="0070585C" w:rsidRPr="007870CB" w:rsidRDefault="0070585C" w:rsidP="00936F9F">
            <w:pPr>
              <w:jc w:val="right"/>
              <w:rPr>
                <w:sz w:val="18"/>
              </w:rPr>
            </w:pPr>
            <w:r w:rsidRPr="007870CB">
              <w:rPr>
                <w:sz w:val="18"/>
              </w:rPr>
              <w:t>120 686 954 063</w:t>
            </w:r>
          </w:p>
        </w:tc>
        <w:tc>
          <w:tcPr>
            <w:tcW w:w="1281" w:type="dxa"/>
            <w:tcBorders>
              <w:top w:val="single" w:sz="8" w:space="0" w:color="auto"/>
              <w:bottom w:val="single" w:sz="8" w:space="0" w:color="auto"/>
            </w:tcBorders>
            <w:shd w:val="clear" w:color="auto" w:fill="auto"/>
            <w:noWrap/>
            <w:tcMar>
              <w:right w:w="28" w:type="dxa"/>
            </w:tcMar>
            <w:vAlign w:val="center"/>
          </w:tcPr>
          <w:p w14:paraId="0566463A" w14:textId="77777777" w:rsidR="0070585C" w:rsidRPr="007870CB" w:rsidRDefault="0070585C" w:rsidP="00936F9F">
            <w:pPr>
              <w:jc w:val="right"/>
              <w:rPr>
                <w:sz w:val="18"/>
              </w:rPr>
            </w:pPr>
            <w:r w:rsidRPr="007870CB">
              <w:rPr>
                <w:sz w:val="18"/>
              </w:rPr>
              <w:t>97 365 451 484</w:t>
            </w:r>
          </w:p>
        </w:tc>
        <w:tc>
          <w:tcPr>
            <w:tcW w:w="1276" w:type="dxa"/>
            <w:tcBorders>
              <w:top w:val="single" w:sz="8" w:space="0" w:color="auto"/>
              <w:bottom w:val="single" w:sz="8" w:space="0" w:color="auto"/>
            </w:tcBorders>
            <w:shd w:val="clear" w:color="auto" w:fill="auto"/>
            <w:tcMar>
              <w:right w:w="28" w:type="dxa"/>
            </w:tcMar>
            <w:vAlign w:val="center"/>
          </w:tcPr>
          <w:p w14:paraId="3FA0D625" w14:textId="77777777" w:rsidR="0070585C" w:rsidRPr="007870CB" w:rsidRDefault="0070585C" w:rsidP="00936F9F">
            <w:pPr>
              <w:jc w:val="right"/>
              <w:rPr>
                <w:sz w:val="18"/>
              </w:rPr>
            </w:pPr>
            <w:r w:rsidRPr="007870CB">
              <w:rPr>
                <w:sz w:val="18"/>
              </w:rPr>
              <w:t>21 676 471 328</w:t>
            </w:r>
          </w:p>
        </w:tc>
        <w:tc>
          <w:tcPr>
            <w:tcW w:w="1134" w:type="dxa"/>
            <w:tcBorders>
              <w:top w:val="single" w:sz="8" w:space="0" w:color="auto"/>
              <w:left w:val="single" w:sz="4" w:space="0" w:color="auto"/>
              <w:bottom w:val="single" w:sz="8" w:space="0" w:color="auto"/>
              <w:right w:val="single" w:sz="4" w:space="0" w:color="auto"/>
            </w:tcBorders>
            <w:shd w:val="clear" w:color="auto" w:fill="auto"/>
            <w:tcMar>
              <w:right w:w="28" w:type="dxa"/>
            </w:tcMar>
            <w:vAlign w:val="center"/>
          </w:tcPr>
          <w:p w14:paraId="18441054" w14:textId="77777777" w:rsidR="0070585C" w:rsidRPr="007870CB" w:rsidRDefault="0070585C" w:rsidP="00936F9F">
            <w:pPr>
              <w:jc w:val="right"/>
              <w:rPr>
                <w:sz w:val="18"/>
              </w:rPr>
            </w:pPr>
            <w:r w:rsidRPr="007870CB">
              <w:rPr>
                <w:sz w:val="18"/>
              </w:rPr>
              <w:t>1 645 031 251</w:t>
            </w:r>
          </w:p>
        </w:tc>
        <w:tc>
          <w:tcPr>
            <w:tcW w:w="975" w:type="dxa"/>
            <w:tcBorders>
              <w:top w:val="single" w:sz="8" w:space="0" w:color="auto"/>
              <w:bottom w:val="single" w:sz="8" w:space="0" w:color="auto"/>
            </w:tcBorders>
            <w:shd w:val="clear" w:color="auto" w:fill="auto"/>
            <w:noWrap/>
            <w:tcMar>
              <w:right w:w="28" w:type="dxa"/>
            </w:tcMar>
          </w:tcPr>
          <w:p w14:paraId="0633138D" w14:textId="77777777" w:rsidR="0070585C" w:rsidRPr="007870CB" w:rsidRDefault="0070585C" w:rsidP="00936F9F">
            <w:pPr>
              <w:jc w:val="right"/>
              <w:rPr>
                <w:sz w:val="18"/>
              </w:rPr>
            </w:pPr>
            <w:r w:rsidRPr="007870CB">
              <w:rPr>
                <w:sz w:val="18"/>
              </w:rPr>
              <w:t>218 464,31</w:t>
            </w:r>
          </w:p>
        </w:tc>
      </w:tr>
    </w:tbl>
    <w:p w14:paraId="3CFEE8B5" w14:textId="77777777" w:rsidR="0070585C" w:rsidRDefault="0070585C" w:rsidP="0070585C">
      <w:pPr>
        <w:pStyle w:val="Textpsmene"/>
        <w:numPr>
          <w:ilvl w:val="0"/>
          <w:numId w:val="0"/>
        </w:numPr>
        <w:ind w:left="540" w:hanging="540"/>
        <w:jc w:val="both"/>
        <w:rPr>
          <w:b/>
          <w:color w:val="000000"/>
          <w:sz w:val="28"/>
          <w:highlight w:val="yellow"/>
        </w:rPr>
      </w:pPr>
    </w:p>
    <w:p w14:paraId="1A323C33" w14:textId="77777777" w:rsidR="0070585C" w:rsidRPr="00983E26" w:rsidRDefault="0070585C" w:rsidP="0070585C">
      <w:pPr>
        <w:pStyle w:val="Titulek"/>
        <w:keepNext/>
      </w:pPr>
      <w:bookmarkStart w:id="112" w:name="_Toc5965637"/>
      <w:r w:rsidRPr="00983E26">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16</w:t>
      </w:r>
      <w:r w:rsidR="005F53B0">
        <w:rPr>
          <w:noProof/>
        </w:rPr>
        <w:fldChar w:fldCharType="end"/>
      </w:r>
      <w:r w:rsidRPr="00983E26">
        <w:t>:</w:t>
      </w:r>
      <w:r w:rsidRPr="00983E26">
        <w:rPr>
          <w:b w:val="0"/>
          <w:szCs w:val="24"/>
        </w:rPr>
        <w:t xml:space="preserve"> </w:t>
      </w:r>
      <w:r w:rsidRPr="00983E26">
        <w:rPr>
          <w:szCs w:val="24"/>
        </w:rPr>
        <w:t>Po normativním rozpisu rozpočtu není rozepsáno</w:t>
      </w:r>
      <w:bookmarkEnd w:id="112"/>
    </w:p>
    <w:tbl>
      <w:tblPr>
        <w:tblW w:w="8614" w:type="dxa"/>
        <w:tblInd w:w="70" w:type="dxa"/>
        <w:tblLayout w:type="fixed"/>
        <w:tblCellMar>
          <w:left w:w="70" w:type="dxa"/>
          <w:right w:w="70" w:type="dxa"/>
        </w:tblCellMar>
        <w:tblLook w:val="0000" w:firstRow="0" w:lastRow="0" w:firstColumn="0" w:lastColumn="0" w:noHBand="0" w:noVBand="0"/>
      </w:tblPr>
      <w:tblGrid>
        <w:gridCol w:w="2482"/>
        <w:gridCol w:w="1843"/>
        <w:gridCol w:w="1629"/>
        <w:gridCol w:w="1417"/>
        <w:gridCol w:w="1243"/>
      </w:tblGrid>
      <w:tr w:rsidR="0070585C" w:rsidRPr="00983E26" w14:paraId="635271BC" w14:textId="77777777" w:rsidTr="009332D5">
        <w:trPr>
          <w:trHeight w:val="858"/>
        </w:trPr>
        <w:tc>
          <w:tcPr>
            <w:tcW w:w="2482" w:type="dxa"/>
            <w:tcBorders>
              <w:top w:val="single" w:sz="12" w:space="0" w:color="auto"/>
              <w:left w:val="single" w:sz="12" w:space="0" w:color="auto"/>
              <w:bottom w:val="single" w:sz="4" w:space="0" w:color="auto"/>
              <w:right w:val="single" w:sz="12" w:space="0" w:color="auto"/>
            </w:tcBorders>
            <w:shd w:val="clear" w:color="auto" w:fill="FFFFFF"/>
            <w:vAlign w:val="bottom"/>
          </w:tcPr>
          <w:p w14:paraId="143C3F34" w14:textId="77777777" w:rsidR="0070585C" w:rsidRPr="00983E26" w:rsidRDefault="0070585C" w:rsidP="00936F9F">
            <w:pPr>
              <w:ind w:left="-1063"/>
              <w:jc w:val="center"/>
              <w:rPr>
                <w:b/>
                <w:bCs/>
                <w:sz w:val="20"/>
                <w:szCs w:val="24"/>
              </w:rPr>
            </w:pPr>
          </w:p>
        </w:tc>
        <w:tc>
          <w:tcPr>
            <w:tcW w:w="1843" w:type="dxa"/>
            <w:tcBorders>
              <w:top w:val="single" w:sz="12" w:space="0" w:color="auto"/>
              <w:left w:val="single" w:sz="12" w:space="0" w:color="auto"/>
              <w:bottom w:val="single" w:sz="4" w:space="0" w:color="auto"/>
              <w:right w:val="single" w:sz="8" w:space="0" w:color="auto"/>
            </w:tcBorders>
            <w:shd w:val="clear" w:color="auto" w:fill="FFFFFF"/>
            <w:vAlign w:val="center"/>
          </w:tcPr>
          <w:p w14:paraId="66517D16" w14:textId="77777777" w:rsidR="0070585C" w:rsidRPr="00983E26" w:rsidRDefault="0070585C" w:rsidP="00936F9F">
            <w:pPr>
              <w:jc w:val="center"/>
              <w:rPr>
                <w:b/>
                <w:bCs/>
                <w:szCs w:val="24"/>
              </w:rPr>
            </w:pPr>
            <w:r w:rsidRPr="00983E26">
              <w:rPr>
                <w:b/>
                <w:bCs/>
                <w:szCs w:val="24"/>
              </w:rPr>
              <w:t>NIV celkem</w:t>
            </w:r>
          </w:p>
          <w:p w14:paraId="5F38B4F8" w14:textId="77777777" w:rsidR="0070585C" w:rsidRPr="00983E26" w:rsidRDefault="0070585C" w:rsidP="00936F9F">
            <w:pPr>
              <w:jc w:val="center"/>
              <w:rPr>
                <w:b/>
                <w:bCs/>
                <w:szCs w:val="24"/>
              </w:rPr>
            </w:pPr>
            <w:r w:rsidRPr="00983E26">
              <w:rPr>
                <w:b/>
                <w:bCs/>
                <w:szCs w:val="24"/>
              </w:rPr>
              <w:t>v Kč</w:t>
            </w:r>
          </w:p>
        </w:tc>
        <w:tc>
          <w:tcPr>
            <w:tcW w:w="1629" w:type="dxa"/>
            <w:tcBorders>
              <w:top w:val="single" w:sz="12" w:space="0" w:color="auto"/>
              <w:left w:val="nil"/>
              <w:bottom w:val="single" w:sz="4" w:space="0" w:color="auto"/>
              <w:right w:val="single" w:sz="8" w:space="0" w:color="auto"/>
            </w:tcBorders>
            <w:shd w:val="clear" w:color="auto" w:fill="FFFFFF"/>
            <w:vAlign w:val="center"/>
          </w:tcPr>
          <w:p w14:paraId="1D83713A" w14:textId="77777777" w:rsidR="0070585C" w:rsidRPr="00983E26" w:rsidRDefault="0070585C" w:rsidP="00936F9F">
            <w:pPr>
              <w:jc w:val="center"/>
              <w:rPr>
                <w:b/>
                <w:bCs/>
                <w:szCs w:val="24"/>
              </w:rPr>
            </w:pPr>
            <w:r w:rsidRPr="00983E26">
              <w:rPr>
                <w:b/>
                <w:bCs/>
                <w:szCs w:val="24"/>
              </w:rPr>
              <w:t>MP vč.</w:t>
            </w:r>
          </w:p>
          <w:p w14:paraId="569B7D75" w14:textId="77777777" w:rsidR="0070585C" w:rsidRPr="00983E26" w:rsidRDefault="0070585C" w:rsidP="00936F9F">
            <w:pPr>
              <w:jc w:val="center"/>
              <w:rPr>
                <w:b/>
                <w:bCs/>
                <w:szCs w:val="24"/>
              </w:rPr>
            </w:pPr>
            <w:r w:rsidRPr="00983E26">
              <w:rPr>
                <w:b/>
                <w:bCs/>
                <w:szCs w:val="24"/>
              </w:rPr>
              <w:t>odvodů</w:t>
            </w:r>
          </w:p>
          <w:p w14:paraId="2628E4F8" w14:textId="77777777" w:rsidR="0070585C" w:rsidRPr="00983E26" w:rsidRDefault="0070585C" w:rsidP="00936F9F">
            <w:pPr>
              <w:jc w:val="center"/>
              <w:rPr>
                <w:b/>
                <w:bCs/>
                <w:szCs w:val="24"/>
              </w:rPr>
            </w:pPr>
            <w:r w:rsidRPr="00983E26">
              <w:rPr>
                <w:b/>
                <w:bCs/>
                <w:szCs w:val="24"/>
              </w:rPr>
              <w:t>v Kč</w:t>
            </w:r>
          </w:p>
        </w:tc>
        <w:tc>
          <w:tcPr>
            <w:tcW w:w="1417" w:type="dxa"/>
            <w:tcBorders>
              <w:top w:val="single" w:sz="12" w:space="0" w:color="auto"/>
              <w:left w:val="single" w:sz="4" w:space="0" w:color="auto"/>
              <w:bottom w:val="single" w:sz="4" w:space="0" w:color="auto"/>
              <w:right w:val="single" w:sz="8" w:space="0" w:color="auto"/>
            </w:tcBorders>
            <w:shd w:val="clear" w:color="auto" w:fill="FFFFFF"/>
            <w:vAlign w:val="center"/>
          </w:tcPr>
          <w:p w14:paraId="09E4D46A" w14:textId="77777777" w:rsidR="0070585C" w:rsidRPr="00983E26" w:rsidRDefault="0070585C" w:rsidP="00936F9F">
            <w:pPr>
              <w:jc w:val="center"/>
              <w:rPr>
                <w:b/>
                <w:bCs/>
                <w:szCs w:val="24"/>
              </w:rPr>
            </w:pPr>
            <w:r w:rsidRPr="00983E26">
              <w:rPr>
                <w:b/>
                <w:bCs/>
                <w:szCs w:val="24"/>
              </w:rPr>
              <w:t>ONIV</w:t>
            </w:r>
          </w:p>
          <w:p w14:paraId="2AB5A393" w14:textId="77777777" w:rsidR="0070585C" w:rsidRPr="00983E26" w:rsidRDefault="0070585C" w:rsidP="00936F9F">
            <w:pPr>
              <w:jc w:val="center"/>
              <w:rPr>
                <w:b/>
                <w:bCs/>
                <w:szCs w:val="24"/>
              </w:rPr>
            </w:pPr>
            <w:r w:rsidRPr="00983E26">
              <w:rPr>
                <w:b/>
                <w:bCs/>
                <w:szCs w:val="24"/>
              </w:rPr>
              <w:t>v Kč</w:t>
            </w:r>
          </w:p>
        </w:tc>
        <w:tc>
          <w:tcPr>
            <w:tcW w:w="1243" w:type="dxa"/>
            <w:tcBorders>
              <w:top w:val="single" w:sz="12" w:space="0" w:color="auto"/>
              <w:left w:val="nil"/>
              <w:bottom w:val="single" w:sz="4" w:space="0" w:color="auto"/>
              <w:right w:val="single" w:sz="12" w:space="0" w:color="auto"/>
            </w:tcBorders>
            <w:shd w:val="clear" w:color="auto" w:fill="FFFFFF"/>
            <w:vAlign w:val="center"/>
          </w:tcPr>
          <w:p w14:paraId="155119AB" w14:textId="77777777" w:rsidR="0070585C" w:rsidRPr="00983E26" w:rsidRDefault="0070585C" w:rsidP="00936F9F">
            <w:pPr>
              <w:jc w:val="center"/>
              <w:rPr>
                <w:b/>
                <w:bCs/>
                <w:szCs w:val="24"/>
              </w:rPr>
            </w:pPr>
            <w:r w:rsidRPr="00983E26">
              <w:rPr>
                <w:b/>
                <w:bCs/>
                <w:szCs w:val="24"/>
              </w:rPr>
              <w:t>Limit PZ</w:t>
            </w:r>
          </w:p>
        </w:tc>
      </w:tr>
      <w:tr w:rsidR="0070585C" w:rsidRPr="00CC5B18" w14:paraId="4288723C" w14:textId="77777777" w:rsidTr="009332D5">
        <w:trPr>
          <w:trHeight w:val="180"/>
        </w:trPr>
        <w:tc>
          <w:tcPr>
            <w:tcW w:w="2482" w:type="dxa"/>
            <w:tcBorders>
              <w:top w:val="single" w:sz="4" w:space="0" w:color="auto"/>
              <w:left w:val="single" w:sz="12" w:space="0" w:color="auto"/>
              <w:bottom w:val="single" w:sz="12" w:space="0" w:color="auto"/>
              <w:right w:val="single" w:sz="12" w:space="0" w:color="auto"/>
            </w:tcBorders>
            <w:shd w:val="clear" w:color="auto" w:fill="FFFFFF"/>
            <w:vAlign w:val="bottom"/>
          </w:tcPr>
          <w:p w14:paraId="6CE23779" w14:textId="77777777" w:rsidR="0070585C" w:rsidRPr="00983E26" w:rsidRDefault="0070585C" w:rsidP="00936F9F">
            <w:pPr>
              <w:jc w:val="left"/>
              <w:rPr>
                <w:b/>
                <w:szCs w:val="24"/>
              </w:rPr>
            </w:pPr>
            <w:r w:rsidRPr="00983E26">
              <w:rPr>
                <w:b/>
                <w:color w:val="000000"/>
                <w:szCs w:val="24"/>
              </w:rPr>
              <w:t xml:space="preserve">Před úpravou normativního rozpisu rozpočtu zbývá </w:t>
            </w:r>
          </w:p>
        </w:tc>
        <w:tc>
          <w:tcPr>
            <w:tcW w:w="1843" w:type="dxa"/>
            <w:tcBorders>
              <w:top w:val="single" w:sz="4" w:space="0" w:color="auto"/>
              <w:left w:val="single" w:sz="12" w:space="0" w:color="auto"/>
              <w:bottom w:val="single" w:sz="12" w:space="0" w:color="auto"/>
              <w:right w:val="single" w:sz="8" w:space="0" w:color="auto"/>
            </w:tcBorders>
            <w:shd w:val="clear" w:color="auto" w:fill="FFFFFF"/>
            <w:vAlign w:val="center"/>
          </w:tcPr>
          <w:p w14:paraId="3D7718AA" w14:textId="77777777" w:rsidR="0070585C" w:rsidRPr="00983E26" w:rsidRDefault="0070585C" w:rsidP="00936F9F">
            <w:pPr>
              <w:jc w:val="center"/>
            </w:pPr>
            <w:r w:rsidRPr="00413E5F">
              <w:rPr>
                <w:b/>
              </w:rPr>
              <w:t>6 991 155 684</w:t>
            </w:r>
          </w:p>
        </w:tc>
        <w:tc>
          <w:tcPr>
            <w:tcW w:w="1629" w:type="dxa"/>
            <w:tcBorders>
              <w:top w:val="single" w:sz="4" w:space="0" w:color="auto"/>
              <w:left w:val="nil"/>
              <w:bottom w:val="single" w:sz="12" w:space="0" w:color="auto"/>
              <w:right w:val="single" w:sz="8" w:space="0" w:color="auto"/>
            </w:tcBorders>
            <w:shd w:val="clear" w:color="auto" w:fill="FFFFFF"/>
            <w:vAlign w:val="center"/>
          </w:tcPr>
          <w:p w14:paraId="1CFA0767" w14:textId="77777777" w:rsidR="0070585C" w:rsidRPr="00983E26" w:rsidRDefault="0070585C" w:rsidP="00936F9F">
            <w:pPr>
              <w:jc w:val="center"/>
            </w:pPr>
            <w:r w:rsidRPr="00413E5F">
              <w:rPr>
                <w:b/>
                <w:szCs w:val="24"/>
              </w:rPr>
              <w:t>6 834 129 335</w:t>
            </w:r>
          </w:p>
        </w:tc>
        <w:tc>
          <w:tcPr>
            <w:tcW w:w="1417" w:type="dxa"/>
            <w:tcBorders>
              <w:top w:val="single" w:sz="4" w:space="0" w:color="auto"/>
              <w:left w:val="single" w:sz="4" w:space="0" w:color="auto"/>
              <w:bottom w:val="single" w:sz="12" w:space="0" w:color="auto"/>
              <w:right w:val="single" w:sz="8" w:space="0" w:color="auto"/>
            </w:tcBorders>
            <w:shd w:val="clear" w:color="auto" w:fill="FFFFFF"/>
            <w:vAlign w:val="center"/>
          </w:tcPr>
          <w:p w14:paraId="3EFAC57F" w14:textId="77777777" w:rsidR="0070585C" w:rsidRPr="00983E26" w:rsidRDefault="0070585C" w:rsidP="00936F9F">
            <w:pPr>
              <w:jc w:val="center"/>
            </w:pPr>
            <w:r w:rsidRPr="00413E5F">
              <w:rPr>
                <w:b/>
                <w:bCs/>
                <w:szCs w:val="24"/>
              </w:rPr>
              <w:t>157 026 349</w:t>
            </w:r>
          </w:p>
        </w:tc>
        <w:tc>
          <w:tcPr>
            <w:tcW w:w="1243" w:type="dxa"/>
            <w:tcBorders>
              <w:top w:val="single" w:sz="4" w:space="0" w:color="auto"/>
              <w:left w:val="nil"/>
              <w:bottom w:val="single" w:sz="12" w:space="0" w:color="auto"/>
              <w:right w:val="single" w:sz="12" w:space="0" w:color="auto"/>
            </w:tcBorders>
            <w:shd w:val="clear" w:color="auto" w:fill="FFFFFF"/>
            <w:vAlign w:val="center"/>
          </w:tcPr>
          <w:p w14:paraId="35777320" w14:textId="77777777" w:rsidR="0070585C" w:rsidRPr="00983E26" w:rsidRDefault="0070585C" w:rsidP="00936F9F">
            <w:pPr>
              <w:jc w:val="center"/>
            </w:pPr>
            <w:r w:rsidRPr="00413E5F">
              <w:rPr>
                <w:b/>
                <w:bCs/>
              </w:rPr>
              <w:t xml:space="preserve">16 </w:t>
            </w:r>
            <w:r>
              <w:rPr>
                <w:b/>
                <w:bCs/>
              </w:rPr>
              <w:t>786</w:t>
            </w:r>
            <w:r w:rsidRPr="00413E5F">
              <w:rPr>
                <w:b/>
                <w:bCs/>
              </w:rPr>
              <w:t>,95</w:t>
            </w:r>
          </w:p>
        </w:tc>
      </w:tr>
    </w:tbl>
    <w:p w14:paraId="079338F3" w14:textId="77777777" w:rsidR="0070585C" w:rsidRPr="00CC5B18" w:rsidRDefault="0070585C" w:rsidP="0070585C">
      <w:pPr>
        <w:pStyle w:val="Citt"/>
        <w:rPr>
          <w:rStyle w:val="Siln"/>
          <w:highlight w:val="cyan"/>
        </w:rPr>
      </w:pPr>
    </w:p>
    <w:p w14:paraId="35FC6AE4" w14:textId="77777777" w:rsidR="0070585C" w:rsidRPr="00983E26" w:rsidRDefault="0070585C" w:rsidP="0070585C">
      <w:pPr>
        <w:pStyle w:val="Citt"/>
        <w:rPr>
          <w:rStyle w:val="Siln"/>
        </w:rPr>
      </w:pPr>
      <w:r w:rsidRPr="00983E26">
        <w:rPr>
          <w:rStyle w:val="Siln"/>
        </w:rPr>
        <w:t>Úprava normativního rozpisu rozpočtu 2019</w:t>
      </w:r>
    </w:p>
    <w:p w14:paraId="2F9D718A" w14:textId="77777777" w:rsidR="0070585C" w:rsidRDefault="0070585C" w:rsidP="0070585C">
      <w:pPr>
        <w:pStyle w:val="Text"/>
      </w:pPr>
      <w:r>
        <w:t>N</w:t>
      </w:r>
      <w:r w:rsidRPr="009F4EA8">
        <w:t xml:space="preserve">ormativní rozpis rozpočtu pro rok 2019 </w:t>
      </w:r>
      <w:r>
        <w:t xml:space="preserve">se </w:t>
      </w:r>
      <w:r w:rsidRPr="009F4EA8">
        <w:t xml:space="preserve">upravuje </w:t>
      </w:r>
      <w:r>
        <w:t xml:space="preserve">na základě </w:t>
      </w:r>
      <w:r w:rsidRPr="009F4EA8">
        <w:t>§ 161 odst. 6 školského zákona jednotlivým krajům</w:t>
      </w:r>
      <w:r>
        <w:t xml:space="preserve"> podle skutečného počtu dětí, žáků a studentů se speciálními vzdělávacími potřebami a normované finanční náročnosti podpůrných opatření dle </w:t>
      </w:r>
      <w:r w:rsidRPr="00A56779">
        <w:t>vyhlášky č. 27/2016 Sb., o vzdělávání žáků se speci</w:t>
      </w:r>
      <w:r>
        <w:t>álními vzdělávacími potřebami a </w:t>
      </w:r>
      <w:r w:rsidRPr="00A56779">
        <w:t>žáků nadaných, ve znění pozdějších předpisů</w:t>
      </w:r>
      <w:r>
        <w:t>,</w:t>
      </w:r>
      <w:r w:rsidRPr="00A56779">
        <w:t xml:space="preserve"> </w:t>
      </w:r>
      <w:r>
        <w:t xml:space="preserve">k 1. 1. 2019. </w:t>
      </w:r>
    </w:p>
    <w:p w14:paraId="46198443" w14:textId="24EA87DA" w:rsidR="0070585C" w:rsidRDefault="0070585C" w:rsidP="0070585C">
      <w:pPr>
        <w:pStyle w:val="Text"/>
      </w:pPr>
      <w:r w:rsidRPr="00983E26">
        <w:t>Počty podpůrných opatření uvedených v části A přílohy č</w:t>
      </w:r>
      <w:r w:rsidR="00B8183F">
        <w:t>. 1 vyhlášky č. 27/2016 Sb., ve </w:t>
      </w:r>
      <w:r w:rsidRPr="00983E26">
        <w:t>znění pozdějších předpisů, s požadovanými finančními prostředky k 1. 1. 2019 byly stanoveny podle skutečně vykázaného počtu podpůrných opatření jednotlivými školami a školskými zařízeními k 30. 9. 2018 (resp. 31. 10. 2018)</w:t>
      </w:r>
      <w:r w:rsidR="00B8183F">
        <w:t xml:space="preserve"> ve výkazu R 43-1 a dále pak ve </w:t>
      </w:r>
      <w:r w:rsidRPr="00983E26">
        <w:t>výkazu R 44-99 za měsíce září až prosinec 2018, u nichž je vykázán datum začátku poskytování po 30. 9. 2018 (resp. 31. 10. 2018) nebo datum ukon</w:t>
      </w:r>
      <w:r w:rsidR="00B8183F">
        <w:t>čení poskytování od </w:t>
      </w:r>
      <w:r w:rsidRPr="00983E26">
        <w:t>30. 9. 2018 (resp. 31. 10. 2018). Do těchto počtů ne</w:t>
      </w:r>
      <w:r w:rsidR="00B8183F">
        <w:t>byly započítány zjevné chyby ve </w:t>
      </w:r>
      <w:r w:rsidRPr="00983E26">
        <w:t>vykázaných datech, a to záporné počty podpůrných opatření u jednotlivých právnických osob. Počty podpůrných opatření uvedených v části B přílohy č. 1 vy</w:t>
      </w:r>
      <w:r w:rsidR="00B8183F">
        <w:t>hlášky č. 27/2016 Sb., ve </w:t>
      </w:r>
      <w:r w:rsidRPr="00983E26">
        <w:t>znění pozdějších předpisů, s požadovanými finančními prostředky k 1. 1. 2019 byly stanoveny podle skutečně vykázaného počtu podpůrných opa</w:t>
      </w:r>
      <w:r w:rsidR="00B8183F">
        <w:t>tření v měsíci prosinci 2018 ve </w:t>
      </w:r>
      <w:r w:rsidRPr="00983E26">
        <w:t>výkazu R 44-99.</w:t>
      </w:r>
    </w:p>
    <w:p w14:paraId="35F60729" w14:textId="7A08D37F" w:rsidR="0031482F" w:rsidRDefault="0070585C" w:rsidP="0070585C">
      <w:pPr>
        <w:pStyle w:val="Text"/>
      </w:pPr>
      <w:r w:rsidRPr="00983E26">
        <w:t>Vlivem podpůrných opatření se normativní rozpis zvyšuje o součet součinů normované finanční náročnosti podpůrných opatření stanovené v příloze č</w:t>
      </w:r>
      <w:r w:rsidR="00B8183F">
        <w:t>. 1 vyhlášky č. 27/2016 Sb., ve </w:t>
      </w:r>
      <w:r w:rsidRPr="00983E26">
        <w:t>znění pozdějších předpisů, a odpovídajícím počtem podpůrných opatření k 1. 1. 2019.</w:t>
      </w:r>
    </w:p>
    <w:p w14:paraId="42FDE7EE" w14:textId="11E25177" w:rsidR="00E65EE1" w:rsidRDefault="0070585C" w:rsidP="0070585C">
      <w:pPr>
        <w:pStyle w:val="Text"/>
      </w:pPr>
      <w:r w:rsidRPr="00983E26">
        <w:t xml:space="preserve"> </w:t>
      </w:r>
    </w:p>
    <w:p w14:paraId="5320C40A" w14:textId="77777777" w:rsidR="003D012B" w:rsidRDefault="003D012B" w:rsidP="0070585C">
      <w:pPr>
        <w:pStyle w:val="Text"/>
      </w:pPr>
    </w:p>
    <w:p w14:paraId="2B0D9E7B" w14:textId="77777777" w:rsidR="003D012B" w:rsidRDefault="003D012B" w:rsidP="0070585C">
      <w:pPr>
        <w:pStyle w:val="Text"/>
      </w:pPr>
    </w:p>
    <w:p w14:paraId="4485AF46" w14:textId="77777777" w:rsidR="003D012B" w:rsidRDefault="003D012B" w:rsidP="0070585C">
      <w:pPr>
        <w:pStyle w:val="Text"/>
      </w:pPr>
    </w:p>
    <w:p w14:paraId="57A1DB0F" w14:textId="77777777" w:rsidR="003D012B" w:rsidRDefault="003D012B" w:rsidP="0070585C">
      <w:pPr>
        <w:pStyle w:val="Text"/>
      </w:pPr>
    </w:p>
    <w:p w14:paraId="775DA4FD" w14:textId="77777777" w:rsidR="003D012B" w:rsidRDefault="003D012B" w:rsidP="0070585C">
      <w:pPr>
        <w:pStyle w:val="Text"/>
      </w:pPr>
    </w:p>
    <w:p w14:paraId="5E8F763E" w14:textId="77777777" w:rsidR="003D012B" w:rsidRDefault="003D012B" w:rsidP="0070585C">
      <w:pPr>
        <w:pStyle w:val="Text"/>
      </w:pPr>
    </w:p>
    <w:p w14:paraId="36571BC3" w14:textId="77777777" w:rsidR="0070585C" w:rsidRPr="003F61AA" w:rsidRDefault="0070585C" w:rsidP="003F61AA">
      <w:pPr>
        <w:rPr>
          <w:b/>
        </w:rPr>
      </w:pPr>
      <w:r w:rsidRPr="003F61AA">
        <w:rPr>
          <w:b/>
        </w:rPr>
        <w:lastRenderedPageBreak/>
        <w:t>Zvýšení normativního rozpisu 2019 po jednotlivých krajích činí:</w:t>
      </w:r>
    </w:p>
    <w:tbl>
      <w:tblPr>
        <w:tblW w:w="8647" w:type="dxa"/>
        <w:tblInd w:w="70" w:type="dxa"/>
        <w:tblLayout w:type="fixed"/>
        <w:tblCellMar>
          <w:left w:w="70" w:type="dxa"/>
          <w:right w:w="70" w:type="dxa"/>
        </w:tblCellMar>
        <w:tblLook w:val="04A0" w:firstRow="1" w:lastRow="0" w:firstColumn="1" w:lastColumn="0" w:noHBand="0" w:noVBand="1"/>
      </w:tblPr>
      <w:tblGrid>
        <w:gridCol w:w="2268"/>
        <w:gridCol w:w="1843"/>
        <w:gridCol w:w="1843"/>
        <w:gridCol w:w="1417"/>
        <w:gridCol w:w="1276"/>
      </w:tblGrid>
      <w:tr w:rsidR="0070585C" w:rsidRPr="008B42CF" w14:paraId="1D447FE8" w14:textId="77777777" w:rsidTr="00936F9F">
        <w:trPr>
          <w:trHeight w:val="437"/>
        </w:trPr>
        <w:tc>
          <w:tcPr>
            <w:tcW w:w="2268" w:type="dxa"/>
            <w:tcBorders>
              <w:top w:val="single" w:sz="8" w:space="0" w:color="auto"/>
              <w:left w:val="single" w:sz="8" w:space="0" w:color="auto"/>
              <w:right w:val="single" w:sz="8" w:space="0" w:color="auto"/>
            </w:tcBorders>
            <w:noWrap/>
            <w:vAlign w:val="center"/>
            <w:hideMark/>
          </w:tcPr>
          <w:p w14:paraId="46D0CF3F" w14:textId="77777777" w:rsidR="0070585C" w:rsidRPr="005D04B1" w:rsidRDefault="0070585C" w:rsidP="00936F9F">
            <w:pPr>
              <w:rPr>
                <w:b/>
                <w:bCs/>
                <w:szCs w:val="24"/>
              </w:rPr>
            </w:pPr>
            <w:r w:rsidRPr="005D04B1">
              <w:rPr>
                <w:b/>
                <w:bCs/>
                <w:szCs w:val="24"/>
              </w:rPr>
              <w:t>Kraj</w:t>
            </w:r>
          </w:p>
        </w:tc>
        <w:tc>
          <w:tcPr>
            <w:tcW w:w="1843" w:type="dxa"/>
            <w:tcBorders>
              <w:top w:val="single" w:sz="8" w:space="0" w:color="auto"/>
              <w:left w:val="nil"/>
              <w:bottom w:val="single" w:sz="8" w:space="0" w:color="auto"/>
              <w:right w:val="single" w:sz="8" w:space="0" w:color="auto"/>
            </w:tcBorders>
            <w:noWrap/>
            <w:vAlign w:val="center"/>
            <w:hideMark/>
          </w:tcPr>
          <w:p w14:paraId="53AB81B2" w14:textId="77777777" w:rsidR="0070585C" w:rsidRPr="005D04B1" w:rsidRDefault="0070585C" w:rsidP="00936F9F">
            <w:pPr>
              <w:jc w:val="center"/>
              <w:rPr>
                <w:b/>
                <w:bCs/>
                <w:szCs w:val="24"/>
              </w:rPr>
            </w:pPr>
            <w:r w:rsidRPr="005D04B1">
              <w:rPr>
                <w:b/>
                <w:bCs/>
                <w:szCs w:val="24"/>
              </w:rPr>
              <w:t>NIV celkem</w:t>
            </w:r>
          </w:p>
          <w:p w14:paraId="759B7363" w14:textId="77777777" w:rsidR="0070585C" w:rsidRPr="005D04B1" w:rsidRDefault="0070585C" w:rsidP="00936F9F">
            <w:pPr>
              <w:jc w:val="center"/>
              <w:rPr>
                <w:b/>
                <w:bCs/>
                <w:szCs w:val="24"/>
              </w:rPr>
            </w:pPr>
            <w:r w:rsidRPr="005D04B1">
              <w:rPr>
                <w:b/>
                <w:bCs/>
                <w:szCs w:val="24"/>
              </w:rPr>
              <w:t>v</w:t>
            </w:r>
            <w:r>
              <w:rPr>
                <w:b/>
                <w:bCs/>
                <w:szCs w:val="24"/>
              </w:rPr>
              <w:t> </w:t>
            </w:r>
            <w:r w:rsidRPr="005D04B1">
              <w:rPr>
                <w:b/>
                <w:bCs/>
                <w:szCs w:val="24"/>
              </w:rPr>
              <w:t>Kč</w:t>
            </w:r>
          </w:p>
        </w:tc>
        <w:tc>
          <w:tcPr>
            <w:tcW w:w="1843" w:type="dxa"/>
            <w:tcBorders>
              <w:top w:val="single" w:sz="8" w:space="0" w:color="auto"/>
              <w:left w:val="nil"/>
              <w:bottom w:val="single" w:sz="8" w:space="0" w:color="auto"/>
              <w:right w:val="single" w:sz="8" w:space="0" w:color="auto"/>
            </w:tcBorders>
            <w:noWrap/>
            <w:vAlign w:val="center"/>
            <w:hideMark/>
          </w:tcPr>
          <w:p w14:paraId="67A6821E" w14:textId="77777777" w:rsidR="0070585C" w:rsidRPr="005D04B1" w:rsidRDefault="0070585C" w:rsidP="00936F9F">
            <w:pPr>
              <w:jc w:val="center"/>
              <w:rPr>
                <w:b/>
                <w:bCs/>
                <w:szCs w:val="24"/>
              </w:rPr>
            </w:pPr>
            <w:r w:rsidRPr="005D04B1">
              <w:rPr>
                <w:b/>
                <w:bCs/>
                <w:szCs w:val="24"/>
              </w:rPr>
              <w:t>MP vč. odvodů</w:t>
            </w:r>
          </w:p>
          <w:p w14:paraId="79DA9B20" w14:textId="77777777" w:rsidR="0070585C" w:rsidRPr="005D04B1" w:rsidRDefault="0070585C" w:rsidP="00936F9F">
            <w:pPr>
              <w:jc w:val="center"/>
              <w:rPr>
                <w:b/>
                <w:bCs/>
                <w:szCs w:val="24"/>
              </w:rPr>
            </w:pPr>
            <w:r w:rsidRPr="005D04B1">
              <w:rPr>
                <w:b/>
                <w:bCs/>
                <w:szCs w:val="24"/>
              </w:rPr>
              <w:t>v Kč</w:t>
            </w:r>
          </w:p>
        </w:tc>
        <w:tc>
          <w:tcPr>
            <w:tcW w:w="1417" w:type="dxa"/>
            <w:tcBorders>
              <w:top w:val="single" w:sz="8" w:space="0" w:color="auto"/>
              <w:left w:val="nil"/>
              <w:bottom w:val="single" w:sz="8" w:space="0" w:color="auto"/>
              <w:right w:val="single" w:sz="8" w:space="0" w:color="auto"/>
            </w:tcBorders>
            <w:noWrap/>
            <w:vAlign w:val="center"/>
            <w:hideMark/>
          </w:tcPr>
          <w:p w14:paraId="527E1FD9" w14:textId="77777777" w:rsidR="0070585C" w:rsidRPr="005D04B1" w:rsidRDefault="0070585C" w:rsidP="00936F9F">
            <w:pPr>
              <w:jc w:val="center"/>
              <w:rPr>
                <w:b/>
                <w:bCs/>
                <w:szCs w:val="24"/>
              </w:rPr>
            </w:pPr>
            <w:r w:rsidRPr="005D04B1">
              <w:rPr>
                <w:b/>
                <w:bCs/>
                <w:szCs w:val="24"/>
              </w:rPr>
              <w:t>ONIV</w:t>
            </w:r>
          </w:p>
          <w:p w14:paraId="4B98A02C" w14:textId="77777777" w:rsidR="0070585C" w:rsidRPr="005D04B1" w:rsidRDefault="0070585C" w:rsidP="00936F9F">
            <w:pPr>
              <w:jc w:val="center"/>
              <w:rPr>
                <w:b/>
                <w:bCs/>
                <w:szCs w:val="24"/>
              </w:rPr>
            </w:pPr>
            <w:r w:rsidRPr="005D04B1">
              <w:rPr>
                <w:b/>
                <w:bCs/>
                <w:szCs w:val="24"/>
              </w:rPr>
              <w:t> v Kč</w:t>
            </w:r>
          </w:p>
        </w:tc>
        <w:tc>
          <w:tcPr>
            <w:tcW w:w="1276" w:type="dxa"/>
            <w:tcBorders>
              <w:top w:val="single" w:sz="8" w:space="0" w:color="auto"/>
              <w:left w:val="nil"/>
              <w:bottom w:val="single" w:sz="8" w:space="0" w:color="auto"/>
              <w:right w:val="single" w:sz="8" w:space="0" w:color="auto"/>
            </w:tcBorders>
            <w:noWrap/>
            <w:vAlign w:val="center"/>
            <w:hideMark/>
          </w:tcPr>
          <w:p w14:paraId="394597BE" w14:textId="77777777" w:rsidR="0070585C" w:rsidRPr="005D04B1" w:rsidRDefault="0070585C" w:rsidP="00936F9F">
            <w:pPr>
              <w:jc w:val="center"/>
              <w:rPr>
                <w:b/>
                <w:bCs/>
                <w:szCs w:val="24"/>
              </w:rPr>
            </w:pPr>
            <w:r w:rsidRPr="005D04B1">
              <w:rPr>
                <w:b/>
                <w:bCs/>
                <w:szCs w:val="24"/>
              </w:rPr>
              <w:t xml:space="preserve">Počet </w:t>
            </w:r>
          </w:p>
          <w:p w14:paraId="3DDB331C" w14:textId="77777777" w:rsidR="0070585C" w:rsidRPr="005D04B1" w:rsidRDefault="0070585C" w:rsidP="00936F9F">
            <w:pPr>
              <w:jc w:val="center"/>
              <w:rPr>
                <w:b/>
                <w:bCs/>
                <w:szCs w:val="24"/>
              </w:rPr>
            </w:pPr>
            <w:r w:rsidRPr="005D04B1">
              <w:rPr>
                <w:b/>
                <w:bCs/>
                <w:szCs w:val="24"/>
              </w:rPr>
              <w:t>zam.</w:t>
            </w:r>
          </w:p>
        </w:tc>
      </w:tr>
      <w:tr w:rsidR="0070585C" w:rsidRPr="008B42CF" w14:paraId="69DB8327" w14:textId="77777777" w:rsidTr="00936F9F">
        <w:trPr>
          <w:trHeight w:val="284"/>
        </w:trPr>
        <w:tc>
          <w:tcPr>
            <w:tcW w:w="2268" w:type="dxa"/>
            <w:tcBorders>
              <w:top w:val="single" w:sz="8" w:space="0" w:color="auto"/>
              <w:left w:val="single" w:sz="8" w:space="0" w:color="auto"/>
              <w:bottom w:val="single" w:sz="4" w:space="0" w:color="auto"/>
              <w:right w:val="single" w:sz="8" w:space="0" w:color="auto"/>
            </w:tcBorders>
            <w:shd w:val="clear" w:color="auto" w:fill="FFFFFF"/>
            <w:noWrap/>
            <w:vAlign w:val="bottom"/>
            <w:hideMark/>
          </w:tcPr>
          <w:p w14:paraId="67EBACBD" w14:textId="77777777" w:rsidR="0070585C" w:rsidRPr="007870CB" w:rsidRDefault="0070585C" w:rsidP="00936F9F">
            <w:pPr>
              <w:rPr>
                <w:bCs/>
                <w:szCs w:val="24"/>
              </w:rPr>
            </w:pPr>
            <w:r w:rsidRPr="007870CB">
              <w:rPr>
                <w:bCs/>
                <w:szCs w:val="24"/>
              </w:rPr>
              <w:t xml:space="preserve">Hl. m. Praha </w:t>
            </w:r>
          </w:p>
        </w:tc>
        <w:tc>
          <w:tcPr>
            <w:tcW w:w="1843" w:type="dxa"/>
            <w:tcBorders>
              <w:top w:val="single" w:sz="8" w:space="0" w:color="auto"/>
              <w:left w:val="nil"/>
              <w:bottom w:val="single" w:sz="4" w:space="0" w:color="auto"/>
              <w:right w:val="single" w:sz="8" w:space="0" w:color="auto"/>
            </w:tcBorders>
            <w:shd w:val="clear" w:color="auto" w:fill="auto"/>
            <w:noWrap/>
            <w:vAlign w:val="bottom"/>
            <w:hideMark/>
          </w:tcPr>
          <w:p w14:paraId="574EB71C" w14:textId="77777777" w:rsidR="0070585C" w:rsidRPr="007870CB" w:rsidRDefault="0070585C" w:rsidP="00936F9F">
            <w:pPr>
              <w:jc w:val="right"/>
              <w:rPr>
                <w:color w:val="000000"/>
                <w:szCs w:val="24"/>
              </w:rPr>
            </w:pPr>
            <w:r w:rsidRPr="007870CB">
              <w:rPr>
                <w:color w:val="000000"/>
                <w:szCs w:val="24"/>
              </w:rPr>
              <w:t>701 095 743</w:t>
            </w:r>
          </w:p>
        </w:tc>
        <w:tc>
          <w:tcPr>
            <w:tcW w:w="184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01D38EF5" w14:textId="77777777" w:rsidR="0070585C" w:rsidRPr="007870CB" w:rsidRDefault="0070585C" w:rsidP="00936F9F">
            <w:pPr>
              <w:jc w:val="right"/>
              <w:rPr>
                <w:color w:val="000000"/>
                <w:szCs w:val="24"/>
              </w:rPr>
            </w:pPr>
            <w:r w:rsidRPr="007870CB">
              <w:rPr>
                <w:color w:val="000000"/>
                <w:szCs w:val="24"/>
              </w:rPr>
              <w:t>700 428 293</w:t>
            </w:r>
          </w:p>
        </w:tc>
        <w:tc>
          <w:tcPr>
            <w:tcW w:w="1417" w:type="dxa"/>
            <w:tcBorders>
              <w:top w:val="single" w:sz="8" w:space="0" w:color="auto"/>
              <w:left w:val="single" w:sz="8" w:space="0" w:color="auto"/>
              <w:bottom w:val="single" w:sz="4" w:space="0" w:color="auto"/>
              <w:right w:val="single" w:sz="8" w:space="0" w:color="auto"/>
            </w:tcBorders>
            <w:shd w:val="clear" w:color="auto" w:fill="auto"/>
            <w:noWrap/>
            <w:vAlign w:val="bottom"/>
          </w:tcPr>
          <w:p w14:paraId="2C20020E" w14:textId="77777777" w:rsidR="0070585C" w:rsidRPr="007870CB" w:rsidRDefault="0070585C" w:rsidP="00936F9F">
            <w:pPr>
              <w:jc w:val="right"/>
              <w:rPr>
                <w:color w:val="000000"/>
                <w:szCs w:val="24"/>
              </w:rPr>
            </w:pPr>
            <w:r w:rsidRPr="007870CB">
              <w:rPr>
                <w:color w:val="000000"/>
                <w:szCs w:val="24"/>
              </w:rPr>
              <w:t>667 450</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2FB9DA4" w14:textId="77777777" w:rsidR="0070585C" w:rsidRPr="007870CB" w:rsidRDefault="0070585C" w:rsidP="00936F9F">
            <w:pPr>
              <w:jc w:val="right"/>
              <w:rPr>
                <w:color w:val="000000"/>
                <w:szCs w:val="24"/>
              </w:rPr>
            </w:pPr>
            <w:r w:rsidRPr="007870CB">
              <w:rPr>
                <w:color w:val="000000"/>
                <w:szCs w:val="24"/>
              </w:rPr>
              <w:t>1 655,23</w:t>
            </w:r>
          </w:p>
        </w:tc>
      </w:tr>
      <w:tr w:rsidR="0070585C" w:rsidRPr="008B42CF" w14:paraId="57D722F4"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2543628F" w14:textId="77777777" w:rsidR="0070585C" w:rsidRPr="007870CB" w:rsidRDefault="0070585C" w:rsidP="00936F9F">
            <w:pPr>
              <w:rPr>
                <w:bCs/>
                <w:szCs w:val="24"/>
              </w:rPr>
            </w:pPr>
            <w:r w:rsidRPr="007870CB">
              <w:rPr>
                <w:bCs/>
                <w:szCs w:val="24"/>
              </w:rPr>
              <w:t xml:space="preserve">Středočeský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2528D74D" w14:textId="77777777" w:rsidR="0070585C" w:rsidRPr="007870CB" w:rsidRDefault="0070585C" w:rsidP="00936F9F">
            <w:pPr>
              <w:jc w:val="right"/>
              <w:rPr>
                <w:color w:val="000000"/>
                <w:szCs w:val="24"/>
              </w:rPr>
            </w:pPr>
            <w:r w:rsidRPr="007870CB">
              <w:rPr>
                <w:color w:val="000000"/>
                <w:szCs w:val="24"/>
              </w:rPr>
              <w:t>925 994 193</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AD86629" w14:textId="77777777" w:rsidR="0070585C" w:rsidRPr="007870CB" w:rsidRDefault="0070585C" w:rsidP="00936F9F">
            <w:pPr>
              <w:jc w:val="right"/>
              <w:rPr>
                <w:color w:val="000000"/>
                <w:szCs w:val="24"/>
              </w:rPr>
            </w:pPr>
            <w:r w:rsidRPr="007870CB">
              <w:rPr>
                <w:color w:val="000000"/>
                <w:szCs w:val="24"/>
              </w:rPr>
              <w:t>925 681 793</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AD40DC8" w14:textId="77777777" w:rsidR="0070585C" w:rsidRPr="007870CB" w:rsidRDefault="0070585C" w:rsidP="00936F9F">
            <w:pPr>
              <w:jc w:val="right"/>
              <w:rPr>
                <w:color w:val="000000"/>
                <w:szCs w:val="24"/>
              </w:rPr>
            </w:pPr>
            <w:r w:rsidRPr="007870CB">
              <w:rPr>
                <w:color w:val="000000"/>
                <w:szCs w:val="24"/>
              </w:rPr>
              <w:t>312 400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219829" w14:textId="77777777" w:rsidR="0070585C" w:rsidRPr="007870CB" w:rsidRDefault="0070585C" w:rsidP="00936F9F">
            <w:pPr>
              <w:jc w:val="right"/>
              <w:rPr>
                <w:color w:val="000000"/>
                <w:szCs w:val="24"/>
              </w:rPr>
            </w:pPr>
            <w:r w:rsidRPr="007870CB">
              <w:rPr>
                <w:color w:val="000000"/>
                <w:szCs w:val="24"/>
              </w:rPr>
              <w:t>2 183,52</w:t>
            </w:r>
          </w:p>
        </w:tc>
      </w:tr>
      <w:tr w:rsidR="0070585C" w:rsidRPr="008B42CF" w14:paraId="6028B1EC"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7364BE1C" w14:textId="77777777" w:rsidR="0070585C" w:rsidRPr="007870CB" w:rsidRDefault="0070585C" w:rsidP="00936F9F">
            <w:pPr>
              <w:rPr>
                <w:bCs/>
                <w:szCs w:val="24"/>
              </w:rPr>
            </w:pPr>
            <w:r w:rsidRPr="007870CB">
              <w:rPr>
                <w:bCs/>
                <w:szCs w:val="24"/>
              </w:rPr>
              <w:t xml:space="preserve">Jihočeský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7ADE1F58" w14:textId="77777777" w:rsidR="0070585C" w:rsidRPr="007870CB" w:rsidRDefault="0070585C" w:rsidP="00936F9F">
            <w:pPr>
              <w:jc w:val="right"/>
              <w:rPr>
                <w:color w:val="000000"/>
                <w:szCs w:val="24"/>
              </w:rPr>
            </w:pPr>
            <w:r w:rsidRPr="007870CB">
              <w:rPr>
                <w:color w:val="000000"/>
                <w:szCs w:val="24"/>
              </w:rPr>
              <w:t>328 729 024</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66577D1" w14:textId="77777777" w:rsidR="0070585C" w:rsidRPr="007870CB" w:rsidRDefault="0070585C" w:rsidP="00936F9F">
            <w:pPr>
              <w:jc w:val="right"/>
              <w:rPr>
                <w:color w:val="000000"/>
                <w:szCs w:val="24"/>
              </w:rPr>
            </w:pPr>
            <w:r w:rsidRPr="007870CB">
              <w:rPr>
                <w:color w:val="000000"/>
                <w:szCs w:val="24"/>
              </w:rPr>
              <w:t>328 596 524</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DB268B6" w14:textId="77777777" w:rsidR="0070585C" w:rsidRPr="007870CB" w:rsidRDefault="0070585C" w:rsidP="00936F9F">
            <w:pPr>
              <w:jc w:val="right"/>
              <w:rPr>
                <w:color w:val="000000"/>
                <w:szCs w:val="24"/>
              </w:rPr>
            </w:pPr>
            <w:r w:rsidRPr="007870CB">
              <w:rPr>
                <w:color w:val="000000"/>
                <w:szCs w:val="24"/>
              </w:rPr>
              <w:t>132 500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067FB83" w14:textId="77777777" w:rsidR="0070585C" w:rsidRPr="007870CB" w:rsidRDefault="0070585C" w:rsidP="00936F9F">
            <w:pPr>
              <w:jc w:val="right"/>
              <w:rPr>
                <w:color w:val="000000"/>
                <w:szCs w:val="24"/>
              </w:rPr>
            </w:pPr>
            <w:r w:rsidRPr="007870CB">
              <w:rPr>
                <w:color w:val="000000"/>
                <w:szCs w:val="24"/>
              </w:rPr>
              <w:t>771,58</w:t>
            </w:r>
          </w:p>
        </w:tc>
      </w:tr>
      <w:tr w:rsidR="0070585C" w:rsidRPr="008B42CF" w14:paraId="29EC5F6B"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143E82C7" w14:textId="77777777" w:rsidR="0070585C" w:rsidRPr="007870CB" w:rsidRDefault="0070585C" w:rsidP="00936F9F">
            <w:pPr>
              <w:rPr>
                <w:bCs/>
                <w:szCs w:val="24"/>
              </w:rPr>
            </w:pPr>
            <w:r w:rsidRPr="007870CB">
              <w:rPr>
                <w:bCs/>
                <w:szCs w:val="24"/>
              </w:rPr>
              <w:t xml:space="preserve">Plzeňský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3D2BD02E" w14:textId="77777777" w:rsidR="0070585C" w:rsidRPr="007870CB" w:rsidRDefault="0070585C" w:rsidP="00936F9F">
            <w:pPr>
              <w:jc w:val="right"/>
              <w:rPr>
                <w:color w:val="000000"/>
                <w:szCs w:val="24"/>
              </w:rPr>
            </w:pPr>
            <w:r w:rsidRPr="007870CB">
              <w:rPr>
                <w:color w:val="000000"/>
                <w:szCs w:val="24"/>
              </w:rPr>
              <w:t>383 039 138</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DE3DEA" w14:textId="77777777" w:rsidR="0070585C" w:rsidRPr="007870CB" w:rsidRDefault="0070585C" w:rsidP="00936F9F">
            <w:pPr>
              <w:jc w:val="right"/>
              <w:rPr>
                <w:color w:val="000000"/>
                <w:szCs w:val="24"/>
              </w:rPr>
            </w:pPr>
            <w:r w:rsidRPr="007870CB">
              <w:rPr>
                <w:color w:val="000000"/>
                <w:szCs w:val="24"/>
              </w:rPr>
              <w:t>382 901 738</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CFA259A" w14:textId="77777777" w:rsidR="0070585C" w:rsidRPr="007870CB" w:rsidRDefault="0070585C" w:rsidP="00936F9F">
            <w:pPr>
              <w:jc w:val="right"/>
              <w:rPr>
                <w:color w:val="000000"/>
                <w:szCs w:val="24"/>
              </w:rPr>
            </w:pPr>
            <w:r w:rsidRPr="007870CB">
              <w:rPr>
                <w:color w:val="000000"/>
                <w:szCs w:val="24"/>
              </w:rPr>
              <w:t>137 400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3817EDA" w14:textId="77777777" w:rsidR="0070585C" w:rsidRPr="007870CB" w:rsidRDefault="0070585C" w:rsidP="00936F9F">
            <w:pPr>
              <w:jc w:val="right"/>
              <w:rPr>
                <w:color w:val="000000"/>
                <w:szCs w:val="24"/>
              </w:rPr>
            </w:pPr>
            <w:r w:rsidRPr="007870CB">
              <w:rPr>
                <w:color w:val="000000"/>
                <w:szCs w:val="24"/>
              </w:rPr>
              <w:t>915,79</w:t>
            </w:r>
          </w:p>
        </w:tc>
      </w:tr>
      <w:tr w:rsidR="0070585C" w:rsidRPr="008B42CF" w14:paraId="31E32657"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6C1546C3" w14:textId="77777777" w:rsidR="0070585C" w:rsidRPr="007870CB" w:rsidRDefault="0070585C" w:rsidP="00936F9F">
            <w:pPr>
              <w:rPr>
                <w:bCs/>
                <w:szCs w:val="24"/>
              </w:rPr>
            </w:pPr>
            <w:r w:rsidRPr="007870CB">
              <w:rPr>
                <w:bCs/>
                <w:szCs w:val="24"/>
              </w:rPr>
              <w:t xml:space="preserve">Karlovarský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07489E34" w14:textId="77777777" w:rsidR="0070585C" w:rsidRPr="007870CB" w:rsidRDefault="0070585C" w:rsidP="00936F9F">
            <w:pPr>
              <w:jc w:val="right"/>
              <w:rPr>
                <w:color w:val="000000"/>
                <w:szCs w:val="24"/>
              </w:rPr>
            </w:pPr>
            <w:r w:rsidRPr="007870CB">
              <w:rPr>
                <w:color w:val="000000"/>
                <w:szCs w:val="24"/>
              </w:rPr>
              <w:t>236 039 397</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7E9F202" w14:textId="77777777" w:rsidR="0070585C" w:rsidRPr="007870CB" w:rsidRDefault="0070585C" w:rsidP="00936F9F">
            <w:pPr>
              <w:jc w:val="right"/>
              <w:rPr>
                <w:color w:val="000000"/>
                <w:szCs w:val="24"/>
              </w:rPr>
            </w:pPr>
            <w:r w:rsidRPr="007870CB">
              <w:rPr>
                <w:color w:val="000000"/>
                <w:szCs w:val="24"/>
              </w:rPr>
              <w:t>235 689 097</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4F5E449" w14:textId="77777777" w:rsidR="0070585C" w:rsidRPr="007870CB" w:rsidRDefault="0070585C" w:rsidP="00936F9F">
            <w:pPr>
              <w:jc w:val="right"/>
              <w:rPr>
                <w:color w:val="000000"/>
                <w:szCs w:val="24"/>
              </w:rPr>
            </w:pPr>
            <w:r w:rsidRPr="007870CB">
              <w:rPr>
                <w:color w:val="000000"/>
                <w:szCs w:val="24"/>
              </w:rPr>
              <w:t>350 300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84388C7" w14:textId="77777777" w:rsidR="0070585C" w:rsidRPr="007870CB" w:rsidRDefault="0070585C" w:rsidP="00936F9F">
            <w:pPr>
              <w:jc w:val="right"/>
              <w:rPr>
                <w:color w:val="000000"/>
                <w:szCs w:val="24"/>
              </w:rPr>
            </w:pPr>
            <w:r w:rsidRPr="007870CB">
              <w:rPr>
                <w:color w:val="000000"/>
                <w:szCs w:val="24"/>
              </w:rPr>
              <w:t>552,11</w:t>
            </w:r>
          </w:p>
        </w:tc>
      </w:tr>
      <w:tr w:rsidR="0070585C" w:rsidRPr="008B42CF" w14:paraId="712A2162"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7242AE98" w14:textId="77777777" w:rsidR="0070585C" w:rsidRPr="007870CB" w:rsidRDefault="0070585C" w:rsidP="00936F9F">
            <w:pPr>
              <w:rPr>
                <w:bCs/>
                <w:szCs w:val="24"/>
              </w:rPr>
            </w:pPr>
            <w:r w:rsidRPr="007870CB">
              <w:rPr>
                <w:bCs/>
                <w:szCs w:val="24"/>
              </w:rPr>
              <w:t xml:space="preserve">Ústecký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0330F901" w14:textId="77777777" w:rsidR="0070585C" w:rsidRPr="007870CB" w:rsidRDefault="0070585C" w:rsidP="00936F9F">
            <w:pPr>
              <w:jc w:val="right"/>
              <w:rPr>
                <w:color w:val="000000"/>
                <w:szCs w:val="24"/>
              </w:rPr>
            </w:pPr>
            <w:r w:rsidRPr="007870CB">
              <w:rPr>
                <w:color w:val="000000"/>
                <w:szCs w:val="24"/>
              </w:rPr>
              <w:t>645 813 719</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8CD518A" w14:textId="77777777" w:rsidR="0070585C" w:rsidRPr="007870CB" w:rsidRDefault="0070585C" w:rsidP="00936F9F">
            <w:pPr>
              <w:jc w:val="right"/>
              <w:rPr>
                <w:color w:val="000000"/>
                <w:szCs w:val="24"/>
              </w:rPr>
            </w:pPr>
            <w:r w:rsidRPr="007870CB">
              <w:rPr>
                <w:color w:val="000000"/>
                <w:szCs w:val="24"/>
              </w:rPr>
              <w:t>644 811 819</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7BDDB20" w14:textId="77777777" w:rsidR="0070585C" w:rsidRPr="007870CB" w:rsidRDefault="0070585C" w:rsidP="00936F9F">
            <w:pPr>
              <w:jc w:val="right"/>
              <w:rPr>
                <w:color w:val="000000"/>
                <w:szCs w:val="24"/>
              </w:rPr>
            </w:pPr>
            <w:r w:rsidRPr="007870CB">
              <w:rPr>
                <w:color w:val="000000"/>
                <w:szCs w:val="24"/>
              </w:rPr>
              <w:t>1 001 900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98C29BD" w14:textId="77777777" w:rsidR="0070585C" w:rsidRPr="007870CB" w:rsidRDefault="0070585C" w:rsidP="00936F9F">
            <w:pPr>
              <w:jc w:val="right"/>
              <w:rPr>
                <w:color w:val="000000"/>
                <w:szCs w:val="24"/>
              </w:rPr>
            </w:pPr>
            <w:r w:rsidRPr="007870CB">
              <w:rPr>
                <w:color w:val="000000"/>
                <w:szCs w:val="24"/>
              </w:rPr>
              <w:t>1 531,16</w:t>
            </w:r>
          </w:p>
        </w:tc>
      </w:tr>
      <w:tr w:rsidR="0070585C" w:rsidRPr="008B42CF" w14:paraId="7C63DD6E"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784F91C0" w14:textId="77777777" w:rsidR="0070585C" w:rsidRPr="007870CB" w:rsidRDefault="0070585C" w:rsidP="00936F9F">
            <w:pPr>
              <w:rPr>
                <w:bCs/>
                <w:szCs w:val="24"/>
              </w:rPr>
            </w:pPr>
            <w:r w:rsidRPr="007870CB">
              <w:rPr>
                <w:bCs/>
                <w:szCs w:val="24"/>
              </w:rPr>
              <w:t xml:space="preserve">Liberecký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1F977B59" w14:textId="77777777" w:rsidR="0070585C" w:rsidRPr="007870CB" w:rsidRDefault="0070585C" w:rsidP="00936F9F">
            <w:pPr>
              <w:jc w:val="right"/>
              <w:rPr>
                <w:color w:val="000000"/>
                <w:szCs w:val="24"/>
              </w:rPr>
            </w:pPr>
            <w:r w:rsidRPr="007870CB">
              <w:rPr>
                <w:color w:val="000000"/>
                <w:szCs w:val="24"/>
              </w:rPr>
              <w:t>240 619 096</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163BDE8" w14:textId="77777777" w:rsidR="0070585C" w:rsidRPr="007870CB" w:rsidRDefault="0070585C" w:rsidP="00936F9F">
            <w:pPr>
              <w:jc w:val="right"/>
              <w:rPr>
                <w:color w:val="000000"/>
                <w:szCs w:val="24"/>
              </w:rPr>
            </w:pPr>
            <w:r w:rsidRPr="007870CB">
              <w:rPr>
                <w:color w:val="000000"/>
                <w:szCs w:val="24"/>
              </w:rPr>
              <w:t>240 476 146</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3A792614" w14:textId="77777777" w:rsidR="0070585C" w:rsidRPr="007870CB" w:rsidRDefault="0070585C" w:rsidP="00936F9F">
            <w:pPr>
              <w:jc w:val="right"/>
              <w:rPr>
                <w:color w:val="000000"/>
                <w:szCs w:val="24"/>
              </w:rPr>
            </w:pPr>
            <w:r w:rsidRPr="007870CB">
              <w:rPr>
                <w:color w:val="000000"/>
                <w:szCs w:val="24"/>
              </w:rPr>
              <w:t>142 950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54B69AF7" w14:textId="77777777" w:rsidR="0070585C" w:rsidRPr="007870CB" w:rsidRDefault="0070585C" w:rsidP="00936F9F">
            <w:pPr>
              <w:jc w:val="right"/>
              <w:rPr>
                <w:color w:val="000000"/>
                <w:szCs w:val="24"/>
              </w:rPr>
            </w:pPr>
            <w:r w:rsidRPr="007870CB">
              <w:rPr>
                <w:color w:val="000000"/>
                <w:szCs w:val="24"/>
              </w:rPr>
              <w:t>561,07</w:t>
            </w:r>
          </w:p>
        </w:tc>
      </w:tr>
      <w:tr w:rsidR="0070585C" w:rsidRPr="008B42CF" w14:paraId="11B2A173"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1E32ADCA" w14:textId="77777777" w:rsidR="0070585C" w:rsidRPr="007870CB" w:rsidRDefault="0070585C" w:rsidP="00936F9F">
            <w:pPr>
              <w:rPr>
                <w:bCs/>
                <w:szCs w:val="24"/>
              </w:rPr>
            </w:pPr>
            <w:r w:rsidRPr="007870CB">
              <w:rPr>
                <w:bCs/>
                <w:szCs w:val="24"/>
              </w:rPr>
              <w:t>Královéhradecký</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1941D65B" w14:textId="77777777" w:rsidR="0070585C" w:rsidRPr="007870CB" w:rsidRDefault="0070585C" w:rsidP="00936F9F">
            <w:pPr>
              <w:jc w:val="right"/>
              <w:rPr>
                <w:color w:val="000000"/>
                <w:szCs w:val="24"/>
              </w:rPr>
            </w:pPr>
            <w:r w:rsidRPr="007870CB">
              <w:rPr>
                <w:color w:val="000000"/>
                <w:szCs w:val="24"/>
              </w:rPr>
              <w:t>385 607 605</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DC92ED6" w14:textId="77777777" w:rsidR="0070585C" w:rsidRPr="007870CB" w:rsidRDefault="0070585C" w:rsidP="00936F9F">
            <w:pPr>
              <w:jc w:val="right"/>
              <w:rPr>
                <w:color w:val="000000"/>
                <w:szCs w:val="24"/>
              </w:rPr>
            </w:pPr>
            <w:r w:rsidRPr="007870CB">
              <w:rPr>
                <w:color w:val="000000"/>
                <w:szCs w:val="24"/>
              </w:rPr>
              <w:t>385 387 505</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A16900B" w14:textId="77777777" w:rsidR="0070585C" w:rsidRPr="007870CB" w:rsidRDefault="0070585C" w:rsidP="00936F9F">
            <w:pPr>
              <w:jc w:val="right"/>
              <w:rPr>
                <w:color w:val="000000"/>
                <w:szCs w:val="24"/>
              </w:rPr>
            </w:pPr>
            <w:r w:rsidRPr="007870CB">
              <w:rPr>
                <w:color w:val="000000"/>
                <w:szCs w:val="24"/>
              </w:rPr>
              <w:t>220 100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EA10110" w14:textId="77777777" w:rsidR="0070585C" w:rsidRPr="007870CB" w:rsidRDefault="0070585C" w:rsidP="00936F9F">
            <w:pPr>
              <w:jc w:val="right"/>
              <w:rPr>
                <w:color w:val="000000"/>
                <w:szCs w:val="24"/>
              </w:rPr>
            </w:pPr>
            <w:r w:rsidRPr="007870CB">
              <w:rPr>
                <w:color w:val="000000"/>
                <w:szCs w:val="24"/>
              </w:rPr>
              <w:t>894,41</w:t>
            </w:r>
          </w:p>
        </w:tc>
      </w:tr>
      <w:tr w:rsidR="0070585C" w:rsidRPr="008B42CF" w14:paraId="4181EE4F"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0CE87C11" w14:textId="77777777" w:rsidR="0070585C" w:rsidRPr="007870CB" w:rsidRDefault="0070585C" w:rsidP="00936F9F">
            <w:pPr>
              <w:rPr>
                <w:bCs/>
                <w:szCs w:val="24"/>
              </w:rPr>
            </w:pPr>
            <w:r w:rsidRPr="007870CB">
              <w:rPr>
                <w:bCs/>
                <w:szCs w:val="24"/>
              </w:rPr>
              <w:t xml:space="preserve">Pardubický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4DEC4FFF" w14:textId="77777777" w:rsidR="0070585C" w:rsidRPr="007870CB" w:rsidRDefault="0070585C" w:rsidP="00936F9F">
            <w:pPr>
              <w:jc w:val="right"/>
              <w:rPr>
                <w:color w:val="000000"/>
                <w:szCs w:val="24"/>
              </w:rPr>
            </w:pPr>
            <w:r w:rsidRPr="007870CB">
              <w:rPr>
                <w:color w:val="000000"/>
                <w:szCs w:val="24"/>
              </w:rPr>
              <w:t>333 168 802</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DC5CFD6" w14:textId="77777777" w:rsidR="0070585C" w:rsidRPr="007870CB" w:rsidRDefault="0070585C" w:rsidP="00936F9F">
            <w:pPr>
              <w:jc w:val="right"/>
              <w:rPr>
                <w:color w:val="000000"/>
                <w:szCs w:val="24"/>
              </w:rPr>
            </w:pPr>
            <w:r w:rsidRPr="007870CB">
              <w:rPr>
                <w:color w:val="000000"/>
                <w:szCs w:val="24"/>
              </w:rPr>
              <w:t>333 070 702</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8C33BA8" w14:textId="77777777" w:rsidR="0070585C" w:rsidRPr="007870CB" w:rsidRDefault="0070585C" w:rsidP="00936F9F">
            <w:pPr>
              <w:jc w:val="right"/>
              <w:rPr>
                <w:color w:val="000000"/>
                <w:szCs w:val="24"/>
              </w:rPr>
            </w:pPr>
            <w:r w:rsidRPr="007870CB">
              <w:rPr>
                <w:color w:val="000000"/>
                <w:szCs w:val="24"/>
              </w:rPr>
              <w:t>98 100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4D459B2" w14:textId="77777777" w:rsidR="0070585C" w:rsidRPr="007870CB" w:rsidRDefault="0070585C" w:rsidP="00936F9F">
            <w:pPr>
              <w:jc w:val="right"/>
              <w:rPr>
                <w:color w:val="000000"/>
                <w:szCs w:val="24"/>
              </w:rPr>
            </w:pPr>
            <w:r w:rsidRPr="007870CB">
              <w:rPr>
                <w:color w:val="000000"/>
                <w:szCs w:val="24"/>
              </w:rPr>
              <w:t>799,99</w:t>
            </w:r>
          </w:p>
        </w:tc>
      </w:tr>
      <w:tr w:rsidR="0070585C" w:rsidRPr="008B42CF" w14:paraId="1737AE9D"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30A03513" w14:textId="77777777" w:rsidR="0070585C" w:rsidRPr="007870CB" w:rsidRDefault="0070585C" w:rsidP="00936F9F">
            <w:pPr>
              <w:rPr>
                <w:bCs/>
                <w:szCs w:val="24"/>
              </w:rPr>
            </w:pPr>
            <w:r w:rsidRPr="007870CB">
              <w:rPr>
                <w:bCs/>
                <w:szCs w:val="24"/>
              </w:rPr>
              <w:t>Vysočina</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0D20F4B8" w14:textId="77777777" w:rsidR="0070585C" w:rsidRPr="007870CB" w:rsidRDefault="0070585C" w:rsidP="00936F9F">
            <w:pPr>
              <w:jc w:val="right"/>
              <w:rPr>
                <w:color w:val="000000"/>
                <w:szCs w:val="24"/>
              </w:rPr>
            </w:pPr>
            <w:r w:rsidRPr="007870CB">
              <w:rPr>
                <w:color w:val="000000"/>
                <w:szCs w:val="24"/>
              </w:rPr>
              <w:t>312 253 857</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58F004" w14:textId="77777777" w:rsidR="0070585C" w:rsidRPr="007870CB" w:rsidRDefault="0070585C" w:rsidP="00936F9F">
            <w:pPr>
              <w:jc w:val="right"/>
              <w:rPr>
                <w:color w:val="000000"/>
                <w:szCs w:val="24"/>
              </w:rPr>
            </w:pPr>
            <w:r w:rsidRPr="007870CB">
              <w:rPr>
                <w:color w:val="000000"/>
                <w:szCs w:val="24"/>
              </w:rPr>
              <w:t>311 946 257</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2FC93A2" w14:textId="77777777" w:rsidR="0070585C" w:rsidRPr="007870CB" w:rsidRDefault="0070585C" w:rsidP="00936F9F">
            <w:pPr>
              <w:jc w:val="right"/>
              <w:rPr>
                <w:color w:val="000000"/>
                <w:szCs w:val="24"/>
              </w:rPr>
            </w:pPr>
            <w:r w:rsidRPr="007870CB">
              <w:rPr>
                <w:color w:val="000000"/>
                <w:szCs w:val="24"/>
              </w:rPr>
              <w:t>307 600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EB880F2" w14:textId="77777777" w:rsidR="0070585C" w:rsidRPr="007870CB" w:rsidRDefault="0070585C" w:rsidP="00936F9F">
            <w:pPr>
              <w:jc w:val="right"/>
              <w:rPr>
                <w:color w:val="000000"/>
                <w:szCs w:val="24"/>
              </w:rPr>
            </w:pPr>
            <w:r w:rsidRPr="007870CB">
              <w:rPr>
                <w:color w:val="000000"/>
                <w:szCs w:val="24"/>
              </w:rPr>
              <w:t>735,27</w:t>
            </w:r>
          </w:p>
        </w:tc>
      </w:tr>
      <w:tr w:rsidR="0070585C" w:rsidRPr="008B42CF" w14:paraId="0EF022ED"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4E3289B0" w14:textId="77777777" w:rsidR="0070585C" w:rsidRPr="007870CB" w:rsidRDefault="0070585C" w:rsidP="00936F9F">
            <w:pPr>
              <w:rPr>
                <w:bCs/>
                <w:szCs w:val="24"/>
              </w:rPr>
            </w:pPr>
            <w:r w:rsidRPr="007870CB">
              <w:rPr>
                <w:bCs/>
                <w:szCs w:val="24"/>
              </w:rPr>
              <w:t>Jihomoravský</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03D8F7D0" w14:textId="77777777" w:rsidR="0070585C" w:rsidRPr="007870CB" w:rsidRDefault="0070585C" w:rsidP="00936F9F">
            <w:pPr>
              <w:jc w:val="right"/>
              <w:rPr>
                <w:color w:val="000000"/>
                <w:szCs w:val="24"/>
              </w:rPr>
            </w:pPr>
            <w:r w:rsidRPr="007870CB">
              <w:rPr>
                <w:color w:val="000000"/>
                <w:szCs w:val="24"/>
              </w:rPr>
              <w:t>700 763 266</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35A795FE" w14:textId="77777777" w:rsidR="0070585C" w:rsidRPr="007870CB" w:rsidRDefault="0070585C" w:rsidP="00936F9F">
            <w:pPr>
              <w:jc w:val="right"/>
              <w:rPr>
                <w:color w:val="000000"/>
                <w:szCs w:val="24"/>
              </w:rPr>
            </w:pPr>
            <w:r w:rsidRPr="007870CB">
              <w:rPr>
                <w:color w:val="000000"/>
                <w:szCs w:val="24"/>
              </w:rPr>
              <w:t>700 227 766</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9320A49" w14:textId="77777777" w:rsidR="0070585C" w:rsidRPr="007870CB" w:rsidRDefault="0070585C" w:rsidP="00936F9F">
            <w:pPr>
              <w:jc w:val="right"/>
              <w:rPr>
                <w:color w:val="000000"/>
                <w:szCs w:val="24"/>
              </w:rPr>
            </w:pPr>
            <w:r w:rsidRPr="007870CB">
              <w:rPr>
                <w:color w:val="000000"/>
                <w:szCs w:val="24"/>
              </w:rPr>
              <w:t>535 500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FC18AA2" w14:textId="77777777" w:rsidR="0070585C" w:rsidRPr="007870CB" w:rsidRDefault="0070585C" w:rsidP="00936F9F">
            <w:pPr>
              <w:jc w:val="right"/>
              <w:rPr>
                <w:color w:val="000000"/>
                <w:szCs w:val="24"/>
              </w:rPr>
            </w:pPr>
            <w:r w:rsidRPr="007870CB">
              <w:rPr>
                <w:color w:val="000000"/>
                <w:szCs w:val="24"/>
              </w:rPr>
              <w:t>1 626,12</w:t>
            </w:r>
          </w:p>
        </w:tc>
      </w:tr>
      <w:tr w:rsidR="0070585C" w:rsidRPr="008B42CF" w14:paraId="2F101A0B"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2D7888CF" w14:textId="77777777" w:rsidR="0070585C" w:rsidRPr="007870CB" w:rsidRDefault="0070585C" w:rsidP="00936F9F">
            <w:pPr>
              <w:rPr>
                <w:bCs/>
                <w:szCs w:val="24"/>
              </w:rPr>
            </w:pPr>
            <w:r w:rsidRPr="007870CB">
              <w:rPr>
                <w:bCs/>
                <w:szCs w:val="24"/>
              </w:rPr>
              <w:t>Olomoucký</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04253536" w14:textId="77777777" w:rsidR="0070585C" w:rsidRPr="007870CB" w:rsidRDefault="0070585C" w:rsidP="00936F9F">
            <w:pPr>
              <w:jc w:val="right"/>
              <w:rPr>
                <w:color w:val="000000"/>
                <w:szCs w:val="24"/>
              </w:rPr>
            </w:pPr>
            <w:r w:rsidRPr="007870CB">
              <w:rPr>
                <w:color w:val="000000"/>
                <w:szCs w:val="24"/>
              </w:rPr>
              <w:t>437 576 717</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2276FB16" w14:textId="77777777" w:rsidR="0070585C" w:rsidRPr="007870CB" w:rsidRDefault="0070585C" w:rsidP="00936F9F">
            <w:pPr>
              <w:jc w:val="right"/>
              <w:rPr>
                <w:color w:val="000000"/>
                <w:szCs w:val="24"/>
              </w:rPr>
            </w:pPr>
            <w:r w:rsidRPr="007870CB">
              <w:rPr>
                <w:color w:val="000000"/>
                <w:szCs w:val="24"/>
              </w:rPr>
              <w:t>437 272 567</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98B43BF" w14:textId="77777777" w:rsidR="0070585C" w:rsidRPr="007870CB" w:rsidRDefault="0070585C" w:rsidP="00936F9F">
            <w:pPr>
              <w:jc w:val="right"/>
              <w:rPr>
                <w:color w:val="000000"/>
                <w:szCs w:val="24"/>
              </w:rPr>
            </w:pPr>
            <w:r w:rsidRPr="007870CB">
              <w:rPr>
                <w:color w:val="000000"/>
                <w:szCs w:val="24"/>
              </w:rPr>
              <w:t>304 150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EB2DE89" w14:textId="77777777" w:rsidR="0070585C" w:rsidRPr="007870CB" w:rsidRDefault="0070585C" w:rsidP="00936F9F">
            <w:pPr>
              <w:jc w:val="right"/>
              <w:rPr>
                <w:color w:val="000000"/>
                <w:szCs w:val="24"/>
              </w:rPr>
            </w:pPr>
            <w:r w:rsidRPr="007870CB">
              <w:rPr>
                <w:color w:val="000000"/>
                <w:szCs w:val="24"/>
              </w:rPr>
              <w:t>1 035,47</w:t>
            </w:r>
          </w:p>
        </w:tc>
      </w:tr>
      <w:tr w:rsidR="0070585C" w:rsidRPr="008B42CF" w14:paraId="1CFB2F20" w14:textId="77777777" w:rsidTr="00936F9F">
        <w:trPr>
          <w:trHeight w:val="284"/>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bottom"/>
            <w:hideMark/>
          </w:tcPr>
          <w:p w14:paraId="17C3DD9B" w14:textId="77777777" w:rsidR="0070585C" w:rsidRPr="007870CB" w:rsidRDefault="0070585C" w:rsidP="00936F9F">
            <w:pPr>
              <w:rPr>
                <w:bCs/>
                <w:szCs w:val="24"/>
              </w:rPr>
            </w:pPr>
            <w:r w:rsidRPr="007870CB">
              <w:rPr>
                <w:bCs/>
                <w:szCs w:val="24"/>
              </w:rPr>
              <w:t xml:space="preserve">Zlínský </w:t>
            </w:r>
          </w:p>
        </w:tc>
        <w:tc>
          <w:tcPr>
            <w:tcW w:w="1843" w:type="dxa"/>
            <w:tcBorders>
              <w:top w:val="single" w:sz="4" w:space="0" w:color="auto"/>
              <w:left w:val="nil"/>
              <w:bottom w:val="single" w:sz="4" w:space="0" w:color="auto"/>
              <w:right w:val="single" w:sz="8" w:space="0" w:color="auto"/>
            </w:tcBorders>
            <w:shd w:val="clear" w:color="auto" w:fill="auto"/>
            <w:noWrap/>
            <w:vAlign w:val="bottom"/>
            <w:hideMark/>
          </w:tcPr>
          <w:p w14:paraId="50195355" w14:textId="77777777" w:rsidR="0070585C" w:rsidRPr="007870CB" w:rsidRDefault="0070585C" w:rsidP="00936F9F">
            <w:pPr>
              <w:jc w:val="right"/>
              <w:rPr>
                <w:color w:val="000000"/>
                <w:szCs w:val="24"/>
              </w:rPr>
            </w:pPr>
            <w:r w:rsidRPr="007870CB">
              <w:rPr>
                <w:color w:val="000000"/>
                <w:szCs w:val="24"/>
              </w:rPr>
              <w:t>327 741 700</w:t>
            </w:r>
          </w:p>
        </w:tc>
        <w:tc>
          <w:tcPr>
            <w:tcW w:w="18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69EBD6A" w14:textId="77777777" w:rsidR="0070585C" w:rsidRPr="007870CB" w:rsidRDefault="0070585C" w:rsidP="00936F9F">
            <w:pPr>
              <w:jc w:val="right"/>
              <w:rPr>
                <w:color w:val="000000"/>
                <w:szCs w:val="24"/>
              </w:rPr>
            </w:pPr>
            <w:r w:rsidRPr="007870CB">
              <w:rPr>
                <w:color w:val="000000"/>
                <w:szCs w:val="24"/>
              </w:rPr>
              <w:t>327 627 100</w:t>
            </w:r>
          </w:p>
        </w:tc>
        <w:tc>
          <w:tcPr>
            <w:tcW w:w="1417"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2D58E08" w14:textId="77777777" w:rsidR="0070585C" w:rsidRPr="007870CB" w:rsidRDefault="0070585C" w:rsidP="00936F9F">
            <w:pPr>
              <w:jc w:val="right"/>
              <w:rPr>
                <w:color w:val="000000"/>
                <w:szCs w:val="24"/>
              </w:rPr>
            </w:pPr>
            <w:r w:rsidRPr="007870CB">
              <w:rPr>
                <w:color w:val="000000"/>
                <w:szCs w:val="24"/>
              </w:rPr>
              <w:t>114 600</w:t>
            </w:r>
          </w:p>
        </w:tc>
        <w:tc>
          <w:tcPr>
            <w:tcW w:w="127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15B6B2EF" w14:textId="77777777" w:rsidR="0070585C" w:rsidRPr="007870CB" w:rsidRDefault="0070585C" w:rsidP="00936F9F">
            <w:pPr>
              <w:jc w:val="right"/>
              <w:rPr>
                <w:color w:val="000000"/>
                <w:szCs w:val="24"/>
              </w:rPr>
            </w:pPr>
            <w:r w:rsidRPr="007870CB">
              <w:rPr>
                <w:color w:val="000000"/>
                <w:szCs w:val="24"/>
              </w:rPr>
              <w:t>771,86</w:t>
            </w:r>
          </w:p>
        </w:tc>
      </w:tr>
      <w:tr w:rsidR="0070585C" w:rsidRPr="008B42CF" w14:paraId="49DE5F77" w14:textId="77777777" w:rsidTr="00936F9F">
        <w:trPr>
          <w:trHeight w:val="284"/>
        </w:trPr>
        <w:tc>
          <w:tcPr>
            <w:tcW w:w="2268" w:type="dxa"/>
            <w:tcBorders>
              <w:top w:val="single" w:sz="4" w:space="0" w:color="auto"/>
              <w:left w:val="single" w:sz="8" w:space="0" w:color="auto"/>
              <w:bottom w:val="single" w:sz="8" w:space="0" w:color="auto"/>
              <w:right w:val="single" w:sz="8" w:space="0" w:color="auto"/>
            </w:tcBorders>
            <w:shd w:val="clear" w:color="auto" w:fill="FFFFFF"/>
            <w:noWrap/>
            <w:vAlign w:val="bottom"/>
            <w:hideMark/>
          </w:tcPr>
          <w:p w14:paraId="6B4BB038" w14:textId="77777777" w:rsidR="0070585C" w:rsidRPr="007870CB" w:rsidRDefault="0070585C" w:rsidP="00936F9F">
            <w:pPr>
              <w:rPr>
                <w:bCs/>
                <w:szCs w:val="24"/>
              </w:rPr>
            </w:pPr>
            <w:r w:rsidRPr="007870CB">
              <w:rPr>
                <w:bCs/>
                <w:szCs w:val="24"/>
              </w:rPr>
              <w:t>Moravskoslezský</w:t>
            </w:r>
          </w:p>
        </w:tc>
        <w:tc>
          <w:tcPr>
            <w:tcW w:w="1843" w:type="dxa"/>
            <w:tcBorders>
              <w:top w:val="single" w:sz="4" w:space="0" w:color="auto"/>
              <w:left w:val="nil"/>
              <w:bottom w:val="single" w:sz="8" w:space="0" w:color="auto"/>
              <w:right w:val="single" w:sz="8" w:space="0" w:color="auto"/>
            </w:tcBorders>
            <w:shd w:val="clear" w:color="auto" w:fill="auto"/>
            <w:noWrap/>
            <w:vAlign w:val="bottom"/>
            <w:hideMark/>
          </w:tcPr>
          <w:p w14:paraId="51B44D21" w14:textId="77777777" w:rsidR="0070585C" w:rsidRPr="007870CB" w:rsidRDefault="0070585C" w:rsidP="00936F9F">
            <w:pPr>
              <w:jc w:val="right"/>
              <w:rPr>
                <w:color w:val="000000"/>
                <w:szCs w:val="24"/>
              </w:rPr>
            </w:pPr>
            <w:r w:rsidRPr="007870CB">
              <w:rPr>
                <w:color w:val="000000"/>
                <w:szCs w:val="24"/>
              </w:rPr>
              <w:t>794 539 513</w:t>
            </w:r>
          </w:p>
        </w:tc>
        <w:tc>
          <w:tcPr>
            <w:tcW w:w="1843"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0CFFBD57" w14:textId="77777777" w:rsidR="0070585C" w:rsidRPr="007870CB" w:rsidRDefault="0070585C" w:rsidP="00936F9F">
            <w:pPr>
              <w:jc w:val="right"/>
              <w:rPr>
                <w:color w:val="000000"/>
                <w:szCs w:val="24"/>
              </w:rPr>
            </w:pPr>
            <w:r w:rsidRPr="007870CB">
              <w:rPr>
                <w:color w:val="000000"/>
                <w:szCs w:val="24"/>
              </w:rPr>
              <w:t>794 156 433</w:t>
            </w:r>
          </w:p>
        </w:tc>
        <w:tc>
          <w:tcPr>
            <w:tcW w:w="1417"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A0F579F" w14:textId="77777777" w:rsidR="0070585C" w:rsidRPr="007870CB" w:rsidRDefault="0070585C" w:rsidP="00936F9F">
            <w:pPr>
              <w:jc w:val="right"/>
              <w:rPr>
                <w:color w:val="000000"/>
                <w:szCs w:val="24"/>
              </w:rPr>
            </w:pPr>
            <w:r w:rsidRPr="007870CB">
              <w:rPr>
                <w:color w:val="000000"/>
                <w:szCs w:val="24"/>
              </w:rPr>
              <w:t>383 080</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49A13E43" w14:textId="77777777" w:rsidR="0070585C" w:rsidRPr="007870CB" w:rsidRDefault="0070585C" w:rsidP="00936F9F">
            <w:pPr>
              <w:jc w:val="right"/>
              <w:rPr>
                <w:color w:val="000000"/>
                <w:szCs w:val="24"/>
              </w:rPr>
            </w:pPr>
            <w:r w:rsidRPr="007870CB">
              <w:rPr>
                <w:color w:val="000000"/>
                <w:szCs w:val="24"/>
              </w:rPr>
              <w:t>1 874,46</w:t>
            </w:r>
          </w:p>
        </w:tc>
      </w:tr>
      <w:tr w:rsidR="0070585C" w:rsidRPr="008B42CF" w14:paraId="30B8110F" w14:textId="77777777" w:rsidTr="00936F9F">
        <w:trPr>
          <w:trHeight w:val="284"/>
        </w:trPr>
        <w:tc>
          <w:tcPr>
            <w:tcW w:w="2268" w:type="dxa"/>
            <w:tcBorders>
              <w:top w:val="single" w:sz="8" w:space="0" w:color="auto"/>
              <w:left w:val="single" w:sz="8" w:space="0" w:color="auto"/>
              <w:bottom w:val="single" w:sz="8" w:space="0" w:color="auto"/>
              <w:right w:val="nil"/>
            </w:tcBorders>
            <w:noWrap/>
            <w:vAlign w:val="bottom"/>
            <w:hideMark/>
          </w:tcPr>
          <w:p w14:paraId="73012AE0" w14:textId="77777777" w:rsidR="0070585C" w:rsidRPr="007870CB" w:rsidRDefault="0070585C" w:rsidP="00936F9F">
            <w:pPr>
              <w:rPr>
                <w:bCs/>
                <w:szCs w:val="24"/>
              </w:rPr>
            </w:pPr>
            <w:r w:rsidRPr="007870CB">
              <w:rPr>
                <w:bCs/>
                <w:szCs w:val="24"/>
              </w:rPr>
              <w:t>RgŠ celkem:</w:t>
            </w:r>
          </w:p>
        </w:tc>
        <w:tc>
          <w:tcPr>
            <w:tcW w:w="1843" w:type="dxa"/>
            <w:tcBorders>
              <w:top w:val="single" w:sz="8" w:space="0" w:color="auto"/>
              <w:left w:val="single" w:sz="8" w:space="0" w:color="auto"/>
              <w:bottom w:val="single" w:sz="8" w:space="0" w:color="auto"/>
              <w:right w:val="single" w:sz="8" w:space="0" w:color="auto"/>
            </w:tcBorders>
            <w:noWrap/>
            <w:hideMark/>
          </w:tcPr>
          <w:p w14:paraId="0ED6BAA1" w14:textId="77777777" w:rsidR="0070585C" w:rsidRPr="007870CB" w:rsidRDefault="0070585C" w:rsidP="00936F9F">
            <w:pPr>
              <w:jc w:val="right"/>
              <w:rPr>
                <w:color w:val="000000"/>
                <w:szCs w:val="24"/>
                <w:highlight w:val="yellow"/>
              </w:rPr>
            </w:pPr>
            <w:r w:rsidRPr="007870CB">
              <w:rPr>
                <w:color w:val="000000"/>
                <w:szCs w:val="24"/>
              </w:rPr>
              <w:t>6 752 981 770</w:t>
            </w:r>
          </w:p>
        </w:tc>
        <w:tc>
          <w:tcPr>
            <w:tcW w:w="1843" w:type="dxa"/>
            <w:tcBorders>
              <w:top w:val="single" w:sz="8" w:space="0" w:color="auto"/>
              <w:left w:val="nil"/>
              <w:bottom w:val="single" w:sz="8" w:space="0" w:color="auto"/>
              <w:right w:val="single" w:sz="8" w:space="0" w:color="auto"/>
            </w:tcBorders>
            <w:shd w:val="clear" w:color="auto" w:fill="auto"/>
            <w:noWrap/>
            <w:hideMark/>
          </w:tcPr>
          <w:p w14:paraId="5EC271A7" w14:textId="77777777" w:rsidR="0070585C" w:rsidRPr="007870CB" w:rsidRDefault="0070585C" w:rsidP="00936F9F">
            <w:pPr>
              <w:jc w:val="right"/>
              <w:rPr>
                <w:color w:val="000000"/>
                <w:szCs w:val="24"/>
                <w:highlight w:val="yellow"/>
              </w:rPr>
            </w:pPr>
            <w:r w:rsidRPr="007870CB">
              <w:rPr>
                <w:color w:val="000000"/>
                <w:szCs w:val="24"/>
              </w:rPr>
              <w:t>6 748 273 740</w:t>
            </w:r>
          </w:p>
        </w:tc>
        <w:tc>
          <w:tcPr>
            <w:tcW w:w="1417" w:type="dxa"/>
            <w:tcBorders>
              <w:top w:val="single" w:sz="8" w:space="0" w:color="auto"/>
              <w:left w:val="nil"/>
              <w:bottom w:val="single" w:sz="8" w:space="0" w:color="auto"/>
              <w:right w:val="single" w:sz="8" w:space="0" w:color="auto"/>
            </w:tcBorders>
            <w:shd w:val="clear" w:color="auto" w:fill="auto"/>
            <w:noWrap/>
          </w:tcPr>
          <w:p w14:paraId="648EF23A" w14:textId="77777777" w:rsidR="0070585C" w:rsidRPr="007870CB" w:rsidRDefault="0070585C" w:rsidP="00936F9F">
            <w:pPr>
              <w:jc w:val="right"/>
              <w:rPr>
                <w:color w:val="000000"/>
                <w:szCs w:val="24"/>
                <w:highlight w:val="yellow"/>
              </w:rPr>
            </w:pPr>
            <w:r w:rsidRPr="007870CB">
              <w:rPr>
                <w:color w:val="000000"/>
                <w:szCs w:val="24"/>
              </w:rPr>
              <w:t>4 708 030</w:t>
            </w:r>
          </w:p>
        </w:tc>
        <w:tc>
          <w:tcPr>
            <w:tcW w:w="1276" w:type="dxa"/>
            <w:tcBorders>
              <w:top w:val="single" w:sz="8" w:space="0" w:color="auto"/>
              <w:left w:val="nil"/>
              <w:bottom w:val="single" w:sz="8" w:space="0" w:color="auto"/>
              <w:right w:val="single" w:sz="8" w:space="0" w:color="auto"/>
            </w:tcBorders>
            <w:shd w:val="clear" w:color="auto" w:fill="auto"/>
            <w:noWrap/>
            <w:hideMark/>
          </w:tcPr>
          <w:p w14:paraId="5AEF7DC0" w14:textId="77777777" w:rsidR="0070585C" w:rsidRPr="007870CB" w:rsidRDefault="0070585C" w:rsidP="00936F9F">
            <w:pPr>
              <w:jc w:val="right"/>
              <w:rPr>
                <w:color w:val="000000"/>
                <w:szCs w:val="24"/>
                <w:highlight w:val="yellow"/>
              </w:rPr>
            </w:pPr>
            <w:r w:rsidRPr="007870CB">
              <w:rPr>
                <w:color w:val="000000"/>
                <w:szCs w:val="24"/>
              </w:rPr>
              <w:t>15 908,04</w:t>
            </w:r>
          </w:p>
        </w:tc>
      </w:tr>
    </w:tbl>
    <w:p w14:paraId="325C07FD" w14:textId="77777777" w:rsidR="00F83DD6" w:rsidRDefault="00F83DD6" w:rsidP="0070585C">
      <w:pPr>
        <w:pStyle w:val="Text"/>
      </w:pPr>
    </w:p>
    <w:p w14:paraId="7D688413" w14:textId="77777777" w:rsidR="0070585C" w:rsidRDefault="0070585C" w:rsidP="0070585C">
      <w:pPr>
        <w:pStyle w:val="Text"/>
      </w:pPr>
      <w:r>
        <w:t>Z toho na</w:t>
      </w:r>
      <w:r w:rsidRPr="005D04B1">
        <w:t xml:space="preserve"> asistenty pedagoga bude </w:t>
      </w:r>
      <w:r w:rsidRPr="001137E0">
        <w:t xml:space="preserve">čerpáno cca 5,7 mld. Kč, tj. 84 % objemu finančních prostředků </w:t>
      </w:r>
      <w:r>
        <w:t xml:space="preserve">rozepsaných </w:t>
      </w:r>
      <w:r w:rsidRPr="001137E0">
        <w:t xml:space="preserve">v rámci </w:t>
      </w:r>
      <w:r>
        <w:t xml:space="preserve">této </w:t>
      </w:r>
      <w:r w:rsidRPr="001137E0">
        <w:t>úpravy. Počet přepočtených úvazků asistentů pedagoga je 13 933,41 (tj. 87,6 %) s průměrným platem 24 958 Kč.</w:t>
      </w:r>
    </w:p>
    <w:p w14:paraId="2D9FC577" w14:textId="77777777" w:rsidR="0070585C" w:rsidRPr="0056524A" w:rsidRDefault="0070585C" w:rsidP="0070585C">
      <w:pPr>
        <w:pStyle w:val="Text"/>
      </w:pPr>
      <w:r>
        <w:t>Na podpůrná opatření ve </w:t>
      </w:r>
      <w:r w:rsidRPr="00065B95">
        <w:t>škol</w:t>
      </w:r>
      <w:r>
        <w:t>ách</w:t>
      </w:r>
      <w:r w:rsidRPr="00065B95">
        <w:t xml:space="preserve"> a tříd</w:t>
      </w:r>
      <w:r>
        <w:t>ách</w:t>
      </w:r>
      <w:r w:rsidRPr="00065B95">
        <w:t xml:space="preserve"> zřízených podle § 16 odst. 9 školského zákona</w:t>
      </w:r>
      <w:r>
        <w:t xml:space="preserve"> je v rámci této úpravy rozepsáno </w:t>
      </w:r>
      <w:r w:rsidRPr="001137E0">
        <w:t xml:space="preserve">cca </w:t>
      </w:r>
      <w:r>
        <w:t>1 </w:t>
      </w:r>
      <w:r w:rsidRPr="001137E0">
        <w:t xml:space="preserve">mld. Kč, tj. </w:t>
      </w:r>
      <w:r>
        <w:t>17,9</w:t>
      </w:r>
      <w:r w:rsidRPr="001137E0">
        <w:t xml:space="preserve"> % objemu finančních prostředků </w:t>
      </w:r>
      <w:r>
        <w:t xml:space="preserve">rozepsaných </w:t>
      </w:r>
      <w:r w:rsidRPr="001137E0">
        <w:t>v rámci úpravy.</w:t>
      </w:r>
    </w:p>
    <w:p w14:paraId="656723BF" w14:textId="77777777" w:rsidR="0070585C" w:rsidRDefault="0070585C" w:rsidP="0070585C">
      <w:pPr>
        <w:pStyle w:val="Text"/>
      </w:pPr>
    </w:p>
    <w:p w14:paraId="40D33519" w14:textId="77777777" w:rsidR="0070585C" w:rsidRPr="003F61AA" w:rsidRDefault="0070585C" w:rsidP="003F61AA">
      <w:pPr>
        <w:rPr>
          <w:b/>
        </w:rPr>
      </w:pPr>
      <w:r w:rsidRPr="003F61AA">
        <w:rPr>
          <w:b/>
        </w:rPr>
        <w:t>Finanční prostředky na asistenty pedagoga a přepočtené počty asistentů pedagoga po jednotlivých krajích:</w:t>
      </w:r>
    </w:p>
    <w:tbl>
      <w:tblPr>
        <w:tblW w:w="8080" w:type="dxa"/>
        <w:tblInd w:w="70" w:type="dxa"/>
        <w:tblLayout w:type="fixed"/>
        <w:tblCellMar>
          <w:left w:w="70" w:type="dxa"/>
          <w:right w:w="70" w:type="dxa"/>
        </w:tblCellMar>
        <w:tblLook w:val="04A0" w:firstRow="1" w:lastRow="0" w:firstColumn="1" w:lastColumn="0" w:noHBand="0" w:noVBand="1"/>
      </w:tblPr>
      <w:tblGrid>
        <w:gridCol w:w="2268"/>
        <w:gridCol w:w="1701"/>
        <w:gridCol w:w="1701"/>
        <w:gridCol w:w="993"/>
        <w:gridCol w:w="1417"/>
      </w:tblGrid>
      <w:tr w:rsidR="0070585C" w:rsidRPr="008B42CF" w14:paraId="05E991A9" w14:textId="77777777" w:rsidTr="00936F9F">
        <w:trPr>
          <w:trHeight w:val="435"/>
        </w:trPr>
        <w:tc>
          <w:tcPr>
            <w:tcW w:w="2268" w:type="dxa"/>
            <w:tcBorders>
              <w:top w:val="single" w:sz="8" w:space="0" w:color="auto"/>
              <w:left w:val="single" w:sz="8" w:space="0" w:color="auto"/>
              <w:right w:val="single" w:sz="8" w:space="0" w:color="auto"/>
            </w:tcBorders>
            <w:noWrap/>
            <w:vAlign w:val="center"/>
            <w:hideMark/>
          </w:tcPr>
          <w:p w14:paraId="01A8CA57" w14:textId="77777777" w:rsidR="0070585C" w:rsidRPr="004D319D" w:rsidRDefault="0070585C" w:rsidP="00936F9F">
            <w:pPr>
              <w:rPr>
                <w:bCs/>
                <w:sz w:val="22"/>
                <w:szCs w:val="24"/>
              </w:rPr>
            </w:pPr>
            <w:r w:rsidRPr="004D319D">
              <w:rPr>
                <w:bCs/>
                <w:sz w:val="22"/>
                <w:szCs w:val="24"/>
              </w:rPr>
              <w:t>Kraj </w:t>
            </w:r>
          </w:p>
        </w:tc>
        <w:tc>
          <w:tcPr>
            <w:tcW w:w="1701" w:type="dxa"/>
            <w:tcBorders>
              <w:top w:val="single" w:sz="8" w:space="0" w:color="auto"/>
              <w:left w:val="nil"/>
              <w:right w:val="single" w:sz="8" w:space="0" w:color="auto"/>
            </w:tcBorders>
            <w:noWrap/>
            <w:vAlign w:val="center"/>
            <w:hideMark/>
          </w:tcPr>
          <w:p w14:paraId="43671F4E" w14:textId="77777777" w:rsidR="0070585C" w:rsidRPr="004D319D" w:rsidRDefault="0070585C" w:rsidP="00936F9F">
            <w:pPr>
              <w:jc w:val="center"/>
              <w:rPr>
                <w:bCs/>
                <w:sz w:val="22"/>
                <w:szCs w:val="24"/>
              </w:rPr>
            </w:pPr>
            <w:r w:rsidRPr="004D319D">
              <w:rPr>
                <w:bCs/>
                <w:sz w:val="22"/>
                <w:szCs w:val="24"/>
              </w:rPr>
              <w:t>NIV celkem</w:t>
            </w:r>
          </w:p>
          <w:p w14:paraId="6628D9E9" w14:textId="77777777" w:rsidR="0070585C" w:rsidRPr="004D319D" w:rsidRDefault="0070585C" w:rsidP="00936F9F">
            <w:pPr>
              <w:jc w:val="center"/>
              <w:rPr>
                <w:bCs/>
                <w:sz w:val="22"/>
                <w:szCs w:val="24"/>
              </w:rPr>
            </w:pPr>
            <w:r w:rsidRPr="004D319D">
              <w:rPr>
                <w:bCs/>
                <w:sz w:val="22"/>
                <w:szCs w:val="24"/>
              </w:rPr>
              <w:t>v</w:t>
            </w:r>
            <w:r>
              <w:rPr>
                <w:bCs/>
                <w:sz w:val="22"/>
                <w:szCs w:val="24"/>
              </w:rPr>
              <w:t> </w:t>
            </w:r>
            <w:r w:rsidRPr="004D319D">
              <w:rPr>
                <w:bCs/>
                <w:sz w:val="22"/>
                <w:szCs w:val="24"/>
              </w:rPr>
              <w:t>Kč</w:t>
            </w:r>
          </w:p>
        </w:tc>
        <w:tc>
          <w:tcPr>
            <w:tcW w:w="1701" w:type="dxa"/>
            <w:tcBorders>
              <w:top w:val="single" w:sz="8" w:space="0" w:color="auto"/>
              <w:left w:val="nil"/>
              <w:right w:val="single" w:sz="8" w:space="0" w:color="auto"/>
            </w:tcBorders>
            <w:noWrap/>
            <w:vAlign w:val="center"/>
            <w:hideMark/>
          </w:tcPr>
          <w:p w14:paraId="483CBE7F" w14:textId="77777777" w:rsidR="0070585C" w:rsidRPr="004D319D" w:rsidRDefault="0070585C" w:rsidP="00936F9F">
            <w:pPr>
              <w:jc w:val="center"/>
              <w:rPr>
                <w:bCs/>
                <w:sz w:val="22"/>
                <w:szCs w:val="24"/>
              </w:rPr>
            </w:pPr>
            <w:r w:rsidRPr="004D319D">
              <w:rPr>
                <w:bCs/>
                <w:sz w:val="22"/>
                <w:szCs w:val="24"/>
              </w:rPr>
              <w:t>MP vč. odvodů</w:t>
            </w:r>
          </w:p>
          <w:p w14:paraId="5D64FBD5" w14:textId="77777777" w:rsidR="0070585C" w:rsidRPr="004D319D" w:rsidRDefault="0070585C" w:rsidP="00936F9F">
            <w:pPr>
              <w:jc w:val="center"/>
              <w:rPr>
                <w:bCs/>
                <w:sz w:val="22"/>
                <w:szCs w:val="24"/>
              </w:rPr>
            </w:pPr>
            <w:r w:rsidRPr="004D319D">
              <w:rPr>
                <w:bCs/>
                <w:sz w:val="22"/>
                <w:szCs w:val="24"/>
              </w:rPr>
              <w:t>v Kč</w:t>
            </w:r>
          </w:p>
        </w:tc>
        <w:tc>
          <w:tcPr>
            <w:tcW w:w="993" w:type="dxa"/>
            <w:tcBorders>
              <w:top w:val="single" w:sz="8" w:space="0" w:color="auto"/>
              <w:left w:val="nil"/>
              <w:right w:val="single" w:sz="8" w:space="0" w:color="auto"/>
            </w:tcBorders>
            <w:noWrap/>
            <w:vAlign w:val="center"/>
            <w:hideMark/>
          </w:tcPr>
          <w:p w14:paraId="061DF13A" w14:textId="77777777" w:rsidR="0070585C" w:rsidRPr="004D319D" w:rsidRDefault="0070585C" w:rsidP="00936F9F">
            <w:pPr>
              <w:jc w:val="center"/>
              <w:rPr>
                <w:bCs/>
                <w:sz w:val="22"/>
                <w:szCs w:val="24"/>
              </w:rPr>
            </w:pPr>
            <w:r w:rsidRPr="004D319D">
              <w:rPr>
                <w:bCs/>
                <w:sz w:val="22"/>
                <w:szCs w:val="24"/>
              </w:rPr>
              <w:t>ONIV</w:t>
            </w:r>
          </w:p>
          <w:p w14:paraId="45BBDF30" w14:textId="77777777" w:rsidR="0070585C" w:rsidRPr="004D319D" w:rsidRDefault="0070585C" w:rsidP="00936F9F">
            <w:pPr>
              <w:jc w:val="center"/>
              <w:rPr>
                <w:bCs/>
                <w:sz w:val="22"/>
                <w:szCs w:val="24"/>
              </w:rPr>
            </w:pPr>
            <w:r w:rsidRPr="004D319D">
              <w:rPr>
                <w:bCs/>
                <w:sz w:val="22"/>
                <w:szCs w:val="24"/>
              </w:rPr>
              <w:t>v Kč</w:t>
            </w:r>
          </w:p>
        </w:tc>
        <w:tc>
          <w:tcPr>
            <w:tcW w:w="1417" w:type="dxa"/>
            <w:tcBorders>
              <w:top w:val="single" w:sz="8" w:space="0" w:color="auto"/>
              <w:left w:val="nil"/>
              <w:right w:val="single" w:sz="8" w:space="0" w:color="auto"/>
            </w:tcBorders>
            <w:noWrap/>
            <w:vAlign w:val="center"/>
            <w:hideMark/>
          </w:tcPr>
          <w:p w14:paraId="536E1937" w14:textId="77777777" w:rsidR="0070585C" w:rsidRPr="004D319D" w:rsidRDefault="0070585C" w:rsidP="00936F9F">
            <w:pPr>
              <w:jc w:val="center"/>
              <w:rPr>
                <w:bCs/>
                <w:sz w:val="22"/>
                <w:szCs w:val="24"/>
              </w:rPr>
            </w:pPr>
            <w:r w:rsidRPr="004D319D">
              <w:rPr>
                <w:bCs/>
                <w:sz w:val="22"/>
                <w:szCs w:val="24"/>
              </w:rPr>
              <w:t xml:space="preserve">Počet </w:t>
            </w:r>
          </w:p>
          <w:p w14:paraId="41CA3895" w14:textId="77777777" w:rsidR="0070585C" w:rsidRPr="004D319D" w:rsidRDefault="0070585C" w:rsidP="00936F9F">
            <w:pPr>
              <w:jc w:val="center"/>
              <w:rPr>
                <w:bCs/>
                <w:sz w:val="22"/>
                <w:szCs w:val="24"/>
              </w:rPr>
            </w:pPr>
            <w:r w:rsidRPr="004D319D">
              <w:rPr>
                <w:bCs/>
                <w:sz w:val="22"/>
                <w:szCs w:val="24"/>
              </w:rPr>
              <w:t>zam.</w:t>
            </w:r>
          </w:p>
        </w:tc>
      </w:tr>
      <w:tr w:rsidR="0070585C" w:rsidRPr="008B42CF" w14:paraId="3A4405D7" w14:textId="77777777" w:rsidTr="00936F9F">
        <w:trPr>
          <w:trHeight w:val="170"/>
        </w:trPr>
        <w:tc>
          <w:tcPr>
            <w:tcW w:w="2268"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14:paraId="6C85B897" w14:textId="77777777" w:rsidR="0070585C" w:rsidRPr="004D319D" w:rsidRDefault="0070585C" w:rsidP="00936F9F">
            <w:pPr>
              <w:rPr>
                <w:bCs/>
                <w:sz w:val="22"/>
                <w:szCs w:val="24"/>
              </w:rPr>
            </w:pPr>
            <w:r w:rsidRPr="004D319D">
              <w:rPr>
                <w:bCs/>
                <w:sz w:val="22"/>
                <w:szCs w:val="24"/>
              </w:rPr>
              <w:t xml:space="preserve">Hl. m. Praha </w:t>
            </w:r>
          </w:p>
        </w:tc>
        <w:tc>
          <w:tcPr>
            <w:tcW w:w="1701" w:type="dxa"/>
            <w:tcBorders>
              <w:top w:val="single" w:sz="8" w:space="0" w:color="auto"/>
              <w:left w:val="nil"/>
              <w:bottom w:val="single" w:sz="4" w:space="0" w:color="auto"/>
              <w:right w:val="single" w:sz="8" w:space="0" w:color="auto"/>
            </w:tcBorders>
            <w:noWrap/>
            <w:vAlign w:val="center"/>
            <w:hideMark/>
          </w:tcPr>
          <w:p w14:paraId="61075B89" w14:textId="77777777" w:rsidR="0070585C" w:rsidRPr="00F64661" w:rsidRDefault="0070585C" w:rsidP="00936F9F">
            <w:pPr>
              <w:jc w:val="right"/>
              <w:rPr>
                <w:sz w:val="22"/>
              </w:rPr>
            </w:pPr>
            <w:r w:rsidRPr="00F64661">
              <w:rPr>
                <w:sz w:val="22"/>
              </w:rPr>
              <w:t>587 441 037</w:t>
            </w:r>
          </w:p>
        </w:tc>
        <w:tc>
          <w:tcPr>
            <w:tcW w:w="1701" w:type="dxa"/>
            <w:tcBorders>
              <w:top w:val="single" w:sz="8" w:space="0" w:color="auto"/>
              <w:left w:val="nil"/>
              <w:bottom w:val="single" w:sz="4" w:space="0" w:color="auto"/>
              <w:right w:val="single" w:sz="8" w:space="0" w:color="auto"/>
            </w:tcBorders>
            <w:noWrap/>
            <w:vAlign w:val="center"/>
            <w:hideMark/>
          </w:tcPr>
          <w:p w14:paraId="724F7926" w14:textId="77777777" w:rsidR="0070585C" w:rsidRPr="00F64661" w:rsidRDefault="0070585C" w:rsidP="00936F9F">
            <w:pPr>
              <w:jc w:val="right"/>
              <w:rPr>
                <w:sz w:val="22"/>
              </w:rPr>
            </w:pPr>
            <w:r w:rsidRPr="00F64661">
              <w:rPr>
                <w:sz w:val="22"/>
              </w:rPr>
              <w:t>587 441 037</w:t>
            </w:r>
          </w:p>
        </w:tc>
        <w:tc>
          <w:tcPr>
            <w:tcW w:w="993" w:type="dxa"/>
            <w:tcBorders>
              <w:top w:val="single" w:sz="8" w:space="0" w:color="auto"/>
              <w:left w:val="nil"/>
              <w:bottom w:val="single" w:sz="4" w:space="0" w:color="auto"/>
              <w:right w:val="single" w:sz="8" w:space="0" w:color="auto"/>
            </w:tcBorders>
            <w:noWrap/>
            <w:vAlign w:val="center"/>
          </w:tcPr>
          <w:p w14:paraId="6DE79399"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8" w:space="0" w:color="auto"/>
              <w:left w:val="nil"/>
              <w:bottom w:val="single" w:sz="4" w:space="0" w:color="auto"/>
              <w:right w:val="single" w:sz="8" w:space="0" w:color="auto"/>
            </w:tcBorders>
            <w:noWrap/>
            <w:vAlign w:val="center"/>
            <w:hideMark/>
          </w:tcPr>
          <w:p w14:paraId="68164AE4" w14:textId="77777777" w:rsidR="0070585C" w:rsidRPr="00F64661" w:rsidRDefault="0070585C" w:rsidP="00936F9F">
            <w:pPr>
              <w:jc w:val="right"/>
              <w:rPr>
                <w:sz w:val="22"/>
              </w:rPr>
            </w:pPr>
            <w:r w:rsidRPr="00F64661">
              <w:rPr>
                <w:sz w:val="22"/>
              </w:rPr>
              <w:t>1 449,45</w:t>
            </w:r>
          </w:p>
        </w:tc>
      </w:tr>
      <w:tr w:rsidR="0070585C" w:rsidRPr="008B42CF" w14:paraId="246EBF5A"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5EA0C9FE" w14:textId="77777777" w:rsidR="0070585C" w:rsidRPr="004D319D" w:rsidRDefault="0070585C" w:rsidP="00936F9F">
            <w:pPr>
              <w:rPr>
                <w:bCs/>
                <w:sz w:val="22"/>
                <w:szCs w:val="24"/>
              </w:rPr>
            </w:pPr>
            <w:r w:rsidRPr="004D319D">
              <w:rPr>
                <w:bCs/>
                <w:sz w:val="22"/>
                <w:szCs w:val="24"/>
              </w:rPr>
              <w:t xml:space="preserve">Středočeský </w:t>
            </w:r>
          </w:p>
        </w:tc>
        <w:tc>
          <w:tcPr>
            <w:tcW w:w="1701" w:type="dxa"/>
            <w:tcBorders>
              <w:top w:val="single" w:sz="4" w:space="0" w:color="auto"/>
              <w:left w:val="nil"/>
              <w:bottom w:val="single" w:sz="4" w:space="0" w:color="auto"/>
              <w:right w:val="single" w:sz="8" w:space="0" w:color="auto"/>
            </w:tcBorders>
            <w:noWrap/>
            <w:vAlign w:val="center"/>
            <w:hideMark/>
          </w:tcPr>
          <w:p w14:paraId="5971FAA6" w14:textId="77777777" w:rsidR="0070585C" w:rsidRPr="00F64661" w:rsidRDefault="0070585C" w:rsidP="00936F9F">
            <w:pPr>
              <w:jc w:val="right"/>
              <w:rPr>
                <w:sz w:val="22"/>
              </w:rPr>
            </w:pPr>
            <w:r w:rsidRPr="00F64661">
              <w:rPr>
                <w:sz w:val="22"/>
              </w:rPr>
              <w:t>779 612 150</w:t>
            </w:r>
          </w:p>
        </w:tc>
        <w:tc>
          <w:tcPr>
            <w:tcW w:w="1701" w:type="dxa"/>
            <w:tcBorders>
              <w:top w:val="single" w:sz="4" w:space="0" w:color="auto"/>
              <w:left w:val="nil"/>
              <w:bottom w:val="single" w:sz="4" w:space="0" w:color="auto"/>
              <w:right w:val="single" w:sz="8" w:space="0" w:color="auto"/>
            </w:tcBorders>
            <w:noWrap/>
            <w:vAlign w:val="center"/>
            <w:hideMark/>
          </w:tcPr>
          <w:p w14:paraId="04A9A94B" w14:textId="77777777" w:rsidR="0070585C" w:rsidRPr="00F64661" w:rsidRDefault="0070585C" w:rsidP="00936F9F">
            <w:pPr>
              <w:jc w:val="right"/>
              <w:rPr>
                <w:sz w:val="22"/>
              </w:rPr>
            </w:pPr>
            <w:r w:rsidRPr="00F64661">
              <w:rPr>
                <w:sz w:val="22"/>
              </w:rPr>
              <w:t>779 612 150</w:t>
            </w:r>
          </w:p>
        </w:tc>
        <w:tc>
          <w:tcPr>
            <w:tcW w:w="993" w:type="dxa"/>
            <w:tcBorders>
              <w:top w:val="single" w:sz="4" w:space="0" w:color="auto"/>
              <w:left w:val="nil"/>
              <w:bottom w:val="single" w:sz="4" w:space="0" w:color="auto"/>
              <w:right w:val="single" w:sz="8" w:space="0" w:color="auto"/>
            </w:tcBorders>
            <w:noWrap/>
            <w:vAlign w:val="center"/>
          </w:tcPr>
          <w:p w14:paraId="7BD066CD"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0504CE66" w14:textId="77777777" w:rsidR="0070585C" w:rsidRPr="00F64661" w:rsidRDefault="0070585C" w:rsidP="00936F9F">
            <w:pPr>
              <w:jc w:val="right"/>
              <w:rPr>
                <w:sz w:val="22"/>
              </w:rPr>
            </w:pPr>
            <w:r w:rsidRPr="00F64661">
              <w:rPr>
                <w:sz w:val="22"/>
              </w:rPr>
              <w:t>1 916,14</w:t>
            </w:r>
          </w:p>
        </w:tc>
      </w:tr>
      <w:tr w:rsidR="0070585C" w:rsidRPr="008B42CF" w14:paraId="719BEFFC"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47AF9E2F" w14:textId="77777777" w:rsidR="0070585C" w:rsidRPr="004D319D" w:rsidRDefault="0070585C" w:rsidP="00936F9F">
            <w:pPr>
              <w:rPr>
                <w:bCs/>
                <w:sz w:val="22"/>
                <w:szCs w:val="24"/>
              </w:rPr>
            </w:pPr>
            <w:r w:rsidRPr="004D319D">
              <w:rPr>
                <w:bCs/>
                <w:sz w:val="22"/>
                <w:szCs w:val="24"/>
              </w:rPr>
              <w:t xml:space="preserve">Jihočeský </w:t>
            </w:r>
          </w:p>
        </w:tc>
        <w:tc>
          <w:tcPr>
            <w:tcW w:w="1701" w:type="dxa"/>
            <w:tcBorders>
              <w:top w:val="single" w:sz="4" w:space="0" w:color="auto"/>
              <w:left w:val="nil"/>
              <w:bottom w:val="single" w:sz="4" w:space="0" w:color="auto"/>
              <w:right w:val="single" w:sz="8" w:space="0" w:color="auto"/>
            </w:tcBorders>
            <w:noWrap/>
            <w:vAlign w:val="center"/>
            <w:hideMark/>
          </w:tcPr>
          <w:p w14:paraId="37545DA5" w14:textId="77777777" w:rsidR="0070585C" w:rsidRPr="00F64661" w:rsidRDefault="0070585C" w:rsidP="00936F9F">
            <w:pPr>
              <w:jc w:val="right"/>
              <w:rPr>
                <w:sz w:val="22"/>
              </w:rPr>
            </w:pPr>
            <w:r w:rsidRPr="00F64661">
              <w:rPr>
                <w:sz w:val="22"/>
              </w:rPr>
              <w:t>278 009 681</w:t>
            </w:r>
          </w:p>
        </w:tc>
        <w:tc>
          <w:tcPr>
            <w:tcW w:w="1701" w:type="dxa"/>
            <w:tcBorders>
              <w:top w:val="single" w:sz="4" w:space="0" w:color="auto"/>
              <w:left w:val="nil"/>
              <w:bottom w:val="single" w:sz="4" w:space="0" w:color="auto"/>
              <w:right w:val="single" w:sz="8" w:space="0" w:color="auto"/>
            </w:tcBorders>
            <w:noWrap/>
            <w:vAlign w:val="center"/>
            <w:hideMark/>
          </w:tcPr>
          <w:p w14:paraId="3A996459" w14:textId="77777777" w:rsidR="0070585C" w:rsidRPr="00F64661" w:rsidRDefault="0070585C" w:rsidP="00936F9F">
            <w:pPr>
              <w:jc w:val="right"/>
              <w:rPr>
                <w:sz w:val="22"/>
              </w:rPr>
            </w:pPr>
            <w:r w:rsidRPr="00F64661">
              <w:rPr>
                <w:sz w:val="22"/>
              </w:rPr>
              <w:t>278 009 681</w:t>
            </w:r>
          </w:p>
        </w:tc>
        <w:tc>
          <w:tcPr>
            <w:tcW w:w="993" w:type="dxa"/>
            <w:tcBorders>
              <w:top w:val="single" w:sz="4" w:space="0" w:color="auto"/>
              <w:left w:val="nil"/>
              <w:bottom w:val="single" w:sz="4" w:space="0" w:color="auto"/>
              <w:right w:val="single" w:sz="8" w:space="0" w:color="auto"/>
            </w:tcBorders>
            <w:noWrap/>
            <w:vAlign w:val="center"/>
          </w:tcPr>
          <w:p w14:paraId="29AB8945"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34BDD4DD" w14:textId="77777777" w:rsidR="0070585C" w:rsidRPr="00F64661" w:rsidRDefault="0070585C" w:rsidP="00936F9F">
            <w:pPr>
              <w:jc w:val="right"/>
              <w:rPr>
                <w:sz w:val="22"/>
              </w:rPr>
            </w:pPr>
            <w:r w:rsidRPr="00F64661">
              <w:rPr>
                <w:sz w:val="22"/>
              </w:rPr>
              <w:t>678,28</w:t>
            </w:r>
          </w:p>
        </w:tc>
      </w:tr>
      <w:tr w:rsidR="0070585C" w:rsidRPr="008B42CF" w14:paraId="1A670E5A"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06527E40" w14:textId="77777777" w:rsidR="0070585C" w:rsidRPr="004D319D" w:rsidRDefault="0070585C" w:rsidP="00936F9F">
            <w:pPr>
              <w:rPr>
                <w:bCs/>
                <w:sz w:val="22"/>
                <w:szCs w:val="24"/>
              </w:rPr>
            </w:pPr>
            <w:r w:rsidRPr="004D319D">
              <w:rPr>
                <w:bCs/>
                <w:sz w:val="22"/>
                <w:szCs w:val="24"/>
              </w:rPr>
              <w:t xml:space="preserve">Plzeňský  </w:t>
            </w:r>
          </w:p>
        </w:tc>
        <w:tc>
          <w:tcPr>
            <w:tcW w:w="1701" w:type="dxa"/>
            <w:tcBorders>
              <w:top w:val="single" w:sz="4" w:space="0" w:color="auto"/>
              <w:left w:val="nil"/>
              <w:bottom w:val="single" w:sz="4" w:space="0" w:color="auto"/>
              <w:right w:val="single" w:sz="8" w:space="0" w:color="auto"/>
            </w:tcBorders>
            <w:noWrap/>
            <w:vAlign w:val="center"/>
            <w:hideMark/>
          </w:tcPr>
          <w:p w14:paraId="25C21FB7" w14:textId="77777777" w:rsidR="0070585C" w:rsidRPr="00F64661" w:rsidRDefault="0070585C" w:rsidP="00936F9F">
            <w:pPr>
              <w:jc w:val="right"/>
              <w:rPr>
                <w:sz w:val="22"/>
              </w:rPr>
            </w:pPr>
            <w:r w:rsidRPr="00F64661">
              <w:rPr>
                <w:sz w:val="22"/>
              </w:rPr>
              <w:t>348 055 878</w:t>
            </w:r>
          </w:p>
        </w:tc>
        <w:tc>
          <w:tcPr>
            <w:tcW w:w="1701" w:type="dxa"/>
            <w:tcBorders>
              <w:top w:val="single" w:sz="4" w:space="0" w:color="auto"/>
              <w:left w:val="nil"/>
              <w:bottom w:val="single" w:sz="4" w:space="0" w:color="auto"/>
              <w:right w:val="single" w:sz="8" w:space="0" w:color="auto"/>
            </w:tcBorders>
            <w:noWrap/>
            <w:vAlign w:val="center"/>
            <w:hideMark/>
          </w:tcPr>
          <w:p w14:paraId="23476761" w14:textId="77777777" w:rsidR="0070585C" w:rsidRPr="00F64661" w:rsidRDefault="0070585C" w:rsidP="00936F9F">
            <w:pPr>
              <w:jc w:val="right"/>
              <w:rPr>
                <w:sz w:val="22"/>
              </w:rPr>
            </w:pPr>
            <w:r w:rsidRPr="00F64661">
              <w:rPr>
                <w:sz w:val="22"/>
              </w:rPr>
              <w:t>348 055 878</w:t>
            </w:r>
          </w:p>
        </w:tc>
        <w:tc>
          <w:tcPr>
            <w:tcW w:w="993" w:type="dxa"/>
            <w:tcBorders>
              <w:top w:val="single" w:sz="4" w:space="0" w:color="auto"/>
              <w:left w:val="nil"/>
              <w:bottom w:val="single" w:sz="4" w:space="0" w:color="auto"/>
              <w:right w:val="single" w:sz="8" w:space="0" w:color="auto"/>
            </w:tcBorders>
            <w:noWrap/>
            <w:vAlign w:val="center"/>
          </w:tcPr>
          <w:p w14:paraId="0555BB0D"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44F587C9" w14:textId="77777777" w:rsidR="0070585C" w:rsidRPr="00F64661" w:rsidRDefault="0070585C" w:rsidP="00936F9F">
            <w:pPr>
              <w:jc w:val="right"/>
              <w:rPr>
                <w:sz w:val="22"/>
              </w:rPr>
            </w:pPr>
            <w:r w:rsidRPr="00F64661">
              <w:rPr>
                <w:sz w:val="22"/>
              </w:rPr>
              <w:t>850,64</w:t>
            </w:r>
          </w:p>
        </w:tc>
      </w:tr>
      <w:tr w:rsidR="0070585C" w:rsidRPr="008B42CF" w14:paraId="16F68E8F"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7E9E4E7C" w14:textId="77777777" w:rsidR="0070585C" w:rsidRPr="004D319D" w:rsidRDefault="0070585C" w:rsidP="00936F9F">
            <w:pPr>
              <w:rPr>
                <w:bCs/>
                <w:sz w:val="22"/>
                <w:szCs w:val="24"/>
              </w:rPr>
            </w:pPr>
            <w:r w:rsidRPr="004D319D">
              <w:rPr>
                <w:bCs/>
                <w:sz w:val="22"/>
                <w:szCs w:val="24"/>
              </w:rPr>
              <w:t xml:space="preserve">Karlovarský </w:t>
            </w:r>
          </w:p>
        </w:tc>
        <w:tc>
          <w:tcPr>
            <w:tcW w:w="1701" w:type="dxa"/>
            <w:tcBorders>
              <w:top w:val="single" w:sz="4" w:space="0" w:color="auto"/>
              <w:left w:val="nil"/>
              <w:bottom w:val="single" w:sz="4" w:space="0" w:color="auto"/>
              <w:right w:val="single" w:sz="8" w:space="0" w:color="auto"/>
            </w:tcBorders>
            <w:noWrap/>
            <w:vAlign w:val="center"/>
            <w:hideMark/>
          </w:tcPr>
          <w:p w14:paraId="1A35E94E" w14:textId="77777777" w:rsidR="0070585C" w:rsidRPr="00F64661" w:rsidRDefault="0070585C" w:rsidP="00936F9F">
            <w:pPr>
              <w:jc w:val="right"/>
              <w:rPr>
                <w:sz w:val="22"/>
              </w:rPr>
            </w:pPr>
            <w:r w:rsidRPr="00F64661">
              <w:rPr>
                <w:sz w:val="22"/>
              </w:rPr>
              <w:t>191 681 299</w:t>
            </w:r>
          </w:p>
        </w:tc>
        <w:tc>
          <w:tcPr>
            <w:tcW w:w="1701" w:type="dxa"/>
            <w:tcBorders>
              <w:top w:val="single" w:sz="4" w:space="0" w:color="auto"/>
              <w:left w:val="nil"/>
              <w:bottom w:val="single" w:sz="4" w:space="0" w:color="auto"/>
              <w:right w:val="single" w:sz="8" w:space="0" w:color="auto"/>
            </w:tcBorders>
            <w:noWrap/>
            <w:vAlign w:val="center"/>
            <w:hideMark/>
          </w:tcPr>
          <w:p w14:paraId="21440B5D" w14:textId="77777777" w:rsidR="0070585C" w:rsidRPr="00F64661" w:rsidRDefault="0070585C" w:rsidP="00936F9F">
            <w:pPr>
              <w:jc w:val="right"/>
              <w:rPr>
                <w:sz w:val="22"/>
              </w:rPr>
            </w:pPr>
            <w:r w:rsidRPr="00F64661">
              <w:rPr>
                <w:sz w:val="22"/>
              </w:rPr>
              <w:t>191 681 299</w:t>
            </w:r>
          </w:p>
        </w:tc>
        <w:tc>
          <w:tcPr>
            <w:tcW w:w="993" w:type="dxa"/>
            <w:tcBorders>
              <w:top w:val="single" w:sz="4" w:space="0" w:color="auto"/>
              <w:left w:val="nil"/>
              <w:bottom w:val="single" w:sz="4" w:space="0" w:color="auto"/>
              <w:right w:val="single" w:sz="8" w:space="0" w:color="auto"/>
            </w:tcBorders>
            <w:noWrap/>
            <w:vAlign w:val="center"/>
          </w:tcPr>
          <w:p w14:paraId="4A74A0D6"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774B1877" w14:textId="77777777" w:rsidR="0070585C" w:rsidRPr="00F64661" w:rsidRDefault="0070585C" w:rsidP="00936F9F">
            <w:pPr>
              <w:jc w:val="right"/>
              <w:rPr>
                <w:sz w:val="22"/>
              </w:rPr>
            </w:pPr>
            <w:r w:rsidRPr="00F64661">
              <w:rPr>
                <w:sz w:val="22"/>
              </w:rPr>
              <w:t>471,31</w:t>
            </w:r>
          </w:p>
        </w:tc>
      </w:tr>
      <w:tr w:rsidR="0070585C" w:rsidRPr="008B42CF" w14:paraId="727FD036"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0BC7CB36" w14:textId="77777777" w:rsidR="0070585C" w:rsidRPr="004D319D" w:rsidRDefault="0070585C" w:rsidP="00936F9F">
            <w:pPr>
              <w:rPr>
                <w:bCs/>
                <w:sz w:val="22"/>
                <w:szCs w:val="24"/>
              </w:rPr>
            </w:pPr>
            <w:r w:rsidRPr="004D319D">
              <w:rPr>
                <w:bCs/>
                <w:sz w:val="22"/>
                <w:szCs w:val="24"/>
              </w:rPr>
              <w:t xml:space="preserve">Ústecký </w:t>
            </w:r>
          </w:p>
        </w:tc>
        <w:tc>
          <w:tcPr>
            <w:tcW w:w="1701" w:type="dxa"/>
            <w:tcBorders>
              <w:top w:val="single" w:sz="4" w:space="0" w:color="auto"/>
              <w:left w:val="nil"/>
              <w:bottom w:val="single" w:sz="4" w:space="0" w:color="auto"/>
              <w:right w:val="single" w:sz="8" w:space="0" w:color="auto"/>
            </w:tcBorders>
            <w:noWrap/>
            <w:vAlign w:val="center"/>
            <w:hideMark/>
          </w:tcPr>
          <w:p w14:paraId="0ACB8022" w14:textId="77777777" w:rsidR="0070585C" w:rsidRPr="00F64661" w:rsidRDefault="0070585C" w:rsidP="00936F9F">
            <w:pPr>
              <w:jc w:val="right"/>
              <w:rPr>
                <w:sz w:val="22"/>
              </w:rPr>
            </w:pPr>
            <w:r w:rsidRPr="00F64661">
              <w:rPr>
                <w:sz w:val="22"/>
              </w:rPr>
              <w:t>555 282 640</w:t>
            </w:r>
          </w:p>
        </w:tc>
        <w:tc>
          <w:tcPr>
            <w:tcW w:w="1701" w:type="dxa"/>
            <w:tcBorders>
              <w:top w:val="single" w:sz="4" w:space="0" w:color="auto"/>
              <w:left w:val="nil"/>
              <w:bottom w:val="single" w:sz="4" w:space="0" w:color="auto"/>
              <w:right w:val="single" w:sz="8" w:space="0" w:color="auto"/>
            </w:tcBorders>
            <w:noWrap/>
            <w:vAlign w:val="center"/>
            <w:hideMark/>
          </w:tcPr>
          <w:p w14:paraId="3BFF3D97" w14:textId="77777777" w:rsidR="0070585C" w:rsidRPr="00F64661" w:rsidRDefault="0070585C" w:rsidP="00936F9F">
            <w:pPr>
              <w:jc w:val="right"/>
              <w:rPr>
                <w:sz w:val="22"/>
              </w:rPr>
            </w:pPr>
            <w:r w:rsidRPr="00F64661">
              <w:rPr>
                <w:sz w:val="22"/>
              </w:rPr>
              <w:t>555 282 640</w:t>
            </w:r>
          </w:p>
        </w:tc>
        <w:tc>
          <w:tcPr>
            <w:tcW w:w="993" w:type="dxa"/>
            <w:tcBorders>
              <w:top w:val="single" w:sz="4" w:space="0" w:color="auto"/>
              <w:left w:val="nil"/>
              <w:bottom w:val="single" w:sz="4" w:space="0" w:color="auto"/>
              <w:right w:val="single" w:sz="8" w:space="0" w:color="auto"/>
            </w:tcBorders>
            <w:noWrap/>
            <w:vAlign w:val="center"/>
          </w:tcPr>
          <w:p w14:paraId="49EAAE42"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4B2C031A" w14:textId="77777777" w:rsidR="0070585C" w:rsidRPr="00F64661" w:rsidRDefault="0070585C" w:rsidP="00936F9F">
            <w:pPr>
              <w:jc w:val="right"/>
              <w:rPr>
                <w:sz w:val="22"/>
              </w:rPr>
            </w:pPr>
            <w:r w:rsidRPr="00F64661">
              <w:rPr>
                <w:sz w:val="22"/>
              </w:rPr>
              <w:t>1 366,36</w:t>
            </w:r>
          </w:p>
        </w:tc>
      </w:tr>
      <w:tr w:rsidR="0070585C" w:rsidRPr="008B42CF" w14:paraId="4D6A301A"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2C63AAAB" w14:textId="77777777" w:rsidR="0070585C" w:rsidRPr="004D319D" w:rsidRDefault="0070585C" w:rsidP="00936F9F">
            <w:pPr>
              <w:rPr>
                <w:bCs/>
                <w:sz w:val="22"/>
                <w:szCs w:val="24"/>
              </w:rPr>
            </w:pPr>
            <w:r w:rsidRPr="004D319D">
              <w:rPr>
                <w:bCs/>
                <w:sz w:val="22"/>
                <w:szCs w:val="24"/>
              </w:rPr>
              <w:t xml:space="preserve">Liberecký </w:t>
            </w:r>
          </w:p>
        </w:tc>
        <w:tc>
          <w:tcPr>
            <w:tcW w:w="1701" w:type="dxa"/>
            <w:tcBorders>
              <w:top w:val="single" w:sz="4" w:space="0" w:color="auto"/>
              <w:left w:val="nil"/>
              <w:bottom w:val="single" w:sz="4" w:space="0" w:color="auto"/>
              <w:right w:val="single" w:sz="8" w:space="0" w:color="auto"/>
            </w:tcBorders>
            <w:noWrap/>
            <w:vAlign w:val="center"/>
            <w:hideMark/>
          </w:tcPr>
          <w:p w14:paraId="06973020" w14:textId="77777777" w:rsidR="0070585C" w:rsidRPr="00F64661" w:rsidRDefault="0070585C" w:rsidP="00936F9F">
            <w:pPr>
              <w:jc w:val="right"/>
              <w:rPr>
                <w:sz w:val="22"/>
              </w:rPr>
            </w:pPr>
            <w:r w:rsidRPr="00F64661">
              <w:rPr>
                <w:sz w:val="22"/>
              </w:rPr>
              <w:t>187 405 238</w:t>
            </w:r>
          </w:p>
        </w:tc>
        <w:tc>
          <w:tcPr>
            <w:tcW w:w="1701" w:type="dxa"/>
            <w:tcBorders>
              <w:top w:val="single" w:sz="4" w:space="0" w:color="auto"/>
              <w:left w:val="nil"/>
              <w:bottom w:val="single" w:sz="4" w:space="0" w:color="auto"/>
              <w:right w:val="single" w:sz="8" w:space="0" w:color="auto"/>
            </w:tcBorders>
            <w:noWrap/>
            <w:vAlign w:val="center"/>
            <w:hideMark/>
          </w:tcPr>
          <w:p w14:paraId="711DF278" w14:textId="77777777" w:rsidR="0070585C" w:rsidRPr="00F64661" w:rsidRDefault="0070585C" w:rsidP="00936F9F">
            <w:pPr>
              <w:jc w:val="right"/>
              <w:rPr>
                <w:sz w:val="22"/>
              </w:rPr>
            </w:pPr>
            <w:r w:rsidRPr="00F64661">
              <w:rPr>
                <w:sz w:val="22"/>
              </w:rPr>
              <w:t>187 405 238</w:t>
            </w:r>
          </w:p>
        </w:tc>
        <w:tc>
          <w:tcPr>
            <w:tcW w:w="993" w:type="dxa"/>
            <w:tcBorders>
              <w:top w:val="single" w:sz="4" w:space="0" w:color="auto"/>
              <w:left w:val="nil"/>
              <w:bottom w:val="single" w:sz="4" w:space="0" w:color="auto"/>
              <w:right w:val="single" w:sz="8" w:space="0" w:color="auto"/>
            </w:tcBorders>
            <w:noWrap/>
            <w:vAlign w:val="center"/>
          </w:tcPr>
          <w:p w14:paraId="24EBE44D"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08A21772" w14:textId="77777777" w:rsidR="0070585C" w:rsidRPr="00F64661" w:rsidRDefault="0070585C" w:rsidP="00936F9F">
            <w:pPr>
              <w:jc w:val="right"/>
              <w:rPr>
                <w:sz w:val="22"/>
              </w:rPr>
            </w:pPr>
            <w:r w:rsidRPr="00F64661">
              <w:rPr>
                <w:sz w:val="22"/>
              </w:rPr>
              <w:t>464,42</w:t>
            </w:r>
          </w:p>
        </w:tc>
      </w:tr>
      <w:tr w:rsidR="0070585C" w:rsidRPr="008B42CF" w14:paraId="1A4A8C95"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7DC43E6B" w14:textId="77777777" w:rsidR="0070585C" w:rsidRPr="004D319D" w:rsidRDefault="0070585C" w:rsidP="00936F9F">
            <w:pPr>
              <w:rPr>
                <w:bCs/>
                <w:sz w:val="22"/>
                <w:szCs w:val="24"/>
              </w:rPr>
            </w:pPr>
            <w:r w:rsidRPr="004D319D">
              <w:rPr>
                <w:bCs/>
                <w:sz w:val="22"/>
                <w:szCs w:val="24"/>
              </w:rPr>
              <w:t>Královéhradecký</w:t>
            </w:r>
          </w:p>
        </w:tc>
        <w:tc>
          <w:tcPr>
            <w:tcW w:w="1701" w:type="dxa"/>
            <w:tcBorders>
              <w:top w:val="single" w:sz="4" w:space="0" w:color="auto"/>
              <w:left w:val="nil"/>
              <w:bottom w:val="single" w:sz="4" w:space="0" w:color="auto"/>
              <w:right w:val="single" w:sz="8" w:space="0" w:color="auto"/>
            </w:tcBorders>
            <w:noWrap/>
            <w:vAlign w:val="center"/>
            <w:hideMark/>
          </w:tcPr>
          <w:p w14:paraId="6C9B7B11" w14:textId="77777777" w:rsidR="0070585C" w:rsidRPr="00F64661" w:rsidRDefault="0070585C" w:rsidP="00936F9F">
            <w:pPr>
              <w:jc w:val="right"/>
              <w:rPr>
                <w:sz w:val="22"/>
              </w:rPr>
            </w:pPr>
            <w:r w:rsidRPr="00F64661">
              <w:rPr>
                <w:sz w:val="22"/>
              </w:rPr>
              <w:t>300 024 640</w:t>
            </w:r>
          </w:p>
        </w:tc>
        <w:tc>
          <w:tcPr>
            <w:tcW w:w="1701" w:type="dxa"/>
            <w:tcBorders>
              <w:top w:val="single" w:sz="4" w:space="0" w:color="auto"/>
              <w:left w:val="nil"/>
              <w:bottom w:val="single" w:sz="4" w:space="0" w:color="auto"/>
              <w:right w:val="single" w:sz="8" w:space="0" w:color="auto"/>
            </w:tcBorders>
            <w:noWrap/>
            <w:vAlign w:val="center"/>
            <w:hideMark/>
          </w:tcPr>
          <w:p w14:paraId="23CD201B" w14:textId="77777777" w:rsidR="0070585C" w:rsidRPr="00F64661" w:rsidRDefault="0070585C" w:rsidP="00936F9F">
            <w:pPr>
              <w:jc w:val="right"/>
              <w:rPr>
                <w:sz w:val="22"/>
              </w:rPr>
            </w:pPr>
            <w:r w:rsidRPr="00F64661">
              <w:rPr>
                <w:sz w:val="22"/>
              </w:rPr>
              <w:t>300 024 640</w:t>
            </w:r>
          </w:p>
        </w:tc>
        <w:tc>
          <w:tcPr>
            <w:tcW w:w="993" w:type="dxa"/>
            <w:tcBorders>
              <w:top w:val="single" w:sz="4" w:space="0" w:color="auto"/>
              <w:left w:val="nil"/>
              <w:bottom w:val="single" w:sz="4" w:space="0" w:color="auto"/>
              <w:right w:val="single" w:sz="8" w:space="0" w:color="auto"/>
            </w:tcBorders>
            <w:noWrap/>
            <w:vAlign w:val="center"/>
          </w:tcPr>
          <w:p w14:paraId="0F557910"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5D1218B4" w14:textId="77777777" w:rsidR="0070585C" w:rsidRPr="00F64661" w:rsidRDefault="0070585C" w:rsidP="00936F9F">
            <w:pPr>
              <w:jc w:val="right"/>
              <w:rPr>
                <w:sz w:val="22"/>
              </w:rPr>
            </w:pPr>
            <w:r w:rsidRPr="00F64661">
              <w:rPr>
                <w:sz w:val="22"/>
              </w:rPr>
              <w:t>737,00</w:t>
            </w:r>
          </w:p>
        </w:tc>
      </w:tr>
      <w:tr w:rsidR="0070585C" w:rsidRPr="008B42CF" w14:paraId="4F5713C9"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38FFE5C7" w14:textId="77777777" w:rsidR="0070585C" w:rsidRPr="004D319D" w:rsidRDefault="0070585C" w:rsidP="00936F9F">
            <w:pPr>
              <w:rPr>
                <w:bCs/>
                <w:sz w:val="22"/>
                <w:szCs w:val="24"/>
              </w:rPr>
            </w:pPr>
            <w:r w:rsidRPr="004D319D">
              <w:rPr>
                <w:bCs/>
                <w:sz w:val="22"/>
                <w:szCs w:val="24"/>
              </w:rPr>
              <w:t xml:space="preserve">Pardubický </w:t>
            </w:r>
          </w:p>
        </w:tc>
        <w:tc>
          <w:tcPr>
            <w:tcW w:w="1701" w:type="dxa"/>
            <w:tcBorders>
              <w:top w:val="single" w:sz="4" w:space="0" w:color="auto"/>
              <w:left w:val="nil"/>
              <w:bottom w:val="single" w:sz="4" w:space="0" w:color="auto"/>
              <w:right w:val="single" w:sz="8" w:space="0" w:color="auto"/>
            </w:tcBorders>
            <w:noWrap/>
            <w:vAlign w:val="center"/>
            <w:hideMark/>
          </w:tcPr>
          <w:p w14:paraId="4C1EDF3B" w14:textId="77777777" w:rsidR="0070585C" w:rsidRPr="00F64661" w:rsidRDefault="0070585C" w:rsidP="00936F9F">
            <w:pPr>
              <w:jc w:val="right"/>
              <w:rPr>
                <w:sz w:val="22"/>
              </w:rPr>
            </w:pPr>
            <w:r w:rsidRPr="00F64661">
              <w:rPr>
                <w:sz w:val="22"/>
              </w:rPr>
              <w:t>303 620 002</w:t>
            </w:r>
          </w:p>
        </w:tc>
        <w:tc>
          <w:tcPr>
            <w:tcW w:w="1701" w:type="dxa"/>
            <w:tcBorders>
              <w:top w:val="single" w:sz="4" w:space="0" w:color="auto"/>
              <w:left w:val="nil"/>
              <w:bottom w:val="single" w:sz="4" w:space="0" w:color="auto"/>
              <w:right w:val="single" w:sz="8" w:space="0" w:color="auto"/>
            </w:tcBorders>
            <w:noWrap/>
            <w:vAlign w:val="center"/>
            <w:hideMark/>
          </w:tcPr>
          <w:p w14:paraId="5766AF67" w14:textId="77777777" w:rsidR="0070585C" w:rsidRPr="00F64661" w:rsidRDefault="0070585C" w:rsidP="00936F9F">
            <w:pPr>
              <w:jc w:val="right"/>
              <w:rPr>
                <w:sz w:val="22"/>
              </w:rPr>
            </w:pPr>
            <w:r w:rsidRPr="00F64661">
              <w:rPr>
                <w:sz w:val="22"/>
              </w:rPr>
              <w:t>303 620 002</w:t>
            </w:r>
          </w:p>
        </w:tc>
        <w:tc>
          <w:tcPr>
            <w:tcW w:w="993" w:type="dxa"/>
            <w:tcBorders>
              <w:top w:val="single" w:sz="4" w:space="0" w:color="auto"/>
              <w:left w:val="nil"/>
              <w:bottom w:val="single" w:sz="4" w:space="0" w:color="auto"/>
              <w:right w:val="single" w:sz="8" w:space="0" w:color="auto"/>
            </w:tcBorders>
            <w:noWrap/>
            <w:vAlign w:val="center"/>
          </w:tcPr>
          <w:p w14:paraId="1963DB83"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26E8E2F2" w14:textId="77777777" w:rsidR="0070585C" w:rsidRPr="00F64661" w:rsidRDefault="0070585C" w:rsidP="00936F9F">
            <w:pPr>
              <w:jc w:val="right"/>
              <w:rPr>
                <w:sz w:val="22"/>
              </w:rPr>
            </w:pPr>
            <w:r w:rsidRPr="00F64661">
              <w:rPr>
                <w:sz w:val="22"/>
              </w:rPr>
              <w:t>745,28</w:t>
            </w:r>
          </w:p>
        </w:tc>
      </w:tr>
      <w:tr w:rsidR="0070585C" w:rsidRPr="008B42CF" w14:paraId="4500FFF4"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5A9EF6DC" w14:textId="77777777" w:rsidR="0070585C" w:rsidRPr="004D319D" w:rsidRDefault="0070585C" w:rsidP="00936F9F">
            <w:pPr>
              <w:rPr>
                <w:bCs/>
                <w:sz w:val="22"/>
                <w:szCs w:val="24"/>
              </w:rPr>
            </w:pPr>
            <w:r w:rsidRPr="004D319D">
              <w:rPr>
                <w:bCs/>
                <w:sz w:val="22"/>
                <w:szCs w:val="24"/>
              </w:rPr>
              <w:t>Vysočina</w:t>
            </w:r>
          </w:p>
        </w:tc>
        <w:tc>
          <w:tcPr>
            <w:tcW w:w="1701" w:type="dxa"/>
            <w:tcBorders>
              <w:top w:val="single" w:sz="4" w:space="0" w:color="auto"/>
              <w:left w:val="nil"/>
              <w:bottom w:val="single" w:sz="4" w:space="0" w:color="auto"/>
              <w:right w:val="single" w:sz="8" w:space="0" w:color="auto"/>
            </w:tcBorders>
            <w:noWrap/>
            <w:vAlign w:val="center"/>
            <w:hideMark/>
          </w:tcPr>
          <w:p w14:paraId="1F7144E5" w14:textId="77777777" w:rsidR="0070585C" w:rsidRPr="00F64661" w:rsidRDefault="0070585C" w:rsidP="00936F9F">
            <w:pPr>
              <w:jc w:val="right"/>
              <w:rPr>
                <w:sz w:val="22"/>
              </w:rPr>
            </w:pPr>
            <w:r w:rsidRPr="00F64661">
              <w:rPr>
                <w:sz w:val="22"/>
              </w:rPr>
              <w:t>266 901 971</w:t>
            </w:r>
          </w:p>
        </w:tc>
        <w:tc>
          <w:tcPr>
            <w:tcW w:w="1701" w:type="dxa"/>
            <w:tcBorders>
              <w:top w:val="single" w:sz="4" w:space="0" w:color="auto"/>
              <w:left w:val="nil"/>
              <w:bottom w:val="single" w:sz="4" w:space="0" w:color="auto"/>
              <w:right w:val="single" w:sz="8" w:space="0" w:color="auto"/>
            </w:tcBorders>
            <w:noWrap/>
            <w:vAlign w:val="center"/>
            <w:hideMark/>
          </w:tcPr>
          <w:p w14:paraId="576CB90A" w14:textId="77777777" w:rsidR="0070585C" w:rsidRPr="00F64661" w:rsidRDefault="0070585C" w:rsidP="00936F9F">
            <w:pPr>
              <w:jc w:val="right"/>
              <w:rPr>
                <w:sz w:val="22"/>
              </w:rPr>
            </w:pPr>
            <w:r w:rsidRPr="00F64661">
              <w:rPr>
                <w:sz w:val="22"/>
              </w:rPr>
              <w:t>266 901 971</w:t>
            </w:r>
          </w:p>
        </w:tc>
        <w:tc>
          <w:tcPr>
            <w:tcW w:w="993" w:type="dxa"/>
            <w:tcBorders>
              <w:top w:val="single" w:sz="4" w:space="0" w:color="auto"/>
              <w:left w:val="nil"/>
              <w:bottom w:val="single" w:sz="4" w:space="0" w:color="auto"/>
              <w:right w:val="single" w:sz="8" w:space="0" w:color="auto"/>
            </w:tcBorders>
            <w:noWrap/>
            <w:vAlign w:val="center"/>
          </w:tcPr>
          <w:p w14:paraId="0103A927"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047CDB98" w14:textId="77777777" w:rsidR="0070585C" w:rsidRPr="00F64661" w:rsidRDefault="0070585C" w:rsidP="00936F9F">
            <w:pPr>
              <w:jc w:val="right"/>
              <w:rPr>
                <w:sz w:val="22"/>
              </w:rPr>
            </w:pPr>
            <w:r w:rsidRPr="00F64661">
              <w:rPr>
                <w:sz w:val="22"/>
              </w:rPr>
              <w:t>651,67</w:t>
            </w:r>
          </w:p>
        </w:tc>
      </w:tr>
      <w:tr w:rsidR="0070585C" w:rsidRPr="008B42CF" w14:paraId="289B03CF"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52681FA5" w14:textId="77777777" w:rsidR="0070585C" w:rsidRPr="004D319D" w:rsidRDefault="0070585C" w:rsidP="00936F9F">
            <w:pPr>
              <w:rPr>
                <w:bCs/>
                <w:sz w:val="22"/>
                <w:szCs w:val="24"/>
              </w:rPr>
            </w:pPr>
            <w:r w:rsidRPr="004D319D">
              <w:rPr>
                <w:bCs/>
                <w:sz w:val="22"/>
                <w:szCs w:val="24"/>
              </w:rPr>
              <w:t>Jihomoravský</w:t>
            </w:r>
          </w:p>
        </w:tc>
        <w:tc>
          <w:tcPr>
            <w:tcW w:w="1701" w:type="dxa"/>
            <w:tcBorders>
              <w:top w:val="single" w:sz="4" w:space="0" w:color="auto"/>
              <w:left w:val="nil"/>
              <w:bottom w:val="single" w:sz="4" w:space="0" w:color="auto"/>
              <w:right w:val="single" w:sz="8" w:space="0" w:color="auto"/>
            </w:tcBorders>
            <w:noWrap/>
            <w:vAlign w:val="center"/>
            <w:hideMark/>
          </w:tcPr>
          <w:p w14:paraId="7F92DC06" w14:textId="77777777" w:rsidR="0070585C" w:rsidRPr="00F64661" w:rsidRDefault="0070585C" w:rsidP="00936F9F">
            <w:pPr>
              <w:jc w:val="right"/>
              <w:rPr>
                <w:sz w:val="22"/>
              </w:rPr>
            </w:pPr>
            <w:r w:rsidRPr="00F64661">
              <w:rPr>
                <w:sz w:val="22"/>
              </w:rPr>
              <w:t>554 207 468</w:t>
            </w:r>
          </w:p>
        </w:tc>
        <w:tc>
          <w:tcPr>
            <w:tcW w:w="1701" w:type="dxa"/>
            <w:tcBorders>
              <w:top w:val="single" w:sz="4" w:space="0" w:color="auto"/>
              <w:left w:val="nil"/>
              <w:bottom w:val="single" w:sz="4" w:space="0" w:color="auto"/>
              <w:right w:val="single" w:sz="8" w:space="0" w:color="auto"/>
            </w:tcBorders>
            <w:noWrap/>
            <w:vAlign w:val="center"/>
            <w:hideMark/>
          </w:tcPr>
          <w:p w14:paraId="400FBF47" w14:textId="77777777" w:rsidR="0070585C" w:rsidRPr="00F64661" w:rsidRDefault="0070585C" w:rsidP="00936F9F">
            <w:pPr>
              <w:jc w:val="right"/>
              <w:rPr>
                <w:sz w:val="22"/>
              </w:rPr>
            </w:pPr>
            <w:r w:rsidRPr="00F64661">
              <w:rPr>
                <w:sz w:val="22"/>
              </w:rPr>
              <w:t>554 207 468</w:t>
            </w:r>
          </w:p>
        </w:tc>
        <w:tc>
          <w:tcPr>
            <w:tcW w:w="993" w:type="dxa"/>
            <w:tcBorders>
              <w:top w:val="single" w:sz="4" w:space="0" w:color="auto"/>
              <w:left w:val="nil"/>
              <w:bottom w:val="single" w:sz="4" w:space="0" w:color="auto"/>
              <w:right w:val="single" w:sz="8" w:space="0" w:color="auto"/>
            </w:tcBorders>
            <w:noWrap/>
            <w:vAlign w:val="center"/>
          </w:tcPr>
          <w:p w14:paraId="3729CC41"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598D9BB3" w14:textId="77777777" w:rsidR="0070585C" w:rsidRPr="00F64661" w:rsidRDefault="0070585C" w:rsidP="00936F9F">
            <w:pPr>
              <w:jc w:val="right"/>
              <w:rPr>
                <w:sz w:val="22"/>
              </w:rPr>
            </w:pPr>
            <w:r w:rsidRPr="00F64661">
              <w:rPr>
                <w:sz w:val="22"/>
              </w:rPr>
              <w:t>1 357,97</w:t>
            </w:r>
          </w:p>
        </w:tc>
      </w:tr>
      <w:tr w:rsidR="0070585C" w:rsidRPr="008B42CF" w14:paraId="4887914C"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5DEDF79C" w14:textId="77777777" w:rsidR="0070585C" w:rsidRPr="004D319D" w:rsidRDefault="0070585C" w:rsidP="00936F9F">
            <w:pPr>
              <w:rPr>
                <w:bCs/>
                <w:sz w:val="22"/>
                <w:szCs w:val="24"/>
              </w:rPr>
            </w:pPr>
            <w:r w:rsidRPr="004D319D">
              <w:rPr>
                <w:bCs/>
                <w:sz w:val="22"/>
                <w:szCs w:val="24"/>
              </w:rPr>
              <w:t>Olomoucký</w:t>
            </w:r>
          </w:p>
        </w:tc>
        <w:tc>
          <w:tcPr>
            <w:tcW w:w="1701" w:type="dxa"/>
            <w:tcBorders>
              <w:top w:val="single" w:sz="4" w:space="0" w:color="auto"/>
              <w:left w:val="nil"/>
              <w:bottom w:val="single" w:sz="4" w:space="0" w:color="auto"/>
              <w:right w:val="single" w:sz="8" w:space="0" w:color="auto"/>
            </w:tcBorders>
            <w:noWrap/>
            <w:vAlign w:val="center"/>
            <w:hideMark/>
          </w:tcPr>
          <w:p w14:paraId="0D410C98" w14:textId="77777777" w:rsidR="0070585C" w:rsidRPr="00F64661" w:rsidRDefault="0070585C" w:rsidP="00936F9F">
            <w:pPr>
              <w:jc w:val="right"/>
              <w:rPr>
                <w:sz w:val="22"/>
              </w:rPr>
            </w:pPr>
            <w:r w:rsidRPr="00F64661">
              <w:rPr>
                <w:sz w:val="22"/>
              </w:rPr>
              <w:t>379 420 668</w:t>
            </w:r>
          </w:p>
        </w:tc>
        <w:tc>
          <w:tcPr>
            <w:tcW w:w="1701" w:type="dxa"/>
            <w:tcBorders>
              <w:top w:val="single" w:sz="4" w:space="0" w:color="auto"/>
              <w:left w:val="nil"/>
              <w:bottom w:val="single" w:sz="4" w:space="0" w:color="auto"/>
              <w:right w:val="single" w:sz="8" w:space="0" w:color="auto"/>
            </w:tcBorders>
            <w:noWrap/>
            <w:vAlign w:val="center"/>
            <w:hideMark/>
          </w:tcPr>
          <w:p w14:paraId="138CCC6F" w14:textId="77777777" w:rsidR="0070585C" w:rsidRPr="00F64661" w:rsidRDefault="0070585C" w:rsidP="00936F9F">
            <w:pPr>
              <w:jc w:val="right"/>
              <w:rPr>
                <w:sz w:val="22"/>
              </w:rPr>
            </w:pPr>
            <w:r w:rsidRPr="00F64661">
              <w:rPr>
                <w:sz w:val="22"/>
              </w:rPr>
              <w:t>379 420 668</w:t>
            </w:r>
          </w:p>
        </w:tc>
        <w:tc>
          <w:tcPr>
            <w:tcW w:w="993" w:type="dxa"/>
            <w:tcBorders>
              <w:top w:val="single" w:sz="4" w:space="0" w:color="auto"/>
              <w:left w:val="nil"/>
              <w:bottom w:val="single" w:sz="4" w:space="0" w:color="auto"/>
              <w:right w:val="single" w:sz="8" w:space="0" w:color="auto"/>
            </w:tcBorders>
            <w:noWrap/>
            <w:vAlign w:val="center"/>
          </w:tcPr>
          <w:p w14:paraId="1B8B6E0E"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4F09DD9C" w14:textId="77777777" w:rsidR="0070585C" w:rsidRPr="00F64661" w:rsidRDefault="0070585C" w:rsidP="00936F9F">
            <w:pPr>
              <w:jc w:val="right"/>
              <w:rPr>
                <w:sz w:val="22"/>
              </w:rPr>
            </w:pPr>
            <w:r w:rsidRPr="00F64661">
              <w:rPr>
                <w:sz w:val="22"/>
              </w:rPr>
              <w:t>929,47</w:t>
            </w:r>
          </w:p>
        </w:tc>
      </w:tr>
      <w:tr w:rsidR="0070585C" w:rsidRPr="008B42CF" w14:paraId="09E26C76" w14:textId="77777777" w:rsidTr="00936F9F">
        <w:trPr>
          <w:trHeight w:val="170"/>
        </w:trPr>
        <w:tc>
          <w:tcPr>
            <w:tcW w:w="2268"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14:paraId="13DDF278" w14:textId="77777777" w:rsidR="0070585C" w:rsidRPr="004D319D" w:rsidRDefault="0070585C" w:rsidP="00936F9F">
            <w:pPr>
              <w:rPr>
                <w:bCs/>
                <w:sz w:val="22"/>
                <w:szCs w:val="24"/>
              </w:rPr>
            </w:pPr>
            <w:r w:rsidRPr="004D319D">
              <w:rPr>
                <w:bCs/>
                <w:sz w:val="22"/>
                <w:szCs w:val="24"/>
              </w:rPr>
              <w:t xml:space="preserve">Zlínský </w:t>
            </w:r>
          </w:p>
        </w:tc>
        <w:tc>
          <w:tcPr>
            <w:tcW w:w="1701" w:type="dxa"/>
            <w:tcBorders>
              <w:top w:val="single" w:sz="4" w:space="0" w:color="auto"/>
              <w:left w:val="nil"/>
              <w:bottom w:val="single" w:sz="4" w:space="0" w:color="auto"/>
              <w:right w:val="single" w:sz="8" w:space="0" w:color="auto"/>
            </w:tcBorders>
            <w:noWrap/>
            <w:vAlign w:val="center"/>
            <w:hideMark/>
          </w:tcPr>
          <w:p w14:paraId="44ABA19D" w14:textId="77777777" w:rsidR="0070585C" w:rsidRPr="00F64661" w:rsidRDefault="0070585C" w:rsidP="00936F9F">
            <w:pPr>
              <w:jc w:val="right"/>
              <w:rPr>
                <w:sz w:val="22"/>
              </w:rPr>
            </w:pPr>
            <w:r w:rsidRPr="00F64661">
              <w:rPr>
                <w:sz w:val="22"/>
              </w:rPr>
              <w:t>275 584 673</w:t>
            </w:r>
          </w:p>
        </w:tc>
        <w:tc>
          <w:tcPr>
            <w:tcW w:w="1701" w:type="dxa"/>
            <w:tcBorders>
              <w:top w:val="single" w:sz="4" w:space="0" w:color="auto"/>
              <w:left w:val="nil"/>
              <w:bottom w:val="single" w:sz="4" w:space="0" w:color="auto"/>
              <w:right w:val="single" w:sz="8" w:space="0" w:color="auto"/>
            </w:tcBorders>
            <w:noWrap/>
            <w:vAlign w:val="center"/>
            <w:hideMark/>
          </w:tcPr>
          <w:p w14:paraId="0763CA79" w14:textId="77777777" w:rsidR="0070585C" w:rsidRPr="00F64661" w:rsidRDefault="0070585C" w:rsidP="00936F9F">
            <w:pPr>
              <w:jc w:val="right"/>
              <w:rPr>
                <w:sz w:val="22"/>
              </w:rPr>
            </w:pPr>
            <w:r w:rsidRPr="00F64661">
              <w:rPr>
                <w:sz w:val="22"/>
              </w:rPr>
              <w:t>275 584 673</w:t>
            </w:r>
          </w:p>
        </w:tc>
        <w:tc>
          <w:tcPr>
            <w:tcW w:w="993" w:type="dxa"/>
            <w:tcBorders>
              <w:top w:val="single" w:sz="4" w:space="0" w:color="auto"/>
              <w:left w:val="nil"/>
              <w:bottom w:val="single" w:sz="4" w:space="0" w:color="auto"/>
              <w:right w:val="single" w:sz="8" w:space="0" w:color="auto"/>
            </w:tcBorders>
            <w:noWrap/>
            <w:vAlign w:val="center"/>
          </w:tcPr>
          <w:p w14:paraId="1A5B2D8B"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4" w:space="0" w:color="auto"/>
              <w:right w:val="single" w:sz="8" w:space="0" w:color="auto"/>
            </w:tcBorders>
            <w:noWrap/>
            <w:vAlign w:val="center"/>
            <w:hideMark/>
          </w:tcPr>
          <w:p w14:paraId="36EF0011" w14:textId="77777777" w:rsidR="0070585C" w:rsidRPr="00F64661" w:rsidRDefault="0070585C" w:rsidP="00936F9F">
            <w:pPr>
              <w:jc w:val="right"/>
              <w:rPr>
                <w:sz w:val="22"/>
              </w:rPr>
            </w:pPr>
            <w:r w:rsidRPr="00F64661">
              <w:rPr>
                <w:sz w:val="22"/>
              </w:rPr>
              <w:t>674,86</w:t>
            </w:r>
          </w:p>
        </w:tc>
      </w:tr>
      <w:tr w:rsidR="0070585C" w:rsidRPr="008B42CF" w14:paraId="7B6B9FB3" w14:textId="77777777" w:rsidTr="00936F9F">
        <w:trPr>
          <w:trHeight w:val="170"/>
        </w:trPr>
        <w:tc>
          <w:tcPr>
            <w:tcW w:w="2268"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E67AE01" w14:textId="77777777" w:rsidR="0070585C" w:rsidRPr="004D319D" w:rsidRDefault="0070585C" w:rsidP="00936F9F">
            <w:pPr>
              <w:rPr>
                <w:bCs/>
                <w:sz w:val="22"/>
                <w:szCs w:val="24"/>
              </w:rPr>
            </w:pPr>
            <w:r w:rsidRPr="004D319D">
              <w:rPr>
                <w:bCs/>
                <w:sz w:val="22"/>
                <w:szCs w:val="24"/>
              </w:rPr>
              <w:t>Moravskoslezský</w:t>
            </w:r>
          </w:p>
        </w:tc>
        <w:tc>
          <w:tcPr>
            <w:tcW w:w="1701" w:type="dxa"/>
            <w:tcBorders>
              <w:top w:val="single" w:sz="4" w:space="0" w:color="auto"/>
              <w:left w:val="nil"/>
              <w:bottom w:val="single" w:sz="8" w:space="0" w:color="auto"/>
              <w:right w:val="single" w:sz="8" w:space="0" w:color="auto"/>
            </w:tcBorders>
            <w:noWrap/>
            <w:vAlign w:val="center"/>
            <w:hideMark/>
          </w:tcPr>
          <w:p w14:paraId="7A8B2C9C" w14:textId="77777777" w:rsidR="0070585C" w:rsidRPr="00F64661" w:rsidRDefault="0070585C" w:rsidP="00936F9F">
            <w:pPr>
              <w:jc w:val="right"/>
              <w:rPr>
                <w:sz w:val="22"/>
              </w:rPr>
            </w:pPr>
            <w:r w:rsidRPr="00F64661">
              <w:rPr>
                <w:sz w:val="22"/>
              </w:rPr>
              <w:t>668 083 256</w:t>
            </w:r>
          </w:p>
        </w:tc>
        <w:tc>
          <w:tcPr>
            <w:tcW w:w="1701" w:type="dxa"/>
            <w:tcBorders>
              <w:top w:val="single" w:sz="4" w:space="0" w:color="auto"/>
              <w:left w:val="nil"/>
              <w:bottom w:val="single" w:sz="8" w:space="0" w:color="auto"/>
              <w:right w:val="single" w:sz="8" w:space="0" w:color="auto"/>
            </w:tcBorders>
            <w:noWrap/>
            <w:vAlign w:val="center"/>
            <w:hideMark/>
          </w:tcPr>
          <w:p w14:paraId="483B4B1E" w14:textId="77777777" w:rsidR="0070585C" w:rsidRPr="00F64661" w:rsidRDefault="0070585C" w:rsidP="00936F9F">
            <w:pPr>
              <w:jc w:val="right"/>
              <w:rPr>
                <w:sz w:val="22"/>
              </w:rPr>
            </w:pPr>
            <w:r w:rsidRPr="00F64661">
              <w:rPr>
                <w:sz w:val="22"/>
              </w:rPr>
              <w:t>668 083 256</w:t>
            </w:r>
          </w:p>
        </w:tc>
        <w:tc>
          <w:tcPr>
            <w:tcW w:w="993" w:type="dxa"/>
            <w:tcBorders>
              <w:top w:val="single" w:sz="4" w:space="0" w:color="auto"/>
              <w:left w:val="nil"/>
              <w:bottom w:val="single" w:sz="8" w:space="0" w:color="auto"/>
              <w:right w:val="single" w:sz="8" w:space="0" w:color="auto"/>
            </w:tcBorders>
            <w:noWrap/>
            <w:vAlign w:val="center"/>
          </w:tcPr>
          <w:p w14:paraId="25BD8DD9"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4" w:space="0" w:color="auto"/>
              <w:left w:val="nil"/>
              <w:bottom w:val="single" w:sz="8" w:space="0" w:color="auto"/>
              <w:right w:val="single" w:sz="8" w:space="0" w:color="auto"/>
            </w:tcBorders>
            <w:noWrap/>
            <w:vAlign w:val="center"/>
            <w:hideMark/>
          </w:tcPr>
          <w:p w14:paraId="73F79066" w14:textId="77777777" w:rsidR="0070585C" w:rsidRPr="00F64661" w:rsidRDefault="0070585C" w:rsidP="00936F9F">
            <w:pPr>
              <w:jc w:val="right"/>
              <w:rPr>
                <w:sz w:val="22"/>
              </w:rPr>
            </w:pPr>
            <w:r w:rsidRPr="00F64661">
              <w:rPr>
                <w:sz w:val="22"/>
              </w:rPr>
              <w:t>1 640,56</w:t>
            </w:r>
          </w:p>
        </w:tc>
      </w:tr>
      <w:tr w:rsidR="0070585C" w:rsidRPr="008B42CF" w14:paraId="08709775" w14:textId="77777777" w:rsidTr="00936F9F">
        <w:trPr>
          <w:trHeight w:val="170"/>
        </w:trPr>
        <w:tc>
          <w:tcPr>
            <w:tcW w:w="2268" w:type="dxa"/>
            <w:tcBorders>
              <w:top w:val="single" w:sz="8" w:space="0" w:color="auto"/>
              <w:left w:val="single" w:sz="8" w:space="0" w:color="auto"/>
              <w:bottom w:val="single" w:sz="8" w:space="0" w:color="auto"/>
              <w:right w:val="nil"/>
            </w:tcBorders>
            <w:noWrap/>
            <w:vAlign w:val="center"/>
            <w:hideMark/>
          </w:tcPr>
          <w:p w14:paraId="6ADA7F99" w14:textId="77777777" w:rsidR="0070585C" w:rsidRPr="008B42CF" w:rsidRDefault="0070585C" w:rsidP="00936F9F">
            <w:pPr>
              <w:rPr>
                <w:bCs/>
                <w:sz w:val="22"/>
                <w:szCs w:val="24"/>
                <w:highlight w:val="yellow"/>
              </w:rPr>
            </w:pPr>
            <w:r w:rsidRPr="004D319D">
              <w:rPr>
                <w:bCs/>
                <w:sz w:val="22"/>
                <w:szCs w:val="24"/>
              </w:rPr>
              <w:t>RgŠ celkem:</w:t>
            </w:r>
          </w:p>
        </w:tc>
        <w:tc>
          <w:tcPr>
            <w:tcW w:w="1701" w:type="dxa"/>
            <w:tcBorders>
              <w:top w:val="single" w:sz="8" w:space="0" w:color="auto"/>
              <w:left w:val="single" w:sz="8" w:space="0" w:color="auto"/>
              <w:bottom w:val="single" w:sz="8" w:space="0" w:color="auto"/>
              <w:right w:val="single" w:sz="8" w:space="0" w:color="auto"/>
            </w:tcBorders>
            <w:noWrap/>
            <w:vAlign w:val="center"/>
            <w:hideMark/>
          </w:tcPr>
          <w:p w14:paraId="5B5E0E3C" w14:textId="77777777" w:rsidR="0070585C" w:rsidRPr="00F64661" w:rsidRDefault="0070585C" w:rsidP="00936F9F">
            <w:pPr>
              <w:jc w:val="right"/>
              <w:rPr>
                <w:sz w:val="22"/>
              </w:rPr>
            </w:pPr>
            <w:r w:rsidRPr="00F64661">
              <w:rPr>
                <w:sz w:val="22"/>
              </w:rPr>
              <w:t>5 675 330 601</w:t>
            </w:r>
          </w:p>
        </w:tc>
        <w:tc>
          <w:tcPr>
            <w:tcW w:w="1701" w:type="dxa"/>
            <w:tcBorders>
              <w:top w:val="single" w:sz="8" w:space="0" w:color="auto"/>
              <w:left w:val="nil"/>
              <w:bottom w:val="single" w:sz="8" w:space="0" w:color="auto"/>
              <w:right w:val="single" w:sz="8" w:space="0" w:color="auto"/>
            </w:tcBorders>
            <w:noWrap/>
            <w:vAlign w:val="center"/>
            <w:hideMark/>
          </w:tcPr>
          <w:p w14:paraId="4255052A" w14:textId="77777777" w:rsidR="0070585C" w:rsidRPr="00F64661" w:rsidRDefault="0070585C" w:rsidP="00936F9F">
            <w:pPr>
              <w:jc w:val="right"/>
              <w:rPr>
                <w:sz w:val="22"/>
              </w:rPr>
            </w:pPr>
            <w:r w:rsidRPr="00F64661">
              <w:rPr>
                <w:sz w:val="22"/>
              </w:rPr>
              <w:t>5 675 330 601</w:t>
            </w:r>
          </w:p>
        </w:tc>
        <w:tc>
          <w:tcPr>
            <w:tcW w:w="993" w:type="dxa"/>
            <w:tcBorders>
              <w:top w:val="single" w:sz="8" w:space="0" w:color="auto"/>
              <w:left w:val="nil"/>
              <w:bottom w:val="single" w:sz="8" w:space="0" w:color="auto"/>
              <w:right w:val="single" w:sz="8" w:space="0" w:color="auto"/>
            </w:tcBorders>
            <w:noWrap/>
            <w:vAlign w:val="center"/>
          </w:tcPr>
          <w:p w14:paraId="52B3EF47" w14:textId="77777777" w:rsidR="0070585C" w:rsidRPr="00F64661" w:rsidRDefault="0070585C" w:rsidP="00936F9F">
            <w:pPr>
              <w:jc w:val="right"/>
              <w:rPr>
                <w:bCs/>
                <w:color w:val="000000"/>
                <w:sz w:val="22"/>
                <w:szCs w:val="22"/>
              </w:rPr>
            </w:pPr>
            <w:r w:rsidRPr="00F64661">
              <w:rPr>
                <w:bCs/>
                <w:color w:val="000000"/>
                <w:sz w:val="22"/>
                <w:szCs w:val="22"/>
              </w:rPr>
              <w:t>0</w:t>
            </w:r>
          </w:p>
        </w:tc>
        <w:tc>
          <w:tcPr>
            <w:tcW w:w="1417" w:type="dxa"/>
            <w:tcBorders>
              <w:top w:val="single" w:sz="8" w:space="0" w:color="auto"/>
              <w:left w:val="nil"/>
              <w:bottom w:val="single" w:sz="8" w:space="0" w:color="auto"/>
              <w:right w:val="single" w:sz="8" w:space="0" w:color="auto"/>
            </w:tcBorders>
            <w:noWrap/>
            <w:vAlign w:val="center"/>
            <w:hideMark/>
          </w:tcPr>
          <w:p w14:paraId="5BEF5A85" w14:textId="77777777" w:rsidR="0070585C" w:rsidRPr="00F64661" w:rsidRDefault="0070585C" w:rsidP="00936F9F">
            <w:pPr>
              <w:jc w:val="right"/>
              <w:rPr>
                <w:sz w:val="22"/>
              </w:rPr>
            </w:pPr>
            <w:r w:rsidRPr="00F64661">
              <w:rPr>
                <w:sz w:val="22"/>
              </w:rPr>
              <w:t>13 933,41</w:t>
            </w:r>
          </w:p>
        </w:tc>
      </w:tr>
    </w:tbl>
    <w:p w14:paraId="39DB57ED" w14:textId="77777777" w:rsidR="00E65EE1" w:rsidRDefault="00E65EE1" w:rsidP="0043025F">
      <w:pPr>
        <w:pStyle w:val="Text"/>
        <w:rPr>
          <w:color w:val="000000"/>
          <w:highlight w:val="yellow"/>
          <w:u w:val="single"/>
        </w:rPr>
      </w:pPr>
    </w:p>
    <w:p w14:paraId="40B81DF0" w14:textId="77777777" w:rsidR="003D012B" w:rsidRDefault="003D012B" w:rsidP="0043025F">
      <w:pPr>
        <w:pStyle w:val="Text"/>
        <w:rPr>
          <w:color w:val="000000"/>
          <w:highlight w:val="yellow"/>
          <w:u w:val="single"/>
        </w:rPr>
      </w:pPr>
    </w:p>
    <w:p w14:paraId="59B7B987" w14:textId="79147F5B" w:rsidR="0070585C" w:rsidRPr="003F61AA" w:rsidRDefault="0070585C" w:rsidP="003F61AA">
      <w:pPr>
        <w:rPr>
          <w:b/>
        </w:rPr>
      </w:pPr>
      <w:r w:rsidRPr="003F61AA">
        <w:rPr>
          <w:b/>
        </w:rPr>
        <w:lastRenderedPageBreak/>
        <w:t xml:space="preserve">Finanční prostředky na podpůrná opatření ve školách a třídách zřízených podle </w:t>
      </w:r>
      <w:r w:rsidR="006A7540" w:rsidRPr="003F61AA">
        <w:rPr>
          <w:b/>
        </w:rPr>
        <w:br/>
      </w:r>
      <w:r w:rsidRPr="003F61AA">
        <w:rPr>
          <w:b/>
        </w:rPr>
        <w:t>§ 16 odst. 9 školského zákona po jednotlivých krajích:</w:t>
      </w:r>
    </w:p>
    <w:tbl>
      <w:tblPr>
        <w:tblW w:w="8080" w:type="dxa"/>
        <w:tblInd w:w="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8"/>
        <w:gridCol w:w="1701"/>
        <w:gridCol w:w="1701"/>
        <w:gridCol w:w="1134"/>
        <w:gridCol w:w="1276"/>
      </w:tblGrid>
      <w:tr w:rsidR="0070585C" w:rsidRPr="008B42CF" w14:paraId="07B68F8A" w14:textId="77777777" w:rsidTr="00936F9F">
        <w:trPr>
          <w:trHeight w:val="437"/>
        </w:trPr>
        <w:tc>
          <w:tcPr>
            <w:tcW w:w="2268" w:type="dxa"/>
            <w:tcBorders>
              <w:top w:val="single" w:sz="8" w:space="0" w:color="auto"/>
              <w:bottom w:val="single" w:sz="8" w:space="0" w:color="auto"/>
              <w:right w:val="single" w:sz="8" w:space="0" w:color="auto"/>
            </w:tcBorders>
            <w:noWrap/>
            <w:vAlign w:val="center"/>
            <w:hideMark/>
          </w:tcPr>
          <w:p w14:paraId="78555DA9" w14:textId="77777777" w:rsidR="0070585C" w:rsidRPr="00F23607" w:rsidRDefault="0070585C" w:rsidP="00936F9F">
            <w:pPr>
              <w:rPr>
                <w:bCs/>
                <w:sz w:val="22"/>
                <w:szCs w:val="22"/>
              </w:rPr>
            </w:pPr>
            <w:r w:rsidRPr="00F23607">
              <w:rPr>
                <w:bCs/>
                <w:sz w:val="22"/>
                <w:szCs w:val="22"/>
              </w:rPr>
              <w:t>Kraj</w:t>
            </w:r>
          </w:p>
        </w:tc>
        <w:tc>
          <w:tcPr>
            <w:tcW w:w="1701" w:type="dxa"/>
            <w:tcBorders>
              <w:top w:val="single" w:sz="8" w:space="0" w:color="auto"/>
              <w:left w:val="single" w:sz="8" w:space="0" w:color="auto"/>
              <w:bottom w:val="single" w:sz="8" w:space="0" w:color="auto"/>
              <w:right w:val="single" w:sz="8" w:space="0" w:color="auto"/>
            </w:tcBorders>
            <w:noWrap/>
            <w:vAlign w:val="center"/>
            <w:hideMark/>
          </w:tcPr>
          <w:p w14:paraId="7DF712A1" w14:textId="77777777" w:rsidR="0070585C" w:rsidRPr="00F23607" w:rsidRDefault="0070585C" w:rsidP="00936F9F">
            <w:pPr>
              <w:jc w:val="center"/>
              <w:rPr>
                <w:bCs/>
                <w:sz w:val="22"/>
                <w:szCs w:val="22"/>
              </w:rPr>
            </w:pPr>
            <w:r w:rsidRPr="00F23607">
              <w:rPr>
                <w:bCs/>
                <w:sz w:val="22"/>
                <w:szCs w:val="22"/>
              </w:rPr>
              <w:t>NIV celkem</w:t>
            </w:r>
          </w:p>
          <w:p w14:paraId="0A929C9C" w14:textId="77777777" w:rsidR="0070585C" w:rsidRPr="00F23607" w:rsidRDefault="0070585C" w:rsidP="00936F9F">
            <w:pPr>
              <w:jc w:val="center"/>
              <w:rPr>
                <w:bCs/>
                <w:sz w:val="22"/>
                <w:szCs w:val="22"/>
              </w:rPr>
            </w:pPr>
            <w:r w:rsidRPr="00F23607">
              <w:rPr>
                <w:bCs/>
                <w:sz w:val="22"/>
                <w:szCs w:val="22"/>
              </w:rPr>
              <w:t>v</w:t>
            </w:r>
            <w:r>
              <w:rPr>
                <w:bCs/>
                <w:sz w:val="22"/>
                <w:szCs w:val="22"/>
              </w:rPr>
              <w:t> </w:t>
            </w:r>
            <w:r w:rsidRPr="00F23607">
              <w:rPr>
                <w:bCs/>
                <w:sz w:val="22"/>
                <w:szCs w:val="22"/>
              </w:rPr>
              <w:t>Kč</w:t>
            </w:r>
          </w:p>
        </w:tc>
        <w:tc>
          <w:tcPr>
            <w:tcW w:w="1701" w:type="dxa"/>
            <w:tcBorders>
              <w:top w:val="single" w:sz="8" w:space="0" w:color="auto"/>
              <w:left w:val="single" w:sz="8" w:space="0" w:color="auto"/>
              <w:bottom w:val="single" w:sz="8" w:space="0" w:color="auto"/>
              <w:right w:val="single" w:sz="8" w:space="0" w:color="auto"/>
            </w:tcBorders>
            <w:noWrap/>
            <w:vAlign w:val="center"/>
            <w:hideMark/>
          </w:tcPr>
          <w:p w14:paraId="358EB25D" w14:textId="77777777" w:rsidR="0070585C" w:rsidRPr="00F23607" w:rsidRDefault="0070585C" w:rsidP="00936F9F">
            <w:pPr>
              <w:jc w:val="center"/>
              <w:rPr>
                <w:bCs/>
                <w:sz w:val="22"/>
                <w:szCs w:val="22"/>
              </w:rPr>
            </w:pPr>
            <w:r w:rsidRPr="00F23607">
              <w:rPr>
                <w:bCs/>
                <w:sz w:val="22"/>
                <w:szCs w:val="22"/>
              </w:rPr>
              <w:t>MP vč. odvodů</w:t>
            </w:r>
          </w:p>
          <w:p w14:paraId="3E5D5B46" w14:textId="77777777" w:rsidR="0070585C" w:rsidRPr="00F23607" w:rsidRDefault="0070585C" w:rsidP="00936F9F">
            <w:pPr>
              <w:jc w:val="center"/>
              <w:rPr>
                <w:bCs/>
                <w:sz w:val="22"/>
                <w:szCs w:val="22"/>
              </w:rPr>
            </w:pPr>
            <w:r w:rsidRPr="00F23607">
              <w:rPr>
                <w:bCs/>
                <w:sz w:val="22"/>
                <w:szCs w:val="22"/>
              </w:rPr>
              <w:t>v Kč</w:t>
            </w: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1E835CD5" w14:textId="77777777" w:rsidR="0070585C" w:rsidRPr="00F23607" w:rsidRDefault="0070585C" w:rsidP="00936F9F">
            <w:pPr>
              <w:jc w:val="center"/>
              <w:rPr>
                <w:bCs/>
                <w:sz w:val="22"/>
                <w:szCs w:val="22"/>
              </w:rPr>
            </w:pPr>
            <w:r w:rsidRPr="00F23607">
              <w:rPr>
                <w:bCs/>
                <w:sz w:val="22"/>
                <w:szCs w:val="22"/>
              </w:rPr>
              <w:t>ONIV</w:t>
            </w:r>
          </w:p>
          <w:p w14:paraId="308D0709" w14:textId="77777777" w:rsidR="0070585C" w:rsidRPr="00F23607" w:rsidRDefault="0070585C" w:rsidP="00936F9F">
            <w:pPr>
              <w:jc w:val="center"/>
              <w:rPr>
                <w:bCs/>
                <w:sz w:val="22"/>
                <w:szCs w:val="22"/>
              </w:rPr>
            </w:pPr>
            <w:r w:rsidRPr="00F23607">
              <w:rPr>
                <w:bCs/>
                <w:sz w:val="22"/>
                <w:szCs w:val="22"/>
              </w:rPr>
              <w:t>v Kč</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D53ABD4" w14:textId="77777777" w:rsidR="0070585C" w:rsidRPr="00F23607" w:rsidRDefault="0070585C" w:rsidP="00936F9F">
            <w:pPr>
              <w:jc w:val="center"/>
              <w:rPr>
                <w:bCs/>
                <w:sz w:val="22"/>
                <w:szCs w:val="22"/>
              </w:rPr>
            </w:pPr>
            <w:r w:rsidRPr="00F23607">
              <w:rPr>
                <w:bCs/>
                <w:sz w:val="22"/>
                <w:szCs w:val="22"/>
              </w:rPr>
              <w:t xml:space="preserve">Počet </w:t>
            </w:r>
          </w:p>
          <w:p w14:paraId="7DF3A965" w14:textId="77777777" w:rsidR="0070585C" w:rsidRPr="00F23607" w:rsidRDefault="0070585C" w:rsidP="00936F9F">
            <w:pPr>
              <w:jc w:val="center"/>
              <w:rPr>
                <w:bCs/>
                <w:sz w:val="22"/>
                <w:szCs w:val="22"/>
              </w:rPr>
            </w:pPr>
            <w:r w:rsidRPr="00F23607">
              <w:rPr>
                <w:bCs/>
                <w:sz w:val="22"/>
                <w:szCs w:val="22"/>
              </w:rPr>
              <w:t>zam.</w:t>
            </w:r>
          </w:p>
        </w:tc>
      </w:tr>
      <w:tr w:rsidR="0070585C" w:rsidRPr="008B42CF" w14:paraId="62252CB4" w14:textId="77777777" w:rsidTr="00936F9F">
        <w:trPr>
          <w:trHeight w:val="170"/>
        </w:trPr>
        <w:tc>
          <w:tcPr>
            <w:tcW w:w="2268" w:type="dxa"/>
            <w:tcBorders>
              <w:top w:val="single" w:sz="8" w:space="0" w:color="auto"/>
              <w:right w:val="single" w:sz="8" w:space="0" w:color="auto"/>
            </w:tcBorders>
            <w:shd w:val="clear" w:color="auto" w:fill="FFFFFF"/>
            <w:noWrap/>
            <w:vAlign w:val="center"/>
            <w:hideMark/>
          </w:tcPr>
          <w:p w14:paraId="01AD60C0" w14:textId="77777777" w:rsidR="0070585C" w:rsidRPr="00F23607" w:rsidRDefault="0070585C" w:rsidP="00936F9F">
            <w:pPr>
              <w:rPr>
                <w:bCs/>
                <w:sz w:val="22"/>
                <w:szCs w:val="22"/>
              </w:rPr>
            </w:pPr>
            <w:r w:rsidRPr="00F23607">
              <w:rPr>
                <w:bCs/>
                <w:sz w:val="22"/>
                <w:szCs w:val="22"/>
              </w:rPr>
              <w:t>Hl.</w:t>
            </w:r>
            <w:r>
              <w:rPr>
                <w:bCs/>
                <w:sz w:val="22"/>
                <w:szCs w:val="22"/>
              </w:rPr>
              <w:t xml:space="preserve"> </w:t>
            </w:r>
            <w:r w:rsidRPr="00F23607">
              <w:rPr>
                <w:bCs/>
                <w:sz w:val="22"/>
                <w:szCs w:val="22"/>
              </w:rPr>
              <w:t>m.</w:t>
            </w:r>
            <w:r>
              <w:rPr>
                <w:bCs/>
                <w:sz w:val="22"/>
                <w:szCs w:val="22"/>
              </w:rPr>
              <w:t xml:space="preserve"> </w:t>
            </w:r>
            <w:r w:rsidRPr="00F23607">
              <w:rPr>
                <w:bCs/>
                <w:sz w:val="22"/>
                <w:szCs w:val="22"/>
              </w:rPr>
              <w:t xml:space="preserve">Praha </w:t>
            </w:r>
          </w:p>
        </w:tc>
        <w:tc>
          <w:tcPr>
            <w:tcW w:w="1701" w:type="dxa"/>
            <w:tcBorders>
              <w:top w:val="single" w:sz="8" w:space="0" w:color="auto"/>
              <w:left w:val="single" w:sz="8" w:space="0" w:color="auto"/>
              <w:right w:val="single" w:sz="8" w:space="0" w:color="auto"/>
            </w:tcBorders>
            <w:noWrap/>
            <w:vAlign w:val="center"/>
            <w:hideMark/>
          </w:tcPr>
          <w:p w14:paraId="73656164" w14:textId="77777777" w:rsidR="0070585C" w:rsidRPr="00F23607" w:rsidRDefault="0070585C" w:rsidP="00936F9F">
            <w:pPr>
              <w:jc w:val="right"/>
              <w:rPr>
                <w:sz w:val="22"/>
              </w:rPr>
            </w:pPr>
            <w:r w:rsidRPr="00F23607">
              <w:rPr>
                <w:sz w:val="22"/>
              </w:rPr>
              <w:t>115 756 369</w:t>
            </w:r>
          </w:p>
        </w:tc>
        <w:tc>
          <w:tcPr>
            <w:tcW w:w="1701" w:type="dxa"/>
            <w:tcBorders>
              <w:top w:val="single" w:sz="8" w:space="0" w:color="auto"/>
              <w:left w:val="single" w:sz="8" w:space="0" w:color="auto"/>
              <w:right w:val="single" w:sz="8" w:space="0" w:color="auto"/>
            </w:tcBorders>
            <w:noWrap/>
            <w:vAlign w:val="center"/>
            <w:hideMark/>
          </w:tcPr>
          <w:p w14:paraId="135629A7" w14:textId="77777777" w:rsidR="0070585C" w:rsidRPr="00F23607" w:rsidRDefault="0070585C" w:rsidP="00936F9F">
            <w:pPr>
              <w:jc w:val="right"/>
              <w:rPr>
                <w:sz w:val="22"/>
                <w:szCs w:val="22"/>
              </w:rPr>
            </w:pPr>
            <w:r w:rsidRPr="00F23607">
              <w:rPr>
                <w:sz w:val="22"/>
                <w:szCs w:val="22"/>
              </w:rPr>
              <w:t>115 680 569</w:t>
            </w:r>
          </w:p>
        </w:tc>
        <w:tc>
          <w:tcPr>
            <w:tcW w:w="1134" w:type="dxa"/>
            <w:tcBorders>
              <w:top w:val="single" w:sz="8" w:space="0" w:color="auto"/>
              <w:left w:val="single" w:sz="8" w:space="0" w:color="auto"/>
              <w:right w:val="single" w:sz="8" w:space="0" w:color="auto"/>
            </w:tcBorders>
            <w:noWrap/>
            <w:vAlign w:val="center"/>
          </w:tcPr>
          <w:p w14:paraId="6B889A7F" w14:textId="77777777" w:rsidR="0070585C" w:rsidRPr="00F23607" w:rsidRDefault="0070585C" w:rsidP="00936F9F">
            <w:pPr>
              <w:jc w:val="right"/>
              <w:rPr>
                <w:sz w:val="22"/>
                <w:szCs w:val="22"/>
              </w:rPr>
            </w:pPr>
            <w:r w:rsidRPr="00F23607">
              <w:rPr>
                <w:sz w:val="22"/>
                <w:szCs w:val="22"/>
              </w:rPr>
              <w:t>75 800</w:t>
            </w:r>
          </w:p>
        </w:tc>
        <w:tc>
          <w:tcPr>
            <w:tcW w:w="1276" w:type="dxa"/>
            <w:tcBorders>
              <w:top w:val="single" w:sz="8" w:space="0" w:color="auto"/>
              <w:left w:val="single" w:sz="8" w:space="0" w:color="auto"/>
              <w:right w:val="single" w:sz="8" w:space="0" w:color="auto"/>
            </w:tcBorders>
            <w:noWrap/>
            <w:vAlign w:val="center"/>
            <w:hideMark/>
          </w:tcPr>
          <w:p w14:paraId="729BE821" w14:textId="77777777" w:rsidR="0070585C" w:rsidRPr="00F23607" w:rsidRDefault="0070585C" w:rsidP="00936F9F">
            <w:pPr>
              <w:jc w:val="right"/>
              <w:rPr>
                <w:sz w:val="22"/>
                <w:szCs w:val="22"/>
              </w:rPr>
            </w:pPr>
            <w:r w:rsidRPr="00F23607">
              <w:rPr>
                <w:sz w:val="22"/>
                <w:szCs w:val="22"/>
              </w:rPr>
              <w:t>283,37</w:t>
            </w:r>
          </w:p>
        </w:tc>
      </w:tr>
      <w:tr w:rsidR="0070585C" w:rsidRPr="008B42CF" w14:paraId="0601AE24" w14:textId="77777777" w:rsidTr="00936F9F">
        <w:trPr>
          <w:trHeight w:val="170"/>
        </w:trPr>
        <w:tc>
          <w:tcPr>
            <w:tcW w:w="2268" w:type="dxa"/>
            <w:tcBorders>
              <w:right w:val="single" w:sz="8" w:space="0" w:color="auto"/>
            </w:tcBorders>
            <w:shd w:val="clear" w:color="auto" w:fill="FFFFFF"/>
            <w:noWrap/>
            <w:vAlign w:val="center"/>
            <w:hideMark/>
          </w:tcPr>
          <w:p w14:paraId="4730D2D3" w14:textId="77777777" w:rsidR="0070585C" w:rsidRPr="00F23607" w:rsidRDefault="0070585C" w:rsidP="00936F9F">
            <w:pPr>
              <w:rPr>
                <w:bCs/>
                <w:sz w:val="22"/>
                <w:szCs w:val="22"/>
              </w:rPr>
            </w:pPr>
            <w:r w:rsidRPr="00F23607">
              <w:rPr>
                <w:bCs/>
                <w:sz w:val="22"/>
                <w:szCs w:val="22"/>
              </w:rPr>
              <w:t xml:space="preserve">Středočeský </w:t>
            </w:r>
          </w:p>
        </w:tc>
        <w:tc>
          <w:tcPr>
            <w:tcW w:w="1701" w:type="dxa"/>
            <w:tcBorders>
              <w:left w:val="single" w:sz="8" w:space="0" w:color="auto"/>
              <w:right w:val="single" w:sz="8" w:space="0" w:color="auto"/>
            </w:tcBorders>
            <w:noWrap/>
            <w:vAlign w:val="center"/>
            <w:hideMark/>
          </w:tcPr>
          <w:p w14:paraId="3714D5E6" w14:textId="77777777" w:rsidR="0070585C" w:rsidRPr="00F23607" w:rsidRDefault="0070585C" w:rsidP="00936F9F">
            <w:pPr>
              <w:jc w:val="right"/>
              <w:rPr>
                <w:sz w:val="22"/>
              </w:rPr>
            </w:pPr>
            <w:r w:rsidRPr="00F23607">
              <w:rPr>
                <w:sz w:val="22"/>
              </w:rPr>
              <w:t>139 802 819</w:t>
            </w:r>
          </w:p>
        </w:tc>
        <w:tc>
          <w:tcPr>
            <w:tcW w:w="1701" w:type="dxa"/>
            <w:tcBorders>
              <w:left w:val="single" w:sz="8" w:space="0" w:color="auto"/>
              <w:right w:val="single" w:sz="8" w:space="0" w:color="auto"/>
            </w:tcBorders>
            <w:noWrap/>
            <w:vAlign w:val="center"/>
            <w:hideMark/>
          </w:tcPr>
          <w:p w14:paraId="355EABF3" w14:textId="77777777" w:rsidR="0070585C" w:rsidRPr="00F23607" w:rsidRDefault="0070585C" w:rsidP="00936F9F">
            <w:pPr>
              <w:jc w:val="right"/>
              <w:rPr>
                <w:sz w:val="22"/>
                <w:szCs w:val="22"/>
              </w:rPr>
            </w:pPr>
            <w:r w:rsidRPr="00F23607">
              <w:rPr>
                <w:sz w:val="22"/>
                <w:szCs w:val="22"/>
              </w:rPr>
              <w:t>139 774 319</w:t>
            </w:r>
          </w:p>
        </w:tc>
        <w:tc>
          <w:tcPr>
            <w:tcW w:w="1134" w:type="dxa"/>
            <w:tcBorders>
              <w:left w:val="single" w:sz="8" w:space="0" w:color="auto"/>
              <w:right w:val="single" w:sz="8" w:space="0" w:color="auto"/>
            </w:tcBorders>
            <w:noWrap/>
            <w:vAlign w:val="center"/>
          </w:tcPr>
          <w:p w14:paraId="0BF7697D" w14:textId="77777777" w:rsidR="0070585C" w:rsidRPr="00F23607" w:rsidRDefault="0070585C" w:rsidP="00936F9F">
            <w:pPr>
              <w:jc w:val="right"/>
              <w:rPr>
                <w:sz w:val="22"/>
                <w:szCs w:val="22"/>
              </w:rPr>
            </w:pPr>
            <w:r w:rsidRPr="00F23607">
              <w:rPr>
                <w:sz w:val="22"/>
                <w:szCs w:val="22"/>
              </w:rPr>
              <w:t>28 500</w:t>
            </w:r>
          </w:p>
        </w:tc>
        <w:tc>
          <w:tcPr>
            <w:tcW w:w="1276" w:type="dxa"/>
            <w:tcBorders>
              <w:left w:val="single" w:sz="8" w:space="0" w:color="auto"/>
              <w:right w:val="single" w:sz="8" w:space="0" w:color="auto"/>
            </w:tcBorders>
            <w:noWrap/>
            <w:vAlign w:val="center"/>
            <w:hideMark/>
          </w:tcPr>
          <w:p w14:paraId="2D969C94" w14:textId="77777777" w:rsidR="0070585C" w:rsidRPr="00F23607" w:rsidRDefault="0070585C" w:rsidP="00936F9F">
            <w:pPr>
              <w:jc w:val="right"/>
              <w:rPr>
                <w:sz w:val="22"/>
                <w:szCs w:val="22"/>
              </w:rPr>
            </w:pPr>
            <w:r w:rsidRPr="00F23607">
              <w:rPr>
                <w:sz w:val="22"/>
                <w:szCs w:val="22"/>
              </w:rPr>
              <w:t>339,05</w:t>
            </w:r>
          </w:p>
        </w:tc>
      </w:tr>
      <w:tr w:rsidR="0070585C" w:rsidRPr="008B42CF" w14:paraId="5E87B71B" w14:textId="77777777" w:rsidTr="00936F9F">
        <w:trPr>
          <w:trHeight w:val="170"/>
        </w:trPr>
        <w:tc>
          <w:tcPr>
            <w:tcW w:w="2268" w:type="dxa"/>
            <w:tcBorders>
              <w:right w:val="single" w:sz="8" w:space="0" w:color="auto"/>
            </w:tcBorders>
            <w:shd w:val="clear" w:color="auto" w:fill="FFFFFF"/>
            <w:noWrap/>
            <w:vAlign w:val="center"/>
            <w:hideMark/>
          </w:tcPr>
          <w:p w14:paraId="09823C6D" w14:textId="77777777" w:rsidR="0070585C" w:rsidRPr="00F23607" w:rsidRDefault="0070585C" w:rsidP="00936F9F">
            <w:pPr>
              <w:rPr>
                <w:bCs/>
                <w:sz w:val="22"/>
                <w:szCs w:val="22"/>
              </w:rPr>
            </w:pPr>
            <w:r w:rsidRPr="00F23607">
              <w:rPr>
                <w:bCs/>
                <w:sz w:val="22"/>
                <w:szCs w:val="22"/>
              </w:rPr>
              <w:t xml:space="preserve">Jihočeský </w:t>
            </w:r>
          </w:p>
        </w:tc>
        <w:tc>
          <w:tcPr>
            <w:tcW w:w="1701" w:type="dxa"/>
            <w:tcBorders>
              <w:left w:val="single" w:sz="8" w:space="0" w:color="auto"/>
              <w:right w:val="single" w:sz="8" w:space="0" w:color="auto"/>
            </w:tcBorders>
            <w:noWrap/>
            <w:vAlign w:val="center"/>
            <w:hideMark/>
          </w:tcPr>
          <w:p w14:paraId="6454CE8E" w14:textId="77777777" w:rsidR="0070585C" w:rsidRPr="00F23607" w:rsidRDefault="0070585C" w:rsidP="00936F9F">
            <w:pPr>
              <w:jc w:val="right"/>
              <w:rPr>
                <w:sz w:val="22"/>
              </w:rPr>
            </w:pPr>
            <w:r w:rsidRPr="00F23607">
              <w:rPr>
                <w:sz w:val="22"/>
              </w:rPr>
              <w:t>7 022 022</w:t>
            </w:r>
          </w:p>
        </w:tc>
        <w:tc>
          <w:tcPr>
            <w:tcW w:w="1701" w:type="dxa"/>
            <w:tcBorders>
              <w:left w:val="single" w:sz="8" w:space="0" w:color="auto"/>
              <w:right w:val="single" w:sz="8" w:space="0" w:color="auto"/>
            </w:tcBorders>
            <w:noWrap/>
            <w:vAlign w:val="center"/>
            <w:hideMark/>
          </w:tcPr>
          <w:p w14:paraId="2484F6D4" w14:textId="77777777" w:rsidR="0070585C" w:rsidRPr="00F23607" w:rsidRDefault="0070585C" w:rsidP="00936F9F">
            <w:pPr>
              <w:jc w:val="right"/>
              <w:rPr>
                <w:sz w:val="22"/>
                <w:szCs w:val="22"/>
              </w:rPr>
            </w:pPr>
            <w:r w:rsidRPr="00F23607">
              <w:rPr>
                <w:sz w:val="22"/>
                <w:szCs w:val="22"/>
              </w:rPr>
              <w:t>7 022 022</w:t>
            </w:r>
          </w:p>
        </w:tc>
        <w:tc>
          <w:tcPr>
            <w:tcW w:w="1134" w:type="dxa"/>
            <w:tcBorders>
              <w:left w:val="single" w:sz="8" w:space="0" w:color="auto"/>
              <w:right w:val="single" w:sz="8" w:space="0" w:color="auto"/>
            </w:tcBorders>
            <w:noWrap/>
            <w:vAlign w:val="center"/>
          </w:tcPr>
          <w:p w14:paraId="1BFDE34E" w14:textId="77777777" w:rsidR="0070585C" w:rsidRPr="00F23607" w:rsidRDefault="0070585C" w:rsidP="00936F9F">
            <w:pPr>
              <w:jc w:val="right"/>
              <w:rPr>
                <w:sz w:val="22"/>
                <w:szCs w:val="22"/>
              </w:rPr>
            </w:pPr>
            <w:r w:rsidRPr="00F23607">
              <w:rPr>
                <w:sz w:val="22"/>
                <w:szCs w:val="22"/>
              </w:rPr>
              <w:t>0</w:t>
            </w:r>
          </w:p>
        </w:tc>
        <w:tc>
          <w:tcPr>
            <w:tcW w:w="1276" w:type="dxa"/>
            <w:tcBorders>
              <w:left w:val="single" w:sz="8" w:space="0" w:color="auto"/>
              <w:right w:val="single" w:sz="8" w:space="0" w:color="auto"/>
            </w:tcBorders>
            <w:noWrap/>
            <w:vAlign w:val="center"/>
            <w:hideMark/>
          </w:tcPr>
          <w:p w14:paraId="7605FB54" w14:textId="77777777" w:rsidR="0070585C" w:rsidRPr="00F23607" w:rsidRDefault="0070585C" w:rsidP="00936F9F">
            <w:pPr>
              <w:jc w:val="right"/>
              <w:rPr>
                <w:sz w:val="22"/>
                <w:szCs w:val="22"/>
              </w:rPr>
            </w:pPr>
            <w:r w:rsidRPr="00F23607">
              <w:rPr>
                <w:sz w:val="22"/>
                <w:szCs w:val="22"/>
              </w:rPr>
              <w:t>16,63</w:t>
            </w:r>
          </w:p>
        </w:tc>
      </w:tr>
      <w:tr w:rsidR="0070585C" w:rsidRPr="008B42CF" w14:paraId="4F847918" w14:textId="77777777" w:rsidTr="00936F9F">
        <w:trPr>
          <w:trHeight w:val="170"/>
        </w:trPr>
        <w:tc>
          <w:tcPr>
            <w:tcW w:w="2268" w:type="dxa"/>
            <w:tcBorders>
              <w:right w:val="single" w:sz="8" w:space="0" w:color="auto"/>
            </w:tcBorders>
            <w:shd w:val="clear" w:color="auto" w:fill="FFFFFF"/>
            <w:noWrap/>
            <w:vAlign w:val="center"/>
            <w:hideMark/>
          </w:tcPr>
          <w:p w14:paraId="17886EBD" w14:textId="77777777" w:rsidR="0070585C" w:rsidRPr="00F23607" w:rsidRDefault="0070585C" w:rsidP="00936F9F">
            <w:pPr>
              <w:rPr>
                <w:bCs/>
                <w:sz w:val="22"/>
                <w:szCs w:val="22"/>
              </w:rPr>
            </w:pPr>
            <w:r w:rsidRPr="00F23607">
              <w:rPr>
                <w:bCs/>
                <w:sz w:val="22"/>
                <w:szCs w:val="22"/>
              </w:rPr>
              <w:t xml:space="preserve">Plzeňský  </w:t>
            </w:r>
          </w:p>
        </w:tc>
        <w:tc>
          <w:tcPr>
            <w:tcW w:w="1701" w:type="dxa"/>
            <w:tcBorders>
              <w:left w:val="single" w:sz="8" w:space="0" w:color="auto"/>
              <w:right w:val="single" w:sz="8" w:space="0" w:color="auto"/>
            </w:tcBorders>
            <w:noWrap/>
            <w:vAlign w:val="center"/>
            <w:hideMark/>
          </w:tcPr>
          <w:p w14:paraId="680CF9A9" w14:textId="77777777" w:rsidR="0070585C" w:rsidRPr="00F23607" w:rsidRDefault="0070585C" w:rsidP="00936F9F">
            <w:pPr>
              <w:jc w:val="right"/>
              <w:rPr>
                <w:sz w:val="22"/>
              </w:rPr>
            </w:pPr>
            <w:r w:rsidRPr="00F23607">
              <w:rPr>
                <w:sz w:val="22"/>
              </w:rPr>
              <w:t>62 815 200</w:t>
            </w:r>
          </w:p>
        </w:tc>
        <w:tc>
          <w:tcPr>
            <w:tcW w:w="1701" w:type="dxa"/>
            <w:tcBorders>
              <w:left w:val="single" w:sz="8" w:space="0" w:color="auto"/>
              <w:right w:val="single" w:sz="8" w:space="0" w:color="auto"/>
            </w:tcBorders>
            <w:noWrap/>
            <w:vAlign w:val="center"/>
            <w:hideMark/>
          </w:tcPr>
          <w:p w14:paraId="54D2C0A7" w14:textId="77777777" w:rsidR="0070585C" w:rsidRPr="00F23607" w:rsidRDefault="0070585C" w:rsidP="00936F9F">
            <w:pPr>
              <w:jc w:val="right"/>
              <w:rPr>
                <w:sz w:val="22"/>
                <w:szCs w:val="22"/>
              </w:rPr>
            </w:pPr>
            <w:r w:rsidRPr="00F23607">
              <w:rPr>
                <w:sz w:val="22"/>
                <w:szCs w:val="22"/>
              </w:rPr>
              <w:t>62 815 200</w:t>
            </w:r>
          </w:p>
        </w:tc>
        <w:tc>
          <w:tcPr>
            <w:tcW w:w="1134" w:type="dxa"/>
            <w:tcBorders>
              <w:left w:val="single" w:sz="8" w:space="0" w:color="auto"/>
              <w:right w:val="single" w:sz="8" w:space="0" w:color="auto"/>
            </w:tcBorders>
            <w:noWrap/>
            <w:vAlign w:val="center"/>
          </w:tcPr>
          <w:p w14:paraId="3435B4F7" w14:textId="77777777" w:rsidR="0070585C" w:rsidRPr="00F23607" w:rsidRDefault="0070585C" w:rsidP="00936F9F">
            <w:pPr>
              <w:jc w:val="right"/>
              <w:rPr>
                <w:sz w:val="22"/>
                <w:szCs w:val="22"/>
              </w:rPr>
            </w:pPr>
            <w:r w:rsidRPr="00F23607">
              <w:rPr>
                <w:sz w:val="22"/>
                <w:szCs w:val="22"/>
              </w:rPr>
              <w:t>0</w:t>
            </w:r>
          </w:p>
        </w:tc>
        <w:tc>
          <w:tcPr>
            <w:tcW w:w="1276" w:type="dxa"/>
            <w:tcBorders>
              <w:left w:val="single" w:sz="8" w:space="0" w:color="auto"/>
              <w:right w:val="single" w:sz="8" w:space="0" w:color="auto"/>
            </w:tcBorders>
            <w:noWrap/>
            <w:vAlign w:val="center"/>
            <w:hideMark/>
          </w:tcPr>
          <w:p w14:paraId="0B6C2999" w14:textId="77777777" w:rsidR="0070585C" w:rsidRPr="00F23607" w:rsidRDefault="0070585C" w:rsidP="00936F9F">
            <w:pPr>
              <w:jc w:val="right"/>
              <w:rPr>
                <w:sz w:val="22"/>
                <w:szCs w:val="22"/>
              </w:rPr>
            </w:pPr>
            <w:r w:rsidRPr="00F23607">
              <w:rPr>
                <w:sz w:val="22"/>
                <w:szCs w:val="22"/>
              </w:rPr>
              <w:t>151,30</w:t>
            </w:r>
          </w:p>
        </w:tc>
      </w:tr>
      <w:tr w:rsidR="0070585C" w:rsidRPr="008B42CF" w14:paraId="097574FE" w14:textId="77777777" w:rsidTr="00936F9F">
        <w:trPr>
          <w:trHeight w:val="170"/>
        </w:trPr>
        <w:tc>
          <w:tcPr>
            <w:tcW w:w="2268" w:type="dxa"/>
            <w:tcBorders>
              <w:right w:val="single" w:sz="8" w:space="0" w:color="auto"/>
            </w:tcBorders>
            <w:shd w:val="clear" w:color="auto" w:fill="FFFFFF"/>
            <w:noWrap/>
            <w:vAlign w:val="center"/>
            <w:hideMark/>
          </w:tcPr>
          <w:p w14:paraId="2826757F" w14:textId="77777777" w:rsidR="0070585C" w:rsidRPr="00F23607" w:rsidRDefault="0070585C" w:rsidP="00936F9F">
            <w:pPr>
              <w:rPr>
                <w:bCs/>
                <w:sz w:val="22"/>
                <w:szCs w:val="22"/>
              </w:rPr>
            </w:pPr>
            <w:r w:rsidRPr="00F23607">
              <w:rPr>
                <w:bCs/>
                <w:sz w:val="22"/>
                <w:szCs w:val="22"/>
              </w:rPr>
              <w:t xml:space="preserve">Karlovarský </w:t>
            </w:r>
          </w:p>
        </w:tc>
        <w:tc>
          <w:tcPr>
            <w:tcW w:w="1701" w:type="dxa"/>
            <w:tcBorders>
              <w:left w:val="single" w:sz="8" w:space="0" w:color="auto"/>
              <w:right w:val="single" w:sz="8" w:space="0" w:color="auto"/>
            </w:tcBorders>
            <w:noWrap/>
            <w:vAlign w:val="center"/>
            <w:hideMark/>
          </w:tcPr>
          <w:p w14:paraId="66765290" w14:textId="77777777" w:rsidR="0070585C" w:rsidRPr="00F23607" w:rsidRDefault="0070585C" w:rsidP="00936F9F">
            <w:pPr>
              <w:jc w:val="right"/>
              <w:rPr>
                <w:sz w:val="22"/>
              </w:rPr>
            </w:pPr>
            <w:r w:rsidRPr="00F23607">
              <w:rPr>
                <w:sz w:val="22"/>
              </w:rPr>
              <w:t>49 642 373</w:t>
            </w:r>
          </w:p>
        </w:tc>
        <w:tc>
          <w:tcPr>
            <w:tcW w:w="1701" w:type="dxa"/>
            <w:tcBorders>
              <w:left w:val="single" w:sz="8" w:space="0" w:color="auto"/>
              <w:right w:val="single" w:sz="8" w:space="0" w:color="auto"/>
            </w:tcBorders>
            <w:noWrap/>
            <w:vAlign w:val="center"/>
            <w:hideMark/>
          </w:tcPr>
          <w:p w14:paraId="644A5ED0" w14:textId="77777777" w:rsidR="0070585C" w:rsidRPr="00F23607" w:rsidRDefault="0070585C" w:rsidP="00936F9F">
            <w:pPr>
              <w:jc w:val="right"/>
              <w:rPr>
                <w:sz w:val="22"/>
                <w:szCs w:val="22"/>
              </w:rPr>
            </w:pPr>
            <w:r w:rsidRPr="00F23607">
              <w:rPr>
                <w:sz w:val="22"/>
                <w:szCs w:val="22"/>
              </w:rPr>
              <w:t>49 549 773</w:t>
            </w:r>
          </w:p>
        </w:tc>
        <w:tc>
          <w:tcPr>
            <w:tcW w:w="1134" w:type="dxa"/>
            <w:tcBorders>
              <w:left w:val="single" w:sz="8" w:space="0" w:color="auto"/>
              <w:right w:val="single" w:sz="8" w:space="0" w:color="auto"/>
            </w:tcBorders>
            <w:noWrap/>
            <w:vAlign w:val="center"/>
          </w:tcPr>
          <w:p w14:paraId="14243F1C" w14:textId="77777777" w:rsidR="0070585C" w:rsidRPr="00F23607" w:rsidRDefault="0070585C" w:rsidP="00936F9F">
            <w:pPr>
              <w:jc w:val="right"/>
              <w:rPr>
                <w:sz w:val="22"/>
                <w:szCs w:val="22"/>
              </w:rPr>
            </w:pPr>
            <w:r w:rsidRPr="00F23607">
              <w:rPr>
                <w:sz w:val="22"/>
                <w:szCs w:val="22"/>
              </w:rPr>
              <w:t>92 600</w:t>
            </w:r>
          </w:p>
        </w:tc>
        <w:tc>
          <w:tcPr>
            <w:tcW w:w="1276" w:type="dxa"/>
            <w:tcBorders>
              <w:left w:val="single" w:sz="8" w:space="0" w:color="auto"/>
              <w:right w:val="single" w:sz="8" w:space="0" w:color="auto"/>
            </w:tcBorders>
            <w:noWrap/>
            <w:vAlign w:val="center"/>
            <w:hideMark/>
          </w:tcPr>
          <w:p w14:paraId="4D95DE14" w14:textId="77777777" w:rsidR="0070585C" w:rsidRPr="00F23607" w:rsidRDefault="0070585C" w:rsidP="00936F9F">
            <w:pPr>
              <w:jc w:val="right"/>
              <w:rPr>
                <w:sz w:val="22"/>
                <w:szCs w:val="22"/>
              </w:rPr>
            </w:pPr>
            <w:r w:rsidRPr="00F23607">
              <w:rPr>
                <w:sz w:val="22"/>
                <w:szCs w:val="22"/>
              </w:rPr>
              <w:t>119,76</w:t>
            </w:r>
          </w:p>
        </w:tc>
      </w:tr>
      <w:tr w:rsidR="0070585C" w:rsidRPr="008B42CF" w14:paraId="3B40AD70" w14:textId="77777777" w:rsidTr="00936F9F">
        <w:trPr>
          <w:trHeight w:val="170"/>
        </w:trPr>
        <w:tc>
          <w:tcPr>
            <w:tcW w:w="2268" w:type="dxa"/>
            <w:tcBorders>
              <w:right w:val="single" w:sz="8" w:space="0" w:color="auto"/>
            </w:tcBorders>
            <w:shd w:val="clear" w:color="auto" w:fill="FFFFFF"/>
            <w:noWrap/>
            <w:vAlign w:val="center"/>
            <w:hideMark/>
          </w:tcPr>
          <w:p w14:paraId="7A15F1F0" w14:textId="77777777" w:rsidR="0070585C" w:rsidRPr="00F23607" w:rsidRDefault="0070585C" w:rsidP="00936F9F">
            <w:pPr>
              <w:rPr>
                <w:bCs/>
                <w:sz w:val="22"/>
                <w:szCs w:val="22"/>
              </w:rPr>
            </w:pPr>
            <w:r w:rsidRPr="00F23607">
              <w:rPr>
                <w:bCs/>
                <w:sz w:val="22"/>
                <w:szCs w:val="22"/>
              </w:rPr>
              <w:t xml:space="preserve">Ústecký </w:t>
            </w:r>
          </w:p>
        </w:tc>
        <w:tc>
          <w:tcPr>
            <w:tcW w:w="1701" w:type="dxa"/>
            <w:tcBorders>
              <w:left w:val="single" w:sz="8" w:space="0" w:color="auto"/>
              <w:right w:val="single" w:sz="8" w:space="0" w:color="auto"/>
            </w:tcBorders>
            <w:noWrap/>
            <w:vAlign w:val="center"/>
            <w:hideMark/>
          </w:tcPr>
          <w:p w14:paraId="36EF70D6" w14:textId="77777777" w:rsidR="0070585C" w:rsidRPr="00F23607" w:rsidRDefault="0070585C" w:rsidP="00936F9F">
            <w:pPr>
              <w:jc w:val="right"/>
              <w:rPr>
                <w:sz w:val="22"/>
              </w:rPr>
            </w:pPr>
            <w:r w:rsidRPr="00F23607">
              <w:rPr>
                <w:sz w:val="22"/>
              </w:rPr>
              <w:t>109 313 009</w:t>
            </w:r>
          </w:p>
        </w:tc>
        <w:tc>
          <w:tcPr>
            <w:tcW w:w="1701" w:type="dxa"/>
            <w:tcBorders>
              <w:left w:val="single" w:sz="8" w:space="0" w:color="auto"/>
              <w:right w:val="single" w:sz="8" w:space="0" w:color="auto"/>
            </w:tcBorders>
            <w:noWrap/>
            <w:vAlign w:val="center"/>
            <w:hideMark/>
          </w:tcPr>
          <w:p w14:paraId="1AC883E8" w14:textId="77777777" w:rsidR="0070585C" w:rsidRPr="00F23607" w:rsidRDefault="0070585C" w:rsidP="00936F9F">
            <w:pPr>
              <w:jc w:val="right"/>
              <w:rPr>
                <w:sz w:val="22"/>
                <w:szCs w:val="22"/>
              </w:rPr>
            </w:pPr>
            <w:r w:rsidRPr="00F23607">
              <w:rPr>
                <w:sz w:val="22"/>
                <w:szCs w:val="22"/>
              </w:rPr>
              <w:t>109 090 009</w:t>
            </w:r>
          </w:p>
        </w:tc>
        <w:tc>
          <w:tcPr>
            <w:tcW w:w="1134" w:type="dxa"/>
            <w:tcBorders>
              <w:left w:val="single" w:sz="8" w:space="0" w:color="auto"/>
              <w:right w:val="single" w:sz="8" w:space="0" w:color="auto"/>
            </w:tcBorders>
            <w:noWrap/>
            <w:vAlign w:val="center"/>
          </w:tcPr>
          <w:p w14:paraId="19791DAC" w14:textId="77777777" w:rsidR="0070585C" w:rsidRPr="00F23607" w:rsidRDefault="0070585C" w:rsidP="00936F9F">
            <w:pPr>
              <w:jc w:val="right"/>
              <w:rPr>
                <w:sz w:val="22"/>
                <w:szCs w:val="22"/>
              </w:rPr>
            </w:pPr>
            <w:r w:rsidRPr="00F23607">
              <w:rPr>
                <w:sz w:val="22"/>
                <w:szCs w:val="22"/>
              </w:rPr>
              <w:t>223 000</w:t>
            </w:r>
          </w:p>
        </w:tc>
        <w:tc>
          <w:tcPr>
            <w:tcW w:w="1276" w:type="dxa"/>
            <w:tcBorders>
              <w:left w:val="single" w:sz="8" w:space="0" w:color="auto"/>
              <w:right w:val="single" w:sz="8" w:space="0" w:color="auto"/>
            </w:tcBorders>
            <w:noWrap/>
            <w:vAlign w:val="center"/>
            <w:hideMark/>
          </w:tcPr>
          <w:p w14:paraId="56740069" w14:textId="77777777" w:rsidR="0070585C" w:rsidRPr="00F23607" w:rsidRDefault="0070585C" w:rsidP="00936F9F">
            <w:pPr>
              <w:jc w:val="right"/>
              <w:rPr>
                <w:sz w:val="22"/>
                <w:szCs w:val="22"/>
              </w:rPr>
            </w:pPr>
            <w:r w:rsidRPr="00F23607">
              <w:rPr>
                <w:sz w:val="22"/>
                <w:szCs w:val="22"/>
              </w:rPr>
              <w:t>266,98</w:t>
            </w:r>
          </w:p>
        </w:tc>
      </w:tr>
      <w:tr w:rsidR="0070585C" w:rsidRPr="008B42CF" w14:paraId="27495E47" w14:textId="77777777" w:rsidTr="00936F9F">
        <w:trPr>
          <w:trHeight w:val="170"/>
        </w:trPr>
        <w:tc>
          <w:tcPr>
            <w:tcW w:w="2268" w:type="dxa"/>
            <w:tcBorders>
              <w:right w:val="single" w:sz="8" w:space="0" w:color="auto"/>
            </w:tcBorders>
            <w:shd w:val="clear" w:color="auto" w:fill="FFFFFF"/>
            <w:noWrap/>
            <w:vAlign w:val="center"/>
            <w:hideMark/>
          </w:tcPr>
          <w:p w14:paraId="3B4A6DBE" w14:textId="77777777" w:rsidR="0070585C" w:rsidRPr="00F23607" w:rsidRDefault="0070585C" w:rsidP="00936F9F">
            <w:pPr>
              <w:rPr>
                <w:bCs/>
                <w:sz w:val="22"/>
                <w:szCs w:val="22"/>
              </w:rPr>
            </w:pPr>
            <w:r w:rsidRPr="00F23607">
              <w:rPr>
                <w:bCs/>
                <w:sz w:val="22"/>
                <w:szCs w:val="22"/>
              </w:rPr>
              <w:t xml:space="preserve">Liberecký </w:t>
            </w:r>
          </w:p>
        </w:tc>
        <w:tc>
          <w:tcPr>
            <w:tcW w:w="1701" w:type="dxa"/>
            <w:tcBorders>
              <w:left w:val="single" w:sz="8" w:space="0" w:color="auto"/>
              <w:right w:val="single" w:sz="8" w:space="0" w:color="auto"/>
            </w:tcBorders>
            <w:noWrap/>
            <w:vAlign w:val="center"/>
            <w:hideMark/>
          </w:tcPr>
          <w:p w14:paraId="3160D383" w14:textId="77777777" w:rsidR="0070585C" w:rsidRPr="00F23607" w:rsidRDefault="0070585C" w:rsidP="00936F9F">
            <w:pPr>
              <w:jc w:val="right"/>
              <w:rPr>
                <w:sz w:val="22"/>
              </w:rPr>
            </w:pPr>
            <w:r w:rsidRPr="00F23607">
              <w:rPr>
                <w:sz w:val="22"/>
              </w:rPr>
              <w:t>43 224 109</w:t>
            </w:r>
          </w:p>
        </w:tc>
        <w:tc>
          <w:tcPr>
            <w:tcW w:w="1701" w:type="dxa"/>
            <w:tcBorders>
              <w:left w:val="single" w:sz="8" w:space="0" w:color="auto"/>
              <w:right w:val="single" w:sz="8" w:space="0" w:color="auto"/>
            </w:tcBorders>
            <w:noWrap/>
            <w:vAlign w:val="center"/>
            <w:hideMark/>
          </w:tcPr>
          <w:p w14:paraId="6A9F18FC" w14:textId="77777777" w:rsidR="0070585C" w:rsidRPr="00F23607" w:rsidRDefault="0070585C" w:rsidP="00936F9F">
            <w:pPr>
              <w:jc w:val="right"/>
              <w:rPr>
                <w:sz w:val="22"/>
                <w:szCs w:val="22"/>
              </w:rPr>
            </w:pPr>
            <w:r w:rsidRPr="00F23607">
              <w:rPr>
                <w:sz w:val="22"/>
                <w:szCs w:val="22"/>
              </w:rPr>
              <w:t>43 208 109</w:t>
            </w:r>
          </w:p>
        </w:tc>
        <w:tc>
          <w:tcPr>
            <w:tcW w:w="1134" w:type="dxa"/>
            <w:tcBorders>
              <w:left w:val="single" w:sz="8" w:space="0" w:color="auto"/>
              <w:right w:val="single" w:sz="8" w:space="0" w:color="auto"/>
            </w:tcBorders>
            <w:noWrap/>
            <w:vAlign w:val="center"/>
          </w:tcPr>
          <w:p w14:paraId="748E77ED" w14:textId="77777777" w:rsidR="0070585C" w:rsidRPr="00F23607" w:rsidRDefault="0070585C" w:rsidP="00936F9F">
            <w:pPr>
              <w:jc w:val="right"/>
              <w:rPr>
                <w:sz w:val="22"/>
                <w:szCs w:val="22"/>
              </w:rPr>
            </w:pPr>
            <w:r w:rsidRPr="00F23607">
              <w:rPr>
                <w:sz w:val="22"/>
                <w:szCs w:val="22"/>
              </w:rPr>
              <w:t>16 000</w:t>
            </w:r>
          </w:p>
        </w:tc>
        <w:tc>
          <w:tcPr>
            <w:tcW w:w="1276" w:type="dxa"/>
            <w:tcBorders>
              <w:left w:val="single" w:sz="8" w:space="0" w:color="auto"/>
              <w:right w:val="single" w:sz="8" w:space="0" w:color="auto"/>
            </w:tcBorders>
            <w:noWrap/>
            <w:vAlign w:val="center"/>
            <w:hideMark/>
          </w:tcPr>
          <w:p w14:paraId="189BAD05" w14:textId="77777777" w:rsidR="0070585C" w:rsidRPr="00F23607" w:rsidRDefault="0070585C" w:rsidP="00936F9F">
            <w:pPr>
              <w:jc w:val="right"/>
              <w:rPr>
                <w:sz w:val="22"/>
                <w:szCs w:val="22"/>
              </w:rPr>
            </w:pPr>
            <w:r w:rsidRPr="00F23607">
              <w:rPr>
                <w:sz w:val="22"/>
                <w:szCs w:val="22"/>
              </w:rPr>
              <w:t>104,72</w:t>
            </w:r>
          </w:p>
        </w:tc>
      </w:tr>
      <w:tr w:rsidR="0070585C" w:rsidRPr="008B42CF" w14:paraId="5A6390A3" w14:textId="77777777" w:rsidTr="00936F9F">
        <w:trPr>
          <w:trHeight w:val="170"/>
        </w:trPr>
        <w:tc>
          <w:tcPr>
            <w:tcW w:w="2268" w:type="dxa"/>
            <w:tcBorders>
              <w:right w:val="single" w:sz="8" w:space="0" w:color="auto"/>
            </w:tcBorders>
            <w:shd w:val="clear" w:color="auto" w:fill="FFFFFF"/>
            <w:noWrap/>
            <w:vAlign w:val="center"/>
            <w:hideMark/>
          </w:tcPr>
          <w:p w14:paraId="44B28BE1" w14:textId="77777777" w:rsidR="0070585C" w:rsidRPr="00F23607" w:rsidRDefault="0070585C" w:rsidP="00936F9F">
            <w:pPr>
              <w:rPr>
                <w:bCs/>
                <w:sz w:val="22"/>
                <w:szCs w:val="22"/>
              </w:rPr>
            </w:pPr>
            <w:r w:rsidRPr="00F23607">
              <w:rPr>
                <w:bCs/>
                <w:sz w:val="22"/>
                <w:szCs w:val="22"/>
              </w:rPr>
              <w:t>Královéhradecký</w:t>
            </w:r>
          </w:p>
        </w:tc>
        <w:tc>
          <w:tcPr>
            <w:tcW w:w="1701" w:type="dxa"/>
            <w:tcBorders>
              <w:left w:val="single" w:sz="8" w:space="0" w:color="auto"/>
              <w:right w:val="single" w:sz="8" w:space="0" w:color="auto"/>
            </w:tcBorders>
            <w:noWrap/>
            <w:vAlign w:val="center"/>
            <w:hideMark/>
          </w:tcPr>
          <w:p w14:paraId="10AD1886" w14:textId="77777777" w:rsidR="0070585C" w:rsidRPr="00F23607" w:rsidRDefault="0070585C" w:rsidP="00936F9F">
            <w:pPr>
              <w:jc w:val="right"/>
              <w:rPr>
                <w:sz w:val="22"/>
              </w:rPr>
            </w:pPr>
            <w:r w:rsidRPr="00F23607">
              <w:rPr>
                <w:sz w:val="22"/>
              </w:rPr>
              <w:t>75 976 045</w:t>
            </w:r>
          </w:p>
        </w:tc>
        <w:tc>
          <w:tcPr>
            <w:tcW w:w="1701" w:type="dxa"/>
            <w:tcBorders>
              <w:left w:val="single" w:sz="8" w:space="0" w:color="auto"/>
              <w:right w:val="single" w:sz="8" w:space="0" w:color="auto"/>
            </w:tcBorders>
            <w:noWrap/>
            <w:vAlign w:val="center"/>
            <w:hideMark/>
          </w:tcPr>
          <w:p w14:paraId="5B9281BA" w14:textId="77777777" w:rsidR="0070585C" w:rsidRPr="00F23607" w:rsidRDefault="0070585C" w:rsidP="00936F9F">
            <w:pPr>
              <w:jc w:val="right"/>
              <w:rPr>
                <w:sz w:val="22"/>
                <w:szCs w:val="22"/>
              </w:rPr>
            </w:pPr>
            <w:r w:rsidRPr="00F23607">
              <w:rPr>
                <w:sz w:val="22"/>
                <w:szCs w:val="22"/>
              </w:rPr>
              <w:t>75 961 045</w:t>
            </w:r>
          </w:p>
        </w:tc>
        <w:tc>
          <w:tcPr>
            <w:tcW w:w="1134" w:type="dxa"/>
            <w:tcBorders>
              <w:left w:val="single" w:sz="8" w:space="0" w:color="auto"/>
              <w:right w:val="single" w:sz="8" w:space="0" w:color="auto"/>
            </w:tcBorders>
            <w:noWrap/>
            <w:vAlign w:val="center"/>
          </w:tcPr>
          <w:p w14:paraId="1E87AD7D" w14:textId="77777777" w:rsidR="0070585C" w:rsidRPr="00F23607" w:rsidRDefault="0070585C" w:rsidP="00936F9F">
            <w:pPr>
              <w:jc w:val="right"/>
              <w:rPr>
                <w:sz w:val="22"/>
                <w:szCs w:val="22"/>
              </w:rPr>
            </w:pPr>
            <w:r w:rsidRPr="00F23607">
              <w:rPr>
                <w:sz w:val="22"/>
                <w:szCs w:val="22"/>
              </w:rPr>
              <w:t>15 000</w:t>
            </w:r>
          </w:p>
        </w:tc>
        <w:tc>
          <w:tcPr>
            <w:tcW w:w="1276" w:type="dxa"/>
            <w:tcBorders>
              <w:left w:val="single" w:sz="8" w:space="0" w:color="auto"/>
              <w:right w:val="single" w:sz="8" w:space="0" w:color="auto"/>
            </w:tcBorders>
            <w:noWrap/>
            <w:vAlign w:val="center"/>
            <w:hideMark/>
          </w:tcPr>
          <w:p w14:paraId="561763FC" w14:textId="77777777" w:rsidR="0070585C" w:rsidRPr="00F23607" w:rsidRDefault="0070585C" w:rsidP="00936F9F">
            <w:pPr>
              <w:jc w:val="right"/>
              <w:rPr>
                <w:sz w:val="22"/>
                <w:szCs w:val="22"/>
              </w:rPr>
            </w:pPr>
            <w:r w:rsidRPr="00F23607">
              <w:rPr>
                <w:sz w:val="22"/>
                <w:szCs w:val="22"/>
              </w:rPr>
              <w:t>185,93</w:t>
            </w:r>
          </w:p>
        </w:tc>
      </w:tr>
      <w:tr w:rsidR="0070585C" w:rsidRPr="008B42CF" w14:paraId="360B41F9" w14:textId="77777777" w:rsidTr="00936F9F">
        <w:trPr>
          <w:trHeight w:val="170"/>
        </w:trPr>
        <w:tc>
          <w:tcPr>
            <w:tcW w:w="2268" w:type="dxa"/>
            <w:tcBorders>
              <w:right w:val="single" w:sz="8" w:space="0" w:color="auto"/>
            </w:tcBorders>
            <w:shd w:val="clear" w:color="auto" w:fill="FFFFFF"/>
            <w:noWrap/>
            <w:vAlign w:val="center"/>
            <w:hideMark/>
          </w:tcPr>
          <w:p w14:paraId="38B0B21B" w14:textId="77777777" w:rsidR="0070585C" w:rsidRPr="00F23607" w:rsidRDefault="0070585C" w:rsidP="00936F9F">
            <w:pPr>
              <w:rPr>
                <w:bCs/>
                <w:sz w:val="22"/>
                <w:szCs w:val="22"/>
              </w:rPr>
            </w:pPr>
            <w:r w:rsidRPr="00F23607">
              <w:rPr>
                <w:bCs/>
                <w:sz w:val="22"/>
                <w:szCs w:val="22"/>
              </w:rPr>
              <w:t xml:space="preserve">Pardubický </w:t>
            </w:r>
          </w:p>
        </w:tc>
        <w:tc>
          <w:tcPr>
            <w:tcW w:w="1701" w:type="dxa"/>
            <w:tcBorders>
              <w:left w:val="single" w:sz="8" w:space="0" w:color="auto"/>
              <w:right w:val="single" w:sz="8" w:space="0" w:color="auto"/>
            </w:tcBorders>
            <w:noWrap/>
            <w:vAlign w:val="center"/>
            <w:hideMark/>
          </w:tcPr>
          <w:p w14:paraId="6DAD7712" w14:textId="77777777" w:rsidR="0070585C" w:rsidRPr="00F23607" w:rsidRDefault="0070585C" w:rsidP="00936F9F">
            <w:pPr>
              <w:jc w:val="right"/>
              <w:rPr>
                <w:sz w:val="22"/>
              </w:rPr>
            </w:pPr>
            <w:r w:rsidRPr="00F23607">
              <w:rPr>
                <w:sz w:val="22"/>
              </w:rPr>
              <w:t>62 316 451</w:t>
            </w:r>
          </w:p>
        </w:tc>
        <w:tc>
          <w:tcPr>
            <w:tcW w:w="1701" w:type="dxa"/>
            <w:tcBorders>
              <w:left w:val="single" w:sz="8" w:space="0" w:color="auto"/>
              <w:right w:val="single" w:sz="8" w:space="0" w:color="auto"/>
            </w:tcBorders>
            <w:noWrap/>
            <w:vAlign w:val="center"/>
            <w:hideMark/>
          </w:tcPr>
          <w:p w14:paraId="32BDCF66" w14:textId="77777777" w:rsidR="0070585C" w:rsidRPr="00F23607" w:rsidRDefault="0070585C" w:rsidP="00936F9F">
            <w:pPr>
              <w:jc w:val="right"/>
              <w:rPr>
                <w:sz w:val="22"/>
                <w:szCs w:val="22"/>
              </w:rPr>
            </w:pPr>
            <w:r w:rsidRPr="00F23607">
              <w:rPr>
                <w:sz w:val="22"/>
                <w:szCs w:val="22"/>
              </w:rPr>
              <w:t>62 311 451</w:t>
            </w:r>
          </w:p>
        </w:tc>
        <w:tc>
          <w:tcPr>
            <w:tcW w:w="1134" w:type="dxa"/>
            <w:tcBorders>
              <w:left w:val="single" w:sz="8" w:space="0" w:color="auto"/>
              <w:right w:val="single" w:sz="8" w:space="0" w:color="auto"/>
            </w:tcBorders>
            <w:noWrap/>
            <w:vAlign w:val="center"/>
          </w:tcPr>
          <w:p w14:paraId="36CA3839" w14:textId="77777777" w:rsidR="0070585C" w:rsidRPr="00F23607" w:rsidRDefault="0070585C" w:rsidP="00936F9F">
            <w:pPr>
              <w:jc w:val="right"/>
              <w:rPr>
                <w:sz w:val="22"/>
                <w:szCs w:val="22"/>
              </w:rPr>
            </w:pPr>
            <w:r w:rsidRPr="00F23607">
              <w:rPr>
                <w:sz w:val="22"/>
                <w:szCs w:val="22"/>
              </w:rPr>
              <w:t>5 000</w:t>
            </w:r>
          </w:p>
        </w:tc>
        <w:tc>
          <w:tcPr>
            <w:tcW w:w="1276" w:type="dxa"/>
            <w:tcBorders>
              <w:left w:val="single" w:sz="8" w:space="0" w:color="auto"/>
              <w:right w:val="single" w:sz="8" w:space="0" w:color="auto"/>
            </w:tcBorders>
            <w:noWrap/>
            <w:vAlign w:val="center"/>
            <w:hideMark/>
          </w:tcPr>
          <w:p w14:paraId="06DBB715" w14:textId="77777777" w:rsidR="0070585C" w:rsidRPr="00F23607" w:rsidRDefault="0070585C" w:rsidP="00936F9F">
            <w:pPr>
              <w:jc w:val="right"/>
              <w:rPr>
                <w:sz w:val="22"/>
                <w:szCs w:val="22"/>
              </w:rPr>
            </w:pPr>
            <w:r w:rsidRPr="00F23607">
              <w:rPr>
                <w:sz w:val="22"/>
                <w:szCs w:val="22"/>
              </w:rPr>
              <w:t>151,77</w:t>
            </w:r>
          </w:p>
        </w:tc>
      </w:tr>
      <w:tr w:rsidR="0070585C" w:rsidRPr="008B42CF" w14:paraId="03AD8982" w14:textId="77777777" w:rsidTr="00936F9F">
        <w:trPr>
          <w:trHeight w:val="170"/>
        </w:trPr>
        <w:tc>
          <w:tcPr>
            <w:tcW w:w="2268" w:type="dxa"/>
            <w:tcBorders>
              <w:right w:val="single" w:sz="8" w:space="0" w:color="auto"/>
            </w:tcBorders>
            <w:shd w:val="clear" w:color="auto" w:fill="FFFFFF"/>
            <w:noWrap/>
            <w:vAlign w:val="center"/>
            <w:hideMark/>
          </w:tcPr>
          <w:p w14:paraId="68EEC0C6" w14:textId="77777777" w:rsidR="0070585C" w:rsidRPr="00F23607" w:rsidRDefault="0070585C" w:rsidP="00936F9F">
            <w:pPr>
              <w:rPr>
                <w:bCs/>
                <w:sz w:val="22"/>
                <w:szCs w:val="22"/>
              </w:rPr>
            </w:pPr>
            <w:r w:rsidRPr="00F23607">
              <w:rPr>
                <w:bCs/>
                <w:sz w:val="22"/>
                <w:szCs w:val="22"/>
              </w:rPr>
              <w:t>Vysočina</w:t>
            </w:r>
          </w:p>
        </w:tc>
        <w:tc>
          <w:tcPr>
            <w:tcW w:w="1701" w:type="dxa"/>
            <w:tcBorders>
              <w:left w:val="single" w:sz="8" w:space="0" w:color="auto"/>
              <w:right w:val="single" w:sz="8" w:space="0" w:color="auto"/>
            </w:tcBorders>
            <w:noWrap/>
            <w:vAlign w:val="center"/>
            <w:hideMark/>
          </w:tcPr>
          <w:p w14:paraId="2A666B89" w14:textId="77777777" w:rsidR="0070585C" w:rsidRPr="00F23607" w:rsidRDefault="0070585C" w:rsidP="00936F9F">
            <w:pPr>
              <w:jc w:val="right"/>
              <w:rPr>
                <w:sz w:val="22"/>
              </w:rPr>
            </w:pPr>
            <w:r w:rsidRPr="00F23607">
              <w:rPr>
                <w:sz w:val="22"/>
              </w:rPr>
              <w:t>50 178 324</w:t>
            </w:r>
          </w:p>
        </w:tc>
        <w:tc>
          <w:tcPr>
            <w:tcW w:w="1701" w:type="dxa"/>
            <w:tcBorders>
              <w:left w:val="single" w:sz="8" w:space="0" w:color="auto"/>
              <w:right w:val="single" w:sz="8" w:space="0" w:color="auto"/>
            </w:tcBorders>
            <w:noWrap/>
            <w:vAlign w:val="center"/>
            <w:hideMark/>
          </w:tcPr>
          <w:p w14:paraId="3638270F" w14:textId="77777777" w:rsidR="0070585C" w:rsidRPr="00F23607" w:rsidRDefault="0070585C" w:rsidP="00936F9F">
            <w:pPr>
              <w:jc w:val="right"/>
              <w:rPr>
                <w:sz w:val="22"/>
                <w:szCs w:val="22"/>
              </w:rPr>
            </w:pPr>
            <w:r w:rsidRPr="00F23607">
              <w:rPr>
                <w:sz w:val="22"/>
                <w:szCs w:val="22"/>
              </w:rPr>
              <w:t>50 144 324</w:t>
            </w:r>
          </w:p>
        </w:tc>
        <w:tc>
          <w:tcPr>
            <w:tcW w:w="1134" w:type="dxa"/>
            <w:tcBorders>
              <w:left w:val="single" w:sz="8" w:space="0" w:color="auto"/>
              <w:right w:val="single" w:sz="8" w:space="0" w:color="auto"/>
            </w:tcBorders>
            <w:noWrap/>
            <w:vAlign w:val="center"/>
          </w:tcPr>
          <w:p w14:paraId="233F3E72" w14:textId="77777777" w:rsidR="0070585C" w:rsidRPr="00F23607" w:rsidRDefault="0070585C" w:rsidP="00936F9F">
            <w:pPr>
              <w:jc w:val="right"/>
              <w:rPr>
                <w:sz w:val="22"/>
                <w:szCs w:val="22"/>
              </w:rPr>
            </w:pPr>
            <w:r w:rsidRPr="00F23607">
              <w:rPr>
                <w:sz w:val="22"/>
                <w:szCs w:val="22"/>
              </w:rPr>
              <w:t>34 000</w:t>
            </w:r>
          </w:p>
        </w:tc>
        <w:tc>
          <w:tcPr>
            <w:tcW w:w="1276" w:type="dxa"/>
            <w:tcBorders>
              <w:left w:val="single" w:sz="8" w:space="0" w:color="auto"/>
              <w:right w:val="single" w:sz="8" w:space="0" w:color="auto"/>
            </w:tcBorders>
            <w:noWrap/>
            <w:vAlign w:val="center"/>
            <w:hideMark/>
          </w:tcPr>
          <w:p w14:paraId="4C4B66A4" w14:textId="77777777" w:rsidR="0070585C" w:rsidRPr="00F23607" w:rsidRDefault="0070585C" w:rsidP="00936F9F">
            <w:pPr>
              <w:jc w:val="right"/>
              <w:rPr>
                <w:sz w:val="22"/>
                <w:szCs w:val="22"/>
              </w:rPr>
            </w:pPr>
            <w:r w:rsidRPr="00F23607">
              <w:rPr>
                <w:sz w:val="22"/>
                <w:szCs w:val="22"/>
              </w:rPr>
              <w:t>122,03</w:t>
            </w:r>
          </w:p>
        </w:tc>
      </w:tr>
      <w:tr w:rsidR="0070585C" w:rsidRPr="008B42CF" w14:paraId="41DF22E2" w14:textId="77777777" w:rsidTr="00936F9F">
        <w:trPr>
          <w:trHeight w:val="170"/>
        </w:trPr>
        <w:tc>
          <w:tcPr>
            <w:tcW w:w="2268" w:type="dxa"/>
            <w:tcBorders>
              <w:right w:val="single" w:sz="8" w:space="0" w:color="auto"/>
            </w:tcBorders>
            <w:shd w:val="clear" w:color="auto" w:fill="FFFFFF"/>
            <w:noWrap/>
            <w:vAlign w:val="center"/>
            <w:hideMark/>
          </w:tcPr>
          <w:p w14:paraId="3380F13B" w14:textId="77777777" w:rsidR="0070585C" w:rsidRPr="00F23607" w:rsidRDefault="0070585C" w:rsidP="00936F9F">
            <w:pPr>
              <w:rPr>
                <w:bCs/>
                <w:sz w:val="22"/>
                <w:szCs w:val="22"/>
              </w:rPr>
            </w:pPr>
            <w:r w:rsidRPr="00F23607">
              <w:rPr>
                <w:bCs/>
                <w:sz w:val="22"/>
                <w:szCs w:val="22"/>
              </w:rPr>
              <w:t>Jihomoravský</w:t>
            </w:r>
          </w:p>
        </w:tc>
        <w:tc>
          <w:tcPr>
            <w:tcW w:w="1701" w:type="dxa"/>
            <w:tcBorders>
              <w:left w:val="single" w:sz="8" w:space="0" w:color="auto"/>
              <w:right w:val="single" w:sz="8" w:space="0" w:color="auto"/>
            </w:tcBorders>
            <w:noWrap/>
            <w:vAlign w:val="center"/>
            <w:hideMark/>
          </w:tcPr>
          <w:p w14:paraId="74B33654" w14:textId="77777777" w:rsidR="0070585C" w:rsidRPr="00F23607" w:rsidRDefault="0070585C" w:rsidP="00936F9F">
            <w:pPr>
              <w:jc w:val="right"/>
              <w:rPr>
                <w:sz w:val="22"/>
              </w:rPr>
            </w:pPr>
            <w:r w:rsidRPr="00F23607">
              <w:rPr>
                <w:sz w:val="22"/>
              </w:rPr>
              <w:t>10 948 243</w:t>
            </w:r>
          </w:p>
        </w:tc>
        <w:tc>
          <w:tcPr>
            <w:tcW w:w="1701" w:type="dxa"/>
            <w:tcBorders>
              <w:left w:val="single" w:sz="8" w:space="0" w:color="auto"/>
              <w:right w:val="single" w:sz="8" w:space="0" w:color="auto"/>
            </w:tcBorders>
            <w:noWrap/>
            <w:vAlign w:val="center"/>
            <w:hideMark/>
          </w:tcPr>
          <w:p w14:paraId="1A3822D0" w14:textId="77777777" w:rsidR="0070585C" w:rsidRPr="00F23607" w:rsidRDefault="0070585C" w:rsidP="00936F9F">
            <w:pPr>
              <w:jc w:val="right"/>
              <w:rPr>
                <w:sz w:val="22"/>
                <w:szCs w:val="22"/>
              </w:rPr>
            </w:pPr>
            <w:r w:rsidRPr="00F23607">
              <w:rPr>
                <w:sz w:val="22"/>
                <w:szCs w:val="22"/>
              </w:rPr>
              <w:t>10 918 043</w:t>
            </w:r>
          </w:p>
        </w:tc>
        <w:tc>
          <w:tcPr>
            <w:tcW w:w="1134" w:type="dxa"/>
            <w:tcBorders>
              <w:left w:val="single" w:sz="8" w:space="0" w:color="auto"/>
              <w:right w:val="single" w:sz="8" w:space="0" w:color="auto"/>
            </w:tcBorders>
            <w:noWrap/>
            <w:vAlign w:val="center"/>
          </w:tcPr>
          <w:p w14:paraId="769C476C" w14:textId="77777777" w:rsidR="0070585C" w:rsidRPr="00F23607" w:rsidRDefault="0070585C" w:rsidP="00936F9F">
            <w:pPr>
              <w:jc w:val="right"/>
              <w:rPr>
                <w:sz w:val="22"/>
                <w:szCs w:val="22"/>
              </w:rPr>
            </w:pPr>
            <w:r w:rsidRPr="00F23607">
              <w:rPr>
                <w:sz w:val="22"/>
                <w:szCs w:val="22"/>
              </w:rPr>
              <w:t>30 200</w:t>
            </w:r>
          </w:p>
        </w:tc>
        <w:tc>
          <w:tcPr>
            <w:tcW w:w="1276" w:type="dxa"/>
            <w:tcBorders>
              <w:left w:val="single" w:sz="8" w:space="0" w:color="auto"/>
              <w:right w:val="single" w:sz="8" w:space="0" w:color="auto"/>
            </w:tcBorders>
            <w:noWrap/>
            <w:vAlign w:val="center"/>
            <w:hideMark/>
          </w:tcPr>
          <w:p w14:paraId="646CED79" w14:textId="77777777" w:rsidR="0070585C" w:rsidRPr="00F23607" w:rsidRDefault="0070585C" w:rsidP="00936F9F">
            <w:pPr>
              <w:jc w:val="right"/>
              <w:rPr>
                <w:sz w:val="22"/>
                <w:szCs w:val="22"/>
              </w:rPr>
            </w:pPr>
            <w:r w:rsidRPr="00F23607">
              <w:rPr>
                <w:sz w:val="22"/>
                <w:szCs w:val="22"/>
              </w:rPr>
              <w:t>25,78</w:t>
            </w:r>
          </w:p>
        </w:tc>
      </w:tr>
      <w:tr w:rsidR="0070585C" w:rsidRPr="008B42CF" w14:paraId="1CBAED35" w14:textId="77777777" w:rsidTr="00936F9F">
        <w:trPr>
          <w:trHeight w:val="170"/>
        </w:trPr>
        <w:tc>
          <w:tcPr>
            <w:tcW w:w="2268" w:type="dxa"/>
            <w:tcBorders>
              <w:right w:val="single" w:sz="8" w:space="0" w:color="auto"/>
            </w:tcBorders>
            <w:shd w:val="clear" w:color="auto" w:fill="FFFFFF"/>
            <w:noWrap/>
            <w:vAlign w:val="center"/>
            <w:hideMark/>
          </w:tcPr>
          <w:p w14:paraId="284A0F78" w14:textId="77777777" w:rsidR="0070585C" w:rsidRPr="00F23607" w:rsidRDefault="0070585C" w:rsidP="00936F9F">
            <w:pPr>
              <w:rPr>
                <w:bCs/>
                <w:sz w:val="22"/>
                <w:szCs w:val="22"/>
              </w:rPr>
            </w:pPr>
            <w:r w:rsidRPr="00F23607">
              <w:rPr>
                <w:bCs/>
                <w:sz w:val="22"/>
                <w:szCs w:val="22"/>
              </w:rPr>
              <w:t>Olomoucký</w:t>
            </w:r>
          </w:p>
        </w:tc>
        <w:tc>
          <w:tcPr>
            <w:tcW w:w="1701" w:type="dxa"/>
            <w:tcBorders>
              <w:left w:val="single" w:sz="8" w:space="0" w:color="auto"/>
              <w:right w:val="single" w:sz="8" w:space="0" w:color="auto"/>
            </w:tcBorders>
            <w:noWrap/>
            <w:vAlign w:val="center"/>
            <w:hideMark/>
          </w:tcPr>
          <w:p w14:paraId="3C40407E" w14:textId="77777777" w:rsidR="0070585C" w:rsidRPr="00F23607" w:rsidRDefault="0070585C" w:rsidP="00936F9F">
            <w:pPr>
              <w:jc w:val="right"/>
              <w:rPr>
                <w:sz w:val="22"/>
              </w:rPr>
            </w:pPr>
            <w:r w:rsidRPr="00F23607">
              <w:rPr>
                <w:sz w:val="22"/>
              </w:rPr>
              <w:t>68 603 552</w:t>
            </w:r>
          </w:p>
        </w:tc>
        <w:tc>
          <w:tcPr>
            <w:tcW w:w="1701" w:type="dxa"/>
            <w:tcBorders>
              <w:left w:val="single" w:sz="8" w:space="0" w:color="auto"/>
              <w:right w:val="single" w:sz="8" w:space="0" w:color="auto"/>
            </w:tcBorders>
            <w:noWrap/>
            <w:vAlign w:val="center"/>
            <w:hideMark/>
          </w:tcPr>
          <w:p w14:paraId="07F6E9B5" w14:textId="77777777" w:rsidR="0070585C" w:rsidRPr="00F23607" w:rsidRDefault="0070585C" w:rsidP="00936F9F">
            <w:pPr>
              <w:jc w:val="right"/>
              <w:rPr>
                <w:sz w:val="22"/>
                <w:szCs w:val="22"/>
              </w:rPr>
            </w:pPr>
            <w:r w:rsidRPr="00F23607">
              <w:rPr>
                <w:sz w:val="22"/>
                <w:szCs w:val="22"/>
              </w:rPr>
              <w:t>68 569 552</w:t>
            </w:r>
          </w:p>
        </w:tc>
        <w:tc>
          <w:tcPr>
            <w:tcW w:w="1134" w:type="dxa"/>
            <w:tcBorders>
              <w:left w:val="single" w:sz="8" w:space="0" w:color="auto"/>
              <w:right w:val="single" w:sz="8" w:space="0" w:color="auto"/>
            </w:tcBorders>
            <w:noWrap/>
            <w:vAlign w:val="center"/>
          </w:tcPr>
          <w:p w14:paraId="2670869E" w14:textId="77777777" w:rsidR="0070585C" w:rsidRPr="00F23607" w:rsidRDefault="0070585C" w:rsidP="00936F9F">
            <w:pPr>
              <w:jc w:val="right"/>
              <w:rPr>
                <w:sz w:val="22"/>
                <w:szCs w:val="22"/>
              </w:rPr>
            </w:pPr>
            <w:r w:rsidRPr="00F23607">
              <w:rPr>
                <w:sz w:val="22"/>
                <w:szCs w:val="22"/>
              </w:rPr>
              <w:t>34 000</w:t>
            </w:r>
          </w:p>
        </w:tc>
        <w:tc>
          <w:tcPr>
            <w:tcW w:w="1276" w:type="dxa"/>
            <w:tcBorders>
              <w:left w:val="single" w:sz="8" w:space="0" w:color="auto"/>
              <w:right w:val="single" w:sz="8" w:space="0" w:color="auto"/>
            </w:tcBorders>
            <w:noWrap/>
            <w:vAlign w:val="center"/>
            <w:hideMark/>
          </w:tcPr>
          <w:p w14:paraId="45E92846" w14:textId="77777777" w:rsidR="0070585C" w:rsidRPr="00F23607" w:rsidRDefault="0070585C" w:rsidP="00936F9F">
            <w:pPr>
              <w:jc w:val="right"/>
              <w:rPr>
                <w:sz w:val="22"/>
                <w:szCs w:val="22"/>
              </w:rPr>
            </w:pPr>
            <w:r w:rsidRPr="00F23607">
              <w:rPr>
                <w:sz w:val="22"/>
                <w:szCs w:val="22"/>
              </w:rPr>
              <w:t>166,18</w:t>
            </w:r>
          </w:p>
        </w:tc>
      </w:tr>
      <w:tr w:rsidR="0070585C" w:rsidRPr="008B42CF" w14:paraId="376782B7" w14:textId="77777777" w:rsidTr="00936F9F">
        <w:trPr>
          <w:trHeight w:val="170"/>
        </w:trPr>
        <w:tc>
          <w:tcPr>
            <w:tcW w:w="2268" w:type="dxa"/>
            <w:tcBorders>
              <w:right w:val="single" w:sz="8" w:space="0" w:color="auto"/>
            </w:tcBorders>
            <w:shd w:val="clear" w:color="auto" w:fill="FFFFFF"/>
            <w:noWrap/>
            <w:vAlign w:val="center"/>
            <w:hideMark/>
          </w:tcPr>
          <w:p w14:paraId="4A2AD3AF" w14:textId="77777777" w:rsidR="0070585C" w:rsidRPr="00F23607" w:rsidRDefault="0070585C" w:rsidP="00936F9F">
            <w:pPr>
              <w:rPr>
                <w:bCs/>
                <w:sz w:val="22"/>
                <w:szCs w:val="22"/>
              </w:rPr>
            </w:pPr>
            <w:r w:rsidRPr="00F23607">
              <w:rPr>
                <w:bCs/>
                <w:sz w:val="22"/>
                <w:szCs w:val="22"/>
              </w:rPr>
              <w:t>Zlínský</w:t>
            </w:r>
          </w:p>
        </w:tc>
        <w:tc>
          <w:tcPr>
            <w:tcW w:w="1701" w:type="dxa"/>
            <w:tcBorders>
              <w:left w:val="single" w:sz="8" w:space="0" w:color="auto"/>
              <w:right w:val="single" w:sz="8" w:space="0" w:color="auto"/>
            </w:tcBorders>
            <w:noWrap/>
            <w:vAlign w:val="center"/>
            <w:hideMark/>
          </w:tcPr>
          <w:p w14:paraId="6807BAB6" w14:textId="77777777" w:rsidR="0070585C" w:rsidRPr="00F23607" w:rsidRDefault="0070585C" w:rsidP="00936F9F">
            <w:pPr>
              <w:jc w:val="right"/>
              <w:rPr>
                <w:sz w:val="22"/>
              </w:rPr>
            </w:pPr>
            <w:r w:rsidRPr="00F23607">
              <w:rPr>
                <w:sz w:val="22"/>
              </w:rPr>
              <w:t>26 617 191</w:t>
            </w:r>
          </w:p>
        </w:tc>
        <w:tc>
          <w:tcPr>
            <w:tcW w:w="1701" w:type="dxa"/>
            <w:tcBorders>
              <w:left w:val="single" w:sz="8" w:space="0" w:color="auto"/>
              <w:right w:val="single" w:sz="8" w:space="0" w:color="auto"/>
            </w:tcBorders>
            <w:noWrap/>
            <w:vAlign w:val="center"/>
            <w:hideMark/>
          </w:tcPr>
          <w:p w14:paraId="0B92C5AA" w14:textId="77777777" w:rsidR="0070585C" w:rsidRPr="00F23607" w:rsidRDefault="0070585C" w:rsidP="00936F9F">
            <w:pPr>
              <w:jc w:val="right"/>
              <w:rPr>
                <w:sz w:val="22"/>
                <w:szCs w:val="22"/>
              </w:rPr>
            </w:pPr>
            <w:r w:rsidRPr="00F23607">
              <w:rPr>
                <w:sz w:val="22"/>
                <w:szCs w:val="22"/>
              </w:rPr>
              <w:t>26 611 991</w:t>
            </w:r>
          </w:p>
        </w:tc>
        <w:tc>
          <w:tcPr>
            <w:tcW w:w="1134" w:type="dxa"/>
            <w:tcBorders>
              <w:left w:val="single" w:sz="8" w:space="0" w:color="auto"/>
              <w:right w:val="single" w:sz="8" w:space="0" w:color="auto"/>
            </w:tcBorders>
            <w:noWrap/>
            <w:vAlign w:val="center"/>
          </w:tcPr>
          <w:p w14:paraId="18B5D3AA" w14:textId="77777777" w:rsidR="0070585C" w:rsidRPr="00F23607" w:rsidRDefault="0070585C" w:rsidP="00936F9F">
            <w:pPr>
              <w:jc w:val="right"/>
              <w:rPr>
                <w:sz w:val="22"/>
                <w:szCs w:val="22"/>
              </w:rPr>
            </w:pPr>
            <w:r w:rsidRPr="00F23607">
              <w:rPr>
                <w:sz w:val="22"/>
                <w:szCs w:val="22"/>
              </w:rPr>
              <w:t>5 200</w:t>
            </w:r>
          </w:p>
        </w:tc>
        <w:tc>
          <w:tcPr>
            <w:tcW w:w="1276" w:type="dxa"/>
            <w:tcBorders>
              <w:left w:val="single" w:sz="8" w:space="0" w:color="auto"/>
              <w:right w:val="single" w:sz="8" w:space="0" w:color="auto"/>
            </w:tcBorders>
            <w:noWrap/>
            <w:vAlign w:val="center"/>
            <w:hideMark/>
          </w:tcPr>
          <w:p w14:paraId="1285F07C" w14:textId="77777777" w:rsidR="0070585C" w:rsidRPr="00F23607" w:rsidRDefault="0070585C" w:rsidP="00936F9F">
            <w:pPr>
              <w:jc w:val="right"/>
              <w:rPr>
                <w:sz w:val="22"/>
                <w:szCs w:val="22"/>
              </w:rPr>
            </w:pPr>
            <w:r w:rsidRPr="00F23607">
              <w:rPr>
                <w:sz w:val="22"/>
                <w:szCs w:val="22"/>
              </w:rPr>
              <w:t>64,58</w:t>
            </w:r>
          </w:p>
        </w:tc>
      </w:tr>
      <w:tr w:rsidR="0070585C" w:rsidRPr="008B42CF" w14:paraId="6F7EC256" w14:textId="77777777" w:rsidTr="00936F9F">
        <w:trPr>
          <w:trHeight w:val="170"/>
        </w:trPr>
        <w:tc>
          <w:tcPr>
            <w:tcW w:w="2268" w:type="dxa"/>
            <w:tcBorders>
              <w:bottom w:val="single" w:sz="8" w:space="0" w:color="auto"/>
              <w:right w:val="single" w:sz="8" w:space="0" w:color="auto"/>
            </w:tcBorders>
            <w:shd w:val="clear" w:color="auto" w:fill="FFFFFF"/>
            <w:noWrap/>
            <w:vAlign w:val="center"/>
            <w:hideMark/>
          </w:tcPr>
          <w:p w14:paraId="190E6CC4" w14:textId="77777777" w:rsidR="0070585C" w:rsidRPr="00F23607" w:rsidRDefault="0070585C" w:rsidP="00936F9F">
            <w:pPr>
              <w:rPr>
                <w:bCs/>
                <w:sz w:val="22"/>
                <w:szCs w:val="22"/>
              </w:rPr>
            </w:pPr>
            <w:r w:rsidRPr="00F23607">
              <w:rPr>
                <w:bCs/>
                <w:sz w:val="22"/>
                <w:szCs w:val="22"/>
              </w:rPr>
              <w:t>Moravskoslezský</w:t>
            </w:r>
          </w:p>
        </w:tc>
        <w:tc>
          <w:tcPr>
            <w:tcW w:w="1701" w:type="dxa"/>
            <w:tcBorders>
              <w:left w:val="single" w:sz="8" w:space="0" w:color="auto"/>
              <w:bottom w:val="single" w:sz="8" w:space="0" w:color="auto"/>
              <w:right w:val="single" w:sz="8" w:space="0" w:color="auto"/>
            </w:tcBorders>
            <w:noWrap/>
            <w:vAlign w:val="center"/>
            <w:hideMark/>
          </w:tcPr>
          <w:p w14:paraId="596F5D37" w14:textId="77777777" w:rsidR="0070585C" w:rsidRPr="00F23607" w:rsidRDefault="0070585C" w:rsidP="00936F9F">
            <w:pPr>
              <w:jc w:val="right"/>
              <w:rPr>
                <w:sz w:val="22"/>
              </w:rPr>
            </w:pPr>
            <w:r w:rsidRPr="00F23607">
              <w:rPr>
                <w:sz w:val="22"/>
              </w:rPr>
              <w:t>194 781 881</w:t>
            </w:r>
          </w:p>
        </w:tc>
        <w:tc>
          <w:tcPr>
            <w:tcW w:w="1701" w:type="dxa"/>
            <w:tcBorders>
              <w:left w:val="single" w:sz="8" w:space="0" w:color="auto"/>
              <w:bottom w:val="single" w:sz="8" w:space="0" w:color="auto"/>
              <w:right w:val="single" w:sz="8" w:space="0" w:color="auto"/>
            </w:tcBorders>
            <w:noWrap/>
            <w:vAlign w:val="center"/>
            <w:hideMark/>
          </w:tcPr>
          <w:p w14:paraId="2057E1CC" w14:textId="77777777" w:rsidR="0070585C" w:rsidRPr="00F23607" w:rsidRDefault="0070585C" w:rsidP="00936F9F">
            <w:pPr>
              <w:jc w:val="right"/>
              <w:rPr>
                <w:sz w:val="22"/>
                <w:szCs w:val="22"/>
              </w:rPr>
            </w:pPr>
            <w:r w:rsidRPr="00F23607">
              <w:rPr>
                <w:sz w:val="22"/>
                <w:szCs w:val="22"/>
              </w:rPr>
              <w:t>194 702 881</w:t>
            </w:r>
          </w:p>
        </w:tc>
        <w:tc>
          <w:tcPr>
            <w:tcW w:w="1134" w:type="dxa"/>
            <w:tcBorders>
              <w:left w:val="single" w:sz="8" w:space="0" w:color="auto"/>
              <w:bottom w:val="single" w:sz="8" w:space="0" w:color="auto"/>
              <w:right w:val="single" w:sz="8" w:space="0" w:color="auto"/>
            </w:tcBorders>
            <w:noWrap/>
            <w:vAlign w:val="center"/>
          </w:tcPr>
          <w:p w14:paraId="667E0847" w14:textId="77777777" w:rsidR="0070585C" w:rsidRPr="00F23607" w:rsidRDefault="0070585C" w:rsidP="00936F9F">
            <w:pPr>
              <w:jc w:val="right"/>
              <w:rPr>
                <w:sz w:val="22"/>
                <w:szCs w:val="22"/>
              </w:rPr>
            </w:pPr>
            <w:r w:rsidRPr="00F23607">
              <w:rPr>
                <w:sz w:val="22"/>
                <w:szCs w:val="22"/>
              </w:rPr>
              <w:t>79 000</w:t>
            </w:r>
          </w:p>
        </w:tc>
        <w:tc>
          <w:tcPr>
            <w:tcW w:w="1276" w:type="dxa"/>
            <w:tcBorders>
              <w:left w:val="single" w:sz="8" w:space="0" w:color="auto"/>
              <w:bottom w:val="single" w:sz="8" w:space="0" w:color="auto"/>
              <w:right w:val="single" w:sz="8" w:space="0" w:color="auto"/>
            </w:tcBorders>
            <w:noWrap/>
            <w:vAlign w:val="center"/>
            <w:hideMark/>
          </w:tcPr>
          <w:p w14:paraId="0C107C57" w14:textId="77777777" w:rsidR="0070585C" w:rsidRPr="00F23607" w:rsidRDefault="0070585C" w:rsidP="00936F9F">
            <w:pPr>
              <w:jc w:val="right"/>
              <w:rPr>
                <w:sz w:val="22"/>
                <w:szCs w:val="22"/>
              </w:rPr>
            </w:pPr>
            <w:r w:rsidRPr="00F23607">
              <w:rPr>
                <w:sz w:val="22"/>
                <w:szCs w:val="22"/>
              </w:rPr>
              <w:t>474,59</w:t>
            </w:r>
          </w:p>
        </w:tc>
      </w:tr>
      <w:tr w:rsidR="0070585C" w:rsidRPr="008B42CF" w14:paraId="047F7DAD" w14:textId="77777777" w:rsidTr="00936F9F">
        <w:trPr>
          <w:trHeight w:val="170"/>
        </w:trPr>
        <w:tc>
          <w:tcPr>
            <w:tcW w:w="2268" w:type="dxa"/>
            <w:tcBorders>
              <w:top w:val="single" w:sz="8" w:space="0" w:color="auto"/>
              <w:bottom w:val="single" w:sz="8" w:space="0" w:color="auto"/>
              <w:right w:val="single" w:sz="8" w:space="0" w:color="auto"/>
            </w:tcBorders>
            <w:noWrap/>
            <w:vAlign w:val="center"/>
            <w:hideMark/>
          </w:tcPr>
          <w:p w14:paraId="6CF247F0" w14:textId="77777777" w:rsidR="0070585C" w:rsidRPr="00F23607" w:rsidRDefault="0070585C" w:rsidP="00936F9F">
            <w:pPr>
              <w:rPr>
                <w:bCs/>
                <w:sz w:val="22"/>
                <w:szCs w:val="22"/>
              </w:rPr>
            </w:pPr>
            <w:r w:rsidRPr="00F23607">
              <w:rPr>
                <w:bCs/>
                <w:sz w:val="22"/>
                <w:szCs w:val="22"/>
              </w:rPr>
              <w:t>RgŠ celkem:</w:t>
            </w:r>
          </w:p>
        </w:tc>
        <w:tc>
          <w:tcPr>
            <w:tcW w:w="1701" w:type="dxa"/>
            <w:tcBorders>
              <w:top w:val="single" w:sz="8" w:space="0" w:color="auto"/>
              <w:left w:val="single" w:sz="8" w:space="0" w:color="auto"/>
              <w:bottom w:val="single" w:sz="8" w:space="0" w:color="auto"/>
              <w:right w:val="single" w:sz="8" w:space="0" w:color="auto"/>
            </w:tcBorders>
            <w:noWrap/>
            <w:vAlign w:val="center"/>
            <w:hideMark/>
          </w:tcPr>
          <w:p w14:paraId="25BEB534" w14:textId="77777777" w:rsidR="0070585C" w:rsidRPr="00F23607" w:rsidRDefault="0070585C" w:rsidP="00936F9F">
            <w:pPr>
              <w:jc w:val="right"/>
              <w:rPr>
                <w:sz w:val="22"/>
              </w:rPr>
            </w:pPr>
            <w:r w:rsidRPr="00F23607">
              <w:rPr>
                <w:sz w:val="22"/>
              </w:rPr>
              <w:t>1 016 997 588</w:t>
            </w:r>
          </w:p>
        </w:tc>
        <w:tc>
          <w:tcPr>
            <w:tcW w:w="1701" w:type="dxa"/>
            <w:tcBorders>
              <w:top w:val="single" w:sz="8" w:space="0" w:color="auto"/>
              <w:left w:val="single" w:sz="8" w:space="0" w:color="auto"/>
              <w:bottom w:val="single" w:sz="8" w:space="0" w:color="auto"/>
              <w:right w:val="single" w:sz="8" w:space="0" w:color="auto"/>
            </w:tcBorders>
            <w:noWrap/>
            <w:vAlign w:val="center"/>
            <w:hideMark/>
          </w:tcPr>
          <w:p w14:paraId="203A5ED7" w14:textId="77777777" w:rsidR="0070585C" w:rsidRPr="00F23607" w:rsidRDefault="0070585C" w:rsidP="00936F9F">
            <w:pPr>
              <w:jc w:val="right"/>
              <w:rPr>
                <w:sz w:val="22"/>
                <w:szCs w:val="22"/>
              </w:rPr>
            </w:pPr>
            <w:r w:rsidRPr="00F23607">
              <w:rPr>
                <w:sz w:val="22"/>
                <w:szCs w:val="22"/>
              </w:rPr>
              <w:t>1 016 359 288</w:t>
            </w:r>
          </w:p>
        </w:tc>
        <w:tc>
          <w:tcPr>
            <w:tcW w:w="1134" w:type="dxa"/>
            <w:tcBorders>
              <w:top w:val="single" w:sz="8" w:space="0" w:color="auto"/>
              <w:left w:val="single" w:sz="8" w:space="0" w:color="auto"/>
              <w:bottom w:val="single" w:sz="8" w:space="0" w:color="auto"/>
              <w:right w:val="single" w:sz="8" w:space="0" w:color="auto"/>
            </w:tcBorders>
            <w:noWrap/>
            <w:vAlign w:val="center"/>
          </w:tcPr>
          <w:p w14:paraId="7A551480" w14:textId="77777777" w:rsidR="0070585C" w:rsidRPr="00F23607" w:rsidRDefault="0070585C" w:rsidP="00936F9F">
            <w:pPr>
              <w:jc w:val="right"/>
              <w:rPr>
                <w:sz w:val="22"/>
                <w:szCs w:val="22"/>
              </w:rPr>
            </w:pPr>
            <w:r w:rsidRPr="00F23607">
              <w:rPr>
                <w:sz w:val="22"/>
                <w:szCs w:val="22"/>
              </w:rPr>
              <w:t>638 300</w:t>
            </w:r>
          </w:p>
        </w:tc>
        <w:tc>
          <w:tcPr>
            <w:tcW w:w="1276" w:type="dxa"/>
            <w:tcBorders>
              <w:top w:val="single" w:sz="8" w:space="0" w:color="auto"/>
              <w:left w:val="single" w:sz="8" w:space="0" w:color="auto"/>
              <w:bottom w:val="single" w:sz="8" w:space="0" w:color="auto"/>
              <w:right w:val="single" w:sz="8" w:space="0" w:color="auto"/>
            </w:tcBorders>
            <w:noWrap/>
            <w:vAlign w:val="center"/>
            <w:hideMark/>
          </w:tcPr>
          <w:p w14:paraId="2D006DC2" w14:textId="77777777" w:rsidR="0070585C" w:rsidRPr="00F23607" w:rsidRDefault="0070585C" w:rsidP="00936F9F">
            <w:pPr>
              <w:jc w:val="right"/>
              <w:rPr>
                <w:sz w:val="22"/>
                <w:szCs w:val="22"/>
              </w:rPr>
            </w:pPr>
            <w:r w:rsidRPr="00F23607">
              <w:rPr>
                <w:sz w:val="22"/>
                <w:szCs w:val="22"/>
              </w:rPr>
              <w:t>2 472,66</w:t>
            </w:r>
          </w:p>
        </w:tc>
      </w:tr>
    </w:tbl>
    <w:p w14:paraId="2A05134A" w14:textId="77777777" w:rsidR="0070585C" w:rsidRDefault="0070585C" w:rsidP="0043025F">
      <w:pPr>
        <w:pStyle w:val="Text"/>
      </w:pPr>
    </w:p>
    <w:p w14:paraId="619DED30" w14:textId="77777777" w:rsidR="0070585C" w:rsidRPr="003F61AA" w:rsidRDefault="0070585C" w:rsidP="003F61AA">
      <w:pPr>
        <w:rPr>
          <w:b/>
        </w:rPr>
      </w:pPr>
      <w:bookmarkStart w:id="113" w:name="_Toc5965638"/>
      <w:r w:rsidRPr="003F61AA">
        <w:rPr>
          <w:b/>
        </w:rPr>
        <w:t xml:space="preserve">Tabulka </w:t>
      </w:r>
      <w:r w:rsidR="005F53B0" w:rsidRPr="003F61AA">
        <w:rPr>
          <w:b/>
          <w:noProof/>
        </w:rPr>
        <w:fldChar w:fldCharType="begin"/>
      </w:r>
      <w:r w:rsidR="005F53B0" w:rsidRPr="003F61AA">
        <w:rPr>
          <w:b/>
          <w:noProof/>
        </w:rPr>
        <w:instrText xml:space="preserve"> STYLEREF 1 \s </w:instrText>
      </w:r>
      <w:r w:rsidR="005F53B0" w:rsidRPr="003F61AA">
        <w:rPr>
          <w:b/>
          <w:noProof/>
        </w:rPr>
        <w:fldChar w:fldCharType="separate"/>
      </w:r>
      <w:r w:rsidR="00C04B69">
        <w:rPr>
          <w:b/>
          <w:noProof/>
        </w:rPr>
        <w:t>C</w:t>
      </w:r>
      <w:r w:rsidR="005F53B0" w:rsidRPr="003F61AA">
        <w:rPr>
          <w:b/>
          <w:noProof/>
        </w:rPr>
        <w:fldChar w:fldCharType="end"/>
      </w:r>
      <w:r w:rsidR="00C308CA" w:rsidRPr="003F61AA">
        <w:rPr>
          <w:b/>
        </w:rPr>
        <w:noBreakHyphen/>
      </w:r>
      <w:r w:rsidR="005F53B0" w:rsidRPr="003F61AA">
        <w:rPr>
          <w:b/>
          <w:noProof/>
        </w:rPr>
        <w:fldChar w:fldCharType="begin"/>
      </w:r>
      <w:r w:rsidR="005F53B0" w:rsidRPr="003F61AA">
        <w:rPr>
          <w:b/>
          <w:noProof/>
        </w:rPr>
        <w:instrText xml:space="preserve"> SEQ Tabulka \* ARABIC \s 1 </w:instrText>
      </w:r>
      <w:r w:rsidR="005F53B0" w:rsidRPr="003F61AA">
        <w:rPr>
          <w:b/>
          <w:noProof/>
        </w:rPr>
        <w:fldChar w:fldCharType="separate"/>
      </w:r>
      <w:r w:rsidR="00C04B69">
        <w:rPr>
          <w:b/>
          <w:noProof/>
        </w:rPr>
        <w:t>17</w:t>
      </w:r>
      <w:r w:rsidR="005F53B0" w:rsidRPr="003F61AA">
        <w:rPr>
          <w:b/>
          <w:noProof/>
        </w:rPr>
        <w:fldChar w:fldCharType="end"/>
      </w:r>
      <w:r w:rsidRPr="003F61AA">
        <w:rPr>
          <w:b/>
        </w:rPr>
        <w:t>: Po normativním rozpisu rozpočtu a úpravě rozpisu rozpočtu není rozepsáno (celková rozpočtová rezerva RgŠ):</w:t>
      </w:r>
      <w:bookmarkEnd w:id="113"/>
    </w:p>
    <w:tbl>
      <w:tblPr>
        <w:tblW w:w="8647" w:type="dxa"/>
        <w:tblInd w:w="70" w:type="dxa"/>
        <w:tblLayout w:type="fixed"/>
        <w:tblCellMar>
          <w:left w:w="70" w:type="dxa"/>
          <w:right w:w="70" w:type="dxa"/>
        </w:tblCellMar>
        <w:tblLook w:val="0000" w:firstRow="0" w:lastRow="0" w:firstColumn="0" w:lastColumn="0" w:noHBand="0" w:noVBand="0"/>
      </w:tblPr>
      <w:tblGrid>
        <w:gridCol w:w="2410"/>
        <w:gridCol w:w="1701"/>
        <w:gridCol w:w="1843"/>
        <w:gridCol w:w="1559"/>
        <w:gridCol w:w="1134"/>
      </w:tblGrid>
      <w:tr w:rsidR="0070585C" w:rsidRPr="008B42CF" w14:paraId="0374C665" w14:textId="77777777" w:rsidTr="00936F9F">
        <w:trPr>
          <w:trHeight w:val="491"/>
        </w:trPr>
        <w:tc>
          <w:tcPr>
            <w:tcW w:w="2410" w:type="dxa"/>
            <w:tcBorders>
              <w:top w:val="single" w:sz="8" w:space="0" w:color="auto"/>
              <w:left w:val="single" w:sz="8" w:space="0" w:color="auto"/>
              <w:bottom w:val="single" w:sz="4" w:space="0" w:color="auto"/>
              <w:right w:val="single" w:sz="8" w:space="0" w:color="auto"/>
            </w:tcBorders>
            <w:shd w:val="clear" w:color="auto" w:fill="FFFFFF"/>
            <w:vAlign w:val="bottom"/>
          </w:tcPr>
          <w:p w14:paraId="02A1348A" w14:textId="77777777" w:rsidR="0070585C" w:rsidRPr="008B42CF" w:rsidRDefault="0070585C" w:rsidP="00936F9F">
            <w:pPr>
              <w:ind w:left="-1063"/>
              <w:jc w:val="center"/>
              <w:rPr>
                <w:b/>
                <w:bCs/>
                <w:szCs w:val="24"/>
                <w:highlight w:val="yellow"/>
              </w:rPr>
            </w:pPr>
          </w:p>
        </w:tc>
        <w:tc>
          <w:tcPr>
            <w:tcW w:w="1701" w:type="dxa"/>
            <w:tcBorders>
              <w:top w:val="single" w:sz="8" w:space="0" w:color="auto"/>
              <w:left w:val="single" w:sz="8" w:space="0" w:color="auto"/>
              <w:bottom w:val="single" w:sz="4" w:space="0" w:color="auto"/>
              <w:right w:val="single" w:sz="8" w:space="0" w:color="auto"/>
            </w:tcBorders>
            <w:shd w:val="clear" w:color="auto" w:fill="FFFFFF"/>
            <w:vAlign w:val="center"/>
          </w:tcPr>
          <w:p w14:paraId="7D694D66" w14:textId="77777777" w:rsidR="0070585C" w:rsidRPr="003869FE" w:rsidRDefault="0070585C" w:rsidP="00936F9F">
            <w:pPr>
              <w:jc w:val="center"/>
              <w:rPr>
                <w:b/>
                <w:bCs/>
                <w:szCs w:val="24"/>
              </w:rPr>
            </w:pPr>
            <w:r w:rsidRPr="003869FE">
              <w:rPr>
                <w:b/>
                <w:bCs/>
                <w:szCs w:val="24"/>
              </w:rPr>
              <w:t>NIV celkem</w:t>
            </w:r>
          </w:p>
          <w:p w14:paraId="4BCB35E5" w14:textId="77777777" w:rsidR="0070585C" w:rsidRPr="003869FE" w:rsidRDefault="0070585C" w:rsidP="00936F9F">
            <w:pPr>
              <w:jc w:val="center"/>
              <w:rPr>
                <w:b/>
                <w:bCs/>
                <w:szCs w:val="24"/>
              </w:rPr>
            </w:pPr>
            <w:r w:rsidRPr="003869FE">
              <w:rPr>
                <w:b/>
                <w:bCs/>
                <w:szCs w:val="24"/>
              </w:rPr>
              <w:t>v</w:t>
            </w:r>
            <w:r>
              <w:rPr>
                <w:b/>
                <w:bCs/>
                <w:szCs w:val="24"/>
              </w:rPr>
              <w:t> </w:t>
            </w:r>
            <w:r w:rsidRPr="003869FE">
              <w:rPr>
                <w:b/>
                <w:bCs/>
                <w:szCs w:val="24"/>
              </w:rPr>
              <w:t>Kč</w:t>
            </w:r>
          </w:p>
        </w:tc>
        <w:tc>
          <w:tcPr>
            <w:tcW w:w="1843" w:type="dxa"/>
            <w:tcBorders>
              <w:top w:val="single" w:sz="8" w:space="0" w:color="auto"/>
              <w:left w:val="nil"/>
              <w:bottom w:val="single" w:sz="4" w:space="0" w:color="auto"/>
              <w:right w:val="single" w:sz="8" w:space="0" w:color="auto"/>
            </w:tcBorders>
            <w:shd w:val="clear" w:color="auto" w:fill="FFFFFF"/>
            <w:vAlign w:val="center"/>
          </w:tcPr>
          <w:p w14:paraId="4DDF7C11" w14:textId="77777777" w:rsidR="0070585C" w:rsidRPr="003869FE" w:rsidRDefault="0070585C" w:rsidP="00936F9F">
            <w:pPr>
              <w:jc w:val="center"/>
              <w:rPr>
                <w:b/>
                <w:bCs/>
                <w:szCs w:val="24"/>
              </w:rPr>
            </w:pPr>
            <w:r w:rsidRPr="003869FE">
              <w:rPr>
                <w:b/>
                <w:bCs/>
                <w:szCs w:val="24"/>
              </w:rPr>
              <w:t>MP vč. odvodů</w:t>
            </w:r>
          </w:p>
          <w:p w14:paraId="11A764E8" w14:textId="77777777" w:rsidR="0070585C" w:rsidRPr="003869FE" w:rsidRDefault="0070585C" w:rsidP="00936F9F">
            <w:pPr>
              <w:jc w:val="center"/>
              <w:rPr>
                <w:b/>
                <w:bCs/>
                <w:szCs w:val="24"/>
              </w:rPr>
            </w:pPr>
            <w:r w:rsidRPr="003869FE">
              <w:rPr>
                <w:b/>
                <w:bCs/>
                <w:szCs w:val="24"/>
              </w:rPr>
              <w:t>v Kč</w:t>
            </w:r>
          </w:p>
        </w:tc>
        <w:tc>
          <w:tcPr>
            <w:tcW w:w="1559" w:type="dxa"/>
            <w:tcBorders>
              <w:top w:val="single" w:sz="8" w:space="0" w:color="auto"/>
              <w:left w:val="single" w:sz="4" w:space="0" w:color="auto"/>
              <w:bottom w:val="single" w:sz="4" w:space="0" w:color="auto"/>
              <w:right w:val="single" w:sz="8" w:space="0" w:color="auto"/>
            </w:tcBorders>
            <w:shd w:val="clear" w:color="auto" w:fill="FFFFFF"/>
            <w:vAlign w:val="center"/>
          </w:tcPr>
          <w:p w14:paraId="5DD6CBC1" w14:textId="77777777" w:rsidR="0070585C" w:rsidRPr="003869FE" w:rsidRDefault="0070585C" w:rsidP="00936F9F">
            <w:pPr>
              <w:jc w:val="center"/>
              <w:rPr>
                <w:b/>
                <w:bCs/>
                <w:szCs w:val="24"/>
              </w:rPr>
            </w:pPr>
            <w:r w:rsidRPr="003869FE">
              <w:rPr>
                <w:b/>
                <w:bCs/>
                <w:szCs w:val="24"/>
              </w:rPr>
              <w:t>ONIV</w:t>
            </w:r>
          </w:p>
          <w:p w14:paraId="1453A327" w14:textId="77777777" w:rsidR="0070585C" w:rsidRPr="003869FE" w:rsidRDefault="0070585C" w:rsidP="00936F9F">
            <w:pPr>
              <w:jc w:val="center"/>
              <w:rPr>
                <w:b/>
                <w:bCs/>
                <w:szCs w:val="24"/>
              </w:rPr>
            </w:pPr>
            <w:r w:rsidRPr="003869FE">
              <w:rPr>
                <w:b/>
                <w:bCs/>
                <w:szCs w:val="24"/>
              </w:rPr>
              <w:t>v Kč</w:t>
            </w:r>
          </w:p>
        </w:tc>
        <w:tc>
          <w:tcPr>
            <w:tcW w:w="1134" w:type="dxa"/>
            <w:tcBorders>
              <w:top w:val="single" w:sz="8" w:space="0" w:color="auto"/>
              <w:left w:val="nil"/>
              <w:bottom w:val="single" w:sz="4" w:space="0" w:color="auto"/>
              <w:right w:val="single" w:sz="8" w:space="0" w:color="auto"/>
            </w:tcBorders>
            <w:shd w:val="clear" w:color="auto" w:fill="FFFFFF"/>
            <w:vAlign w:val="center"/>
          </w:tcPr>
          <w:p w14:paraId="67A6C231" w14:textId="77777777" w:rsidR="0070585C" w:rsidRPr="003869FE" w:rsidRDefault="0070585C" w:rsidP="00936F9F">
            <w:pPr>
              <w:jc w:val="center"/>
              <w:rPr>
                <w:b/>
                <w:bCs/>
                <w:szCs w:val="24"/>
              </w:rPr>
            </w:pPr>
            <w:r w:rsidRPr="003869FE">
              <w:rPr>
                <w:b/>
                <w:bCs/>
                <w:szCs w:val="24"/>
              </w:rPr>
              <w:t>Limit PZ</w:t>
            </w:r>
          </w:p>
        </w:tc>
      </w:tr>
      <w:tr w:rsidR="0070585C" w:rsidRPr="008B42CF" w14:paraId="4DD10267" w14:textId="77777777" w:rsidTr="00936F9F">
        <w:trPr>
          <w:trHeight w:val="180"/>
        </w:trPr>
        <w:tc>
          <w:tcPr>
            <w:tcW w:w="2410" w:type="dxa"/>
            <w:tcBorders>
              <w:top w:val="single" w:sz="4" w:space="0" w:color="auto"/>
              <w:left w:val="single" w:sz="8" w:space="0" w:color="auto"/>
              <w:bottom w:val="single" w:sz="8" w:space="0" w:color="auto"/>
              <w:right w:val="single" w:sz="8" w:space="0" w:color="auto"/>
            </w:tcBorders>
            <w:shd w:val="clear" w:color="auto" w:fill="FFFFFF"/>
            <w:vAlign w:val="bottom"/>
          </w:tcPr>
          <w:p w14:paraId="31EBB615" w14:textId="77777777" w:rsidR="0070585C" w:rsidRPr="008B42CF" w:rsidRDefault="0070585C" w:rsidP="00936F9F">
            <w:pPr>
              <w:rPr>
                <w:b/>
                <w:szCs w:val="24"/>
                <w:highlight w:val="yellow"/>
              </w:rPr>
            </w:pPr>
            <w:r w:rsidRPr="003869FE">
              <w:rPr>
                <w:b/>
                <w:color w:val="000000"/>
                <w:szCs w:val="24"/>
              </w:rPr>
              <w:t xml:space="preserve">Zbývající rozpočtová rezerva </w:t>
            </w:r>
          </w:p>
        </w:tc>
        <w:tc>
          <w:tcPr>
            <w:tcW w:w="1701" w:type="dxa"/>
            <w:tcBorders>
              <w:top w:val="single" w:sz="4" w:space="0" w:color="auto"/>
              <w:left w:val="single" w:sz="8" w:space="0" w:color="auto"/>
              <w:bottom w:val="single" w:sz="8" w:space="0" w:color="auto"/>
              <w:right w:val="single" w:sz="8" w:space="0" w:color="auto"/>
            </w:tcBorders>
            <w:shd w:val="clear" w:color="auto" w:fill="FFFFFF"/>
            <w:vAlign w:val="center"/>
          </w:tcPr>
          <w:p w14:paraId="3AB50F9B" w14:textId="77777777" w:rsidR="0070585C" w:rsidRPr="008B42CF" w:rsidRDefault="0070585C" w:rsidP="00936F9F">
            <w:pPr>
              <w:jc w:val="center"/>
              <w:rPr>
                <w:b/>
                <w:szCs w:val="24"/>
                <w:highlight w:val="yellow"/>
              </w:rPr>
            </w:pPr>
            <w:r w:rsidRPr="00280C29">
              <w:rPr>
                <w:b/>
                <w:szCs w:val="24"/>
              </w:rPr>
              <w:t>238 173 914</w:t>
            </w:r>
          </w:p>
        </w:tc>
        <w:tc>
          <w:tcPr>
            <w:tcW w:w="1843" w:type="dxa"/>
            <w:tcBorders>
              <w:top w:val="single" w:sz="4" w:space="0" w:color="auto"/>
              <w:left w:val="nil"/>
              <w:bottom w:val="single" w:sz="8" w:space="0" w:color="auto"/>
              <w:right w:val="single" w:sz="8" w:space="0" w:color="auto"/>
            </w:tcBorders>
            <w:shd w:val="clear" w:color="auto" w:fill="FFFFFF"/>
            <w:vAlign w:val="center"/>
          </w:tcPr>
          <w:p w14:paraId="4F248E31" w14:textId="77777777" w:rsidR="0070585C" w:rsidRPr="008B42CF" w:rsidRDefault="0070585C" w:rsidP="00936F9F">
            <w:pPr>
              <w:jc w:val="center"/>
              <w:rPr>
                <w:b/>
                <w:szCs w:val="24"/>
                <w:highlight w:val="yellow"/>
              </w:rPr>
            </w:pPr>
            <w:r w:rsidRPr="00280C29">
              <w:rPr>
                <w:b/>
                <w:szCs w:val="24"/>
              </w:rPr>
              <w:t>85 855 595</w:t>
            </w:r>
          </w:p>
        </w:tc>
        <w:tc>
          <w:tcPr>
            <w:tcW w:w="1559" w:type="dxa"/>
            <w:tcBorders>
              <w:top w:val="single" w:sz="4" w:space="0" w:color="auto"/>
              <w:left w:val="single" w:sz="4" w:space="0" w:color="auto"/>
              <w:bottom w:val="single" w:sz="8" w:space="0" w:color="auto"/>
              <w:right w:val="single" w:sz="8" w:space="0" w:color="auto"/>
            </w:tcBorders>
            <w:shd w:val="clear" w:color="auto" w:fill="FFFFFF"/>
            <w:vAlign w:val="center"/>
          </w:tcPr>
          <w:p w14:paraId="486FC252" w14:textId="77777777" w:rsidR="0070585C" w:rsidRPr="008B42CF" w:rsidRDefault="0070585C" w:rsidP="00936F9F">
            <w:pPr>
              <w:jc w:val="center"/>
              <w:rPr>
                <w:b/>
                <w:szCs w:val="24"/>
                <w:highlight w:val="yellow"/>
              </w:rPr>
            </w:pPr>
            <w:r w:rsidRPr="00280C29">
              <w:rPr>
                <w:b/>
                <w:szCs w:val="24"/>
              </w:rPr>
              <w:t>152 318 319</w:t>
            </w:r>
          </w:p>
        </w:tc>
        <w:tc>
          <w:tcPr>
            <w:tcW w:w="1134" w:type="dxa"/>
            <w:tcBorders>
              <w:top w:val="single" w:sz="4" w:space="0" w:color="auto"/>
              <w:left w:val="nil"/>
              <w:bottom w:val="single" w:sz="8" w:space="0" w:color="auto"/>
              <w:right w:val="single" w:sz="8" w:space="0" w:color="auto"/>
            </w:tcBorders>
            <w:shd w:val="clear" w:color="auto" w:fill="FFFFFF"/>
            <w:vAlign w:val="center"/>
          </w:tcPr>
          <w:p w14:paraId="027E9970" w14:textId="77777777" w:rsidR="0070585C" w:rsidRPr="008B42CF" w:rsidRDefault="0070585C" w:rsidP="00936F9F">
            <w:pPr>
              <w:jc w:val="center"/>
              <w:rPr>
                <w:b/>
                <w:szCs w:val="24"/>
                <w:highlight w:val="yellow"/>
              </w:rPr>
            </w:pPr>
            <w:r>
              <w:rPr>
                <w:b/>
                <w:szCs w:val="24"/>
              </w:rPr>
              <w:t>878</w:t>
            </w:r>
            <w:r w:rsidRPr="00280C29">
              <w:rPr>
                <w:b/>
                <w:szCs w:val="24"/>
              </w:rPr>
              <w:t>,91</w:t>
            </w:r>
          </w:p>
        </w:tc>
      </w:tr>
    </w:tbl>
    <w:p w14:paraId="0FAB52E0" w14:textId="77777777" w:rsidR="00F83DD6" w:rsidRDefault="00F83DD6" w:rsidP="0070585C">
      <w:pPr>
        <w:pStyle w:val="Text"/>
      </w:pPr>
    </w:p>
    <w:p w14:paraId="66560368" w14:textId="77777777" w:rsidR="0070585C" w:rsidRPr="0056524A" w:rsidRDefault="0070585C" w:rsidP="0070585C">
      <w:pPr>
        <w:pStyle w:val="Text"/>
      </w:pPr>
      <w:r w:rsidRPr="0056524A">
        <w:t xml:space="preserve">Tato rozpočtová rezerva může být v průběhu roku 2019 využita na pokrytí financování nových podpůrných opatření ve školách a školských zařízeních, které nejsou zřizovány kraji, obcemi nebo dobrovolnými svazky obcí, dále k dofinancování dotací soukromému a církevnímu školství podle výsledných reálných potřeb, případně na financování nenadálých výdajů regionálního školství. Rozpočtová rezerva tvoří 0,2 % výdajů RgŠ ÚSC.  </w:t>
      </w:r>
    </w:p>
    <w:p w14:paraId="0CCDA365" w14:textId="77777777" w:rsidR="0070585C" w:rsidRPr="00094D83" w:rsidRDefault="0070585C" w:rsidP="0070585C">
      <w:pPr>
        <w:spacing w:before="120" w:after="240"/>
        <w:jc w:val="left"/>
        <w:rPr>
          <w:b/>
          <w:color w:val="000000"/>
          <w:szCs w:val="24"/>
        </w:rPr>
      </w:pPr>
      <w:r w:rsidRPr="00094D83">
        <w:rPr>
          <w:b/>
          <w:color w:val="000000"/>
          <w:szCs w:val="24"/>
        </w:rPr>
        <w:t xml:space="preserve">Stanovení závazných ukazatelů </w:t>
      </w:r>
      <w:r w:rsidRPr="00094D83">
        <w:rPr>
          <w:b/>
          <w:bCs/>
          <w:szCs w:val="24"/>
        </w:rPr>
        <w:t>normativního rozpisu rozpočtu RgŠ ÚSC na rok 2019</w:t>
      </w:r>
    </w:p>
    <w:p w14:paraId="480221C6" w14:textId="77777777" w:rsidR="0070585C" w:rsidRPr="007A23A7" w:rsidRDefault="0070585C" w:rsidP="00E65FA5">
      <w:pPr>
        <w:pStyle w:val="Text"/>
      </w:pPr>
      <w:r w:rsidRPr="007A23A7">
        <w:t xml:space="preserve">Při stanovení závazných ukazatelů regulace zaměstnanosti z normativně rozepsaných mzdových prostředků na rok 2019 byl vyčleněn ukazatel prostředky určené na OON na úrovni 86,63 % poslední úpravy rozpočtu roku 2018 a od tohoto ukazatele se pak odvíjí stanovení závazného ukazatele prostředků na platy z celkového rozepsaného objemu MP. </w:t>
      </w:r>
    </w:p>
    <w:p w14:paraId="14D678BB" w14:textId="67EE03B0" w:rsidR="0070585C" w:rsidRPr="007A23A7" w:rsidRDefault="0070585C" w:rsidP="00E65FA5">
      <w:pPr>
        <w:pStyle w:val="Text"/>
      </w:pPr>
      <w:r w:rsidRPr="007A23A7">
        <w:t xml:space="preserve">Normativní rozpis rozpočtu na rok 2019 prostřednictvím </w:t>
      </w:r>
      <w:r w:rsidR="00A839F5">
        <w:t>RN</w:t>
      </w:r>
      <w:r w:rsidRPr="007A23A7">
        <w:t>, uvedený v</w:t>
      </w:r>
      <w:r>
        <w:t> tabulce C-14</w:t>
      </w:r>
      <w:r w:rsidRPr="007A23A7">
        <w:t>, je ve struktuře závazných ukazatelů stanoven následovně (údaje v Kč):</w:t>
      </w:r>
    </w:p>
    <w:tbl>
      <w:tblPr>
        <w:tblW w:w="4962"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2663"/>
      </w:tblGrid>
      <w:tr w:rsidR="0070585C" w:rsidRPr="007A23A7" w14:paraId="1EF4B648" w14:textId="77777777" w:rsidTr="003666C0">
        <w:trPr>
          <w:trHeight w:val="300"/>
          <w:jc w:val="center"/>
        </w:trPr>
        <w:tc>
          <w:tcPr>
            <w:tcW w:w="2299" w:type="dxa"/>
            <w:shd w:val="clear" w:color="auto" w:fill="auto"/>
            <w:noWrap/>
            <w:vAlign w:val="bottom"/>
            <w:hideMark/>
          </w:tcPr>
          <w:p w14:paraId="02E26292" w14:textId="77777777" w:rsidR="0070585C" w:rsidRPr="007A23A7" w:rsidRDefault="0070585C" w:rsidP="007870CB">
            <w:r w:rsidRPr="007A23A7">
              <w:t>NIV celkem</w:t>
            </w:r>
          </w:p>
        </w:tc>
        <w:tc>
          <w:tcPr>
            <w:tcW w:w="2663" w:type="dxa"/>
            <w:shd w:val="clear" w:color="auto" w:fill="auto"/>
            <w:noWrap/>
            <w:vAlign w:val="bottom"/>
          </w:tcPr>
          <w:p w14:paraId="41EC3D33" w14:textId="77777777" w:rsidR="0070585C" w:rsidRPr="007A23A7" w:rsidRDefault="0070585C" w:rsidP="007870CB">
            <w:pPr>
              <w:jc w:val="right"/>
            </w:pPr>
            <w:r>
              <w:t xml:space="preserve">   </w:t>
            </w:r>
            <w:r w:rsidRPr="007A23A7">
              <w:t>120 686 954 063 Kč</w:t>
            </w:r>
          </w:p>
        </w:tc>
      </w:tr>
      <w:tr w:rsidR="0070585C" w:rsidRPr="00E5669D" w14:paraId="3CF34538" w14:textId="77777777" w:rsidTr="003666C0">
        <w:trPr>
          <w:trHeight w:val="300"/>
          <w:jc w:val="center"/>
        </w:trPr>
        <w:tc>
          <w:tcPr>
            <w:tcW w:w="2299" w:type="dxa"/>
            <w:shd w:val="clear" w:color="auto" w:fill="auto"/>
            <w:noWrap/>
            <w:vAlign w:val="bottom"/>
            <w:hideMark/>
          </w:tcPr>
          <w:p w14:paraId="2D01B017" w14:textId="77777777" w:rsidR="0070585C" w:rsidRPr="009F4EA8" w:rsidRDefault="0070585C" w:rsidP="00936F9F">
            <w:pPr>
              <w:rPr>
                <w:color w:val="000000"/>
                <w:szCs w:val="24"/>
              </w:rPr>
            </w:pPr>
            <w:r w:rsidRPr="009F4EA8">
              <w:rPr>
                <w:color w:val="000000"/>
                <w:szCs w:val="24"/>
              </w:rPr>
              <w:t>Z toho:</w:t>
            </w:r>
          </w:p>
        </w:tc>
        <w:tc>
          <w:tcPr>
            <w:tcW w:w="2663" w:type="dxa"/>
            <w:shd w:val="clear" w:color="auto" w:fill="auto"/>
            <w:noWrap/>
            <w:vAlign w:val="bottom"/>
          </w:tcPr>
          <w:p w14:paraId="34CD2438" w14:textId="77777777" w:rsidR="0070585C" w:rsidRPr="00E5669D" w:rsidRDefault="0070585C" w:rsidP="00936F9F">
            <w:pPr>
              <w:rPr>
                <w:color w:val="000000"/>
                <w:szCs w:val="24"/>
              </w:rPr>
            </w:pPr>
          </w:p>
        </w:tc>
      </w:tr>
      <w:tr w:rsidR="0070585C" w:rsidRPr="00E5669D" w14:paraId="554D5B70" w14:textId="77777777" w:rsidTr="003666C0">
        <w:trPr>
          <w:trHeight w:val="300"/>
          <w:jc w:val="center"/>
        </w:trPr>
        <w:tc>
          <w:tcPr>
            <w:tcW w:w="2299" w:type="dxa"/>
            <w:shd w:val="clear" w:color="auto" w:fill="auto"/>
            <w:noWrap/>
            <w:vAlign w:val="bottom"/>
            <w:hideMark/>
          </w:tcPr>
          <w:p w14:paraId="5BB35D1E" w14:textId="77777777" w:rsidR="0070585C" w:rsidRPr="009F4EA8" w:rsidRDefault="0070585C" w:rsidP="00936F9F">
            <w:pPr>
              <w:rPr>
                <w:color w:val="000000"/>
                <w:szCs w:val="24"/>
              </w:rPr>
            </w:pPr>
            <w:r w:rsidRPr="009F4EA8">
              <w:rPr>
                <w:color w:val="000000"/>
                <w:szCs w:val="24"/>
              </w:rPr>
              <w:t>Mzdové prostředky</w:t>
            </w:r>
          </w:p>
        </w:tc>
        <w:tc>
          <w:tcPr>
            <w:tcW w:w="2663" w:type="dxa"/>
            <w:shd w:val="clear" w:color="auto" w:fill="auto"/>
            <w:noWrap/>
            <w:vAlign w:val="bottom"/>
          </w:tcPr>
          <w:p w14:paraId="0B0837B2" w14:textId="77777777" w:rsidR="0070585C" w:rsidRPr="00E5669D" w:rsidRDefault="0070585C" w:rsidP="00936F9F">
            <w:pPr>
              <w:jc w:val="right"/>
              <w:rPr>
                <w:b/>
                <w:bCs/>
                <w:color w:val="000000"/>
                <w:szCs w:val="24"/>
              </w:rPr>
            </w:pPr>
            <w:r w:rsidRPr="00E5669D">
              <w:rPr>
                <w:b/>
                <w:bCs/>
                <w:color w:val="000000"/>
                <w:szCs w:val="24"/>
              </w:rPr>
              <w:t>87 541 455 868 Kč</w:t>
            </w:r>
          </w:p>
        </w:tc>
      </w:tr>
      <w:tr w:rsidR="0070585C" w:rsidRPr="00E5669D" w14:paraId="4BC1641D" w14:textId="77777777" w:rsidTr="003666C0">
        <w:trPr>
          <w:trHeight w:val="300"/>
          <w:jc w:val="center"/>
        </w:trPr>
        <w:tc>
          <w:tcPr>
            <w:tcW w:w="2299" w:type="dxa"/>
            <w:shd w:val="clear" w:color="auto" w:fill="auto"/>
            <w:noWrap/>
            <w:vAlign w:val="bottom"/>
            <w:hideMark/>
          </w:tcPr>
          <w:p w14:paraId="13B9C53C" w14:textId="77777777" w:rsidR="0070585C" w:rsidRPr="009F4EA8" w:rsidRDefault="0070585C" w:rsidP="00936F9F">
            <w:pPr>
              <w:rPr>
                <w:color w:val="000000"/>
                <w:szCs w:val="24"/>
              </w:rPr>
            </w:pPr>
            <w:r w:rsidRPr="009F4EA8">
              <w:rPr>
                <w:color w:val="000000"/>
                <w:szCs w:val="24"/>
              </w:rPr>
              <w:t xml:space="preserve">         z MP – platy</w:t>
            </w:r>
          </w:p>
        </w:tc>
        <w:tc>
          <w:tcPr>
            <w:tcW w:w="2663" w:type="dxa"/>
            <w:shd w:val="clear" w:color="auto" w:fill="auto"/>
            <w:noWrap/>
            <w:vAlign w:val="bottom"/>
          </w:tcPr>
          <w:p w14:paraId="58D057B3" w14:textId="77777777" w:rsidR="0070585C" w:rsidRPr="00E5669D" w:rsidRDefault="0070585C" w:rsidP="00936F9F">
            <w:pPr>
              <w:jc w:val="right"/>
              <w:rPr>
                <w:color w:val="000000"/>
                <w:szCs w:val="24"/>
              </w:rPr>
            </w:pPr>
            <w:r w:rsidRPr="00E5669D">
              <w:rPr>
                <w:color w:val="000000"/>
                <w:szCs w:val="24"/>
              </w:rPr>
              <w:t>86 818 597 561 Kč</w:t>
            </w:r>
          </w:p>
        </w:tc>
      </w:tr>
      <w:tr w:rsidR="0070585C" w:rsidRPr="00E5669D" w14:paraId="50752F61" w14:textId="77777777" w:rsidTr="003666C0">
        <w:trPr>
          <w:trHeight w:val="300"/>
          <w:jc w:val="center"/>
        </w:trPr>
        <w:tc>
          <w:tcPr>
            <w:tcW w:w="2299" w:type="dxa"/>
            <w:shd w:val="clear" w:color="auto" w:fill="auto"/>
            <w:noWrap/>
            <w:vAlign w:val="bottom"/>
            <w:hideMark/>
          </w:tcPr>
          <w:p w14:paraId="552A9090" w14:textId="77777777" w:rsidR="0070585C" w:rsidRPr="009F4EA8" w:rsidRDefault="0070585C" w:rsidP="00936F9F">
            <w:pPr>
              <w:rPr>
                <w:color w:val="000000"/>
                <w:szCs w:val="24"/>
              </w:rPr>
            </w:pPr>
            <w:r w:rsidRPr="009F4EA8">
              <w:rPr>
                <w:color w:val="000000"/>
                <w:szCs w:val="24"/>
              </w:rPr>
              <w:t xml:space="preserve">         z MP – OON</w:t>
            </w:r>
          </w:p>
        </w:tc>
        <w:tc>
          <w:tcPr>
            <w:tcW w:w="2663" w:type="dxa"/>
            <w:shd w:val="clear" w:color="auto" w:fill="auto"/>
            <w:noWrap/>
            <w:vAlign w:val="bottom"/>
          </w:tcPr>
          <w:p w14:paraId="5CF8D0F5" w14:textId="77777777" w:rsidR="0070585C" w:rsidRPr="00E5669D" w:rsidRDefault="0070585C" w:rsidP="00936F9F">
            <w:pPr>
              <w:jc w:val="right"/>
              <w:rPr>
                <w:color w:val="000000"/>
                <w:szCs w:val="24"/>
              </w:rPr>
            </w:pPr>
            <w:r w:rsidRPr="00E5669D">
              <w:rPr>
                <w:color w:val="000000"/>
                <w:szCs w:val="24"/>
              </w:rPr>
              <w:t>722 858 307 Kč</w:t>
            </w:r>
          </w:p>
        </w:tc>
      </w:tr>
      <w:tr w:rsidR="0070585C" w:rsidRPr="00E5669D" w14:paraId="1BFC6728" w14:textId="77777777" w:rsidTr="003666C0">
        <w:trPr>
          <w:trHeight w:val="300"/>
          <w:jc w:val="center"/>
        </w:trPr>
        <w:tc>
          <w:tcPr>
            <w:tcW w:w="2299" w:type="dxa"/>
            <w:shd w:val="clear" w:color="auto" w:fill="auto"/>
            <w:noWrap/>
            <w:vAlign w:val="bottom"/>
            <w:hideMark/>
          </w:tcPr>
          <w:p w14:paraId="3AA7770D" w14:textId="77777777" w:rsidR="0070585C" w:rsidRPr="009F4EA8" w:rsidRDefault="0070585C" w:rsidP="00936F9F">
            <w:pPr>
              <w:rPr>
                <w:color w:val="000000"/>
                <w:szCs w:val="24"/>
              </w:rPr>
            </w:pPr>
            <w:r w:rsidRPr="009F4EA8">
              <w:rPr>
                <w:color w:val="000000"/>
                <w:szCs w:val="24"/>
              </w:rPr>
              <w:t>Odvody</w:t>
            </w:r>
          </w:p>
        </w:tc>
        <w:tc>
          <w:tcPr>
            <w:tcW w:w="2663" w:type="dxa"/>
            <w:shd w:val="clear" w:color="auto" w:fill="auto"/>
            <w:noWrap/>
            <w:vAlign w:val="bottom"/>
          </w:tcPr>
          <w:p w14:paraId="458F0D42" w14:textId="77777777" w:rsidR="0070585C" w:rsidRPr="00E5669D" w:rsidRDefault="0070585C" w:rsidP="00936F9F">
            <w:pPr>
              <w:jc w:val="right"/>
              <w:rPr>
                <w:b/>
                <w:bCs/>
                <w:color w:val="000000"/>
                <w:szCs w:val="24"/>
              </w:rPr>
            </w:pPr>
            <w:r w:rsidRPr="00E5669D">
              <w:rPr>
                <w:b/>
                <w:bCs/>
                <w:color w:val="000000"/>
                <w:szCs w:val="24"/>
              </w:rPr>
              <w:t>31 500 466 944 Kč</w:t>
            </w:r>
          </w:p>
        </w:tc>
      </w:tr>
      <w:tr w:rsidR="0070585C" w:rsidRPr="00E5669D" w14:paraId="27E45B4E" w14:textId="77777777" w:rsidTr="003666C0">
        <w:trPr>
          <w:trHeight w:val="300"/>
          <w:jc w:val="center"/>
        </w:trPr>
        <w:tc>
          <w:tcPr>
            <w:tcW w:w="2299" w:type="dxa"/>
            <w:shd w:val="clear" w:color="auto" w:fill="auto"/>
            <w:noWrap/>
            <w:vAlign w:val="bottom"/>
            <w:hideMark/>
          </w:tcPr>
          <w:p w14:paraId="3D0E3CA1" w14:textId="77777777" w:rsidR="0070585C" w:rsidRPr="009F4EA8" w:rsidRDefault="0070585C" w:rsidP="00936F9F">
            <w:pPr>
              <w:rPr>
                <w:color w:val="000000"/>
                <w:szCs w:val="24"/>
              </w:rPr>
            </w:pPr>
            <w:r w:rsidRPr="009F4EA8">
              <w:rPr>
                <w:color w:val="000000"/>
                <w:szCs w:val="24"/>
              </w:rPr>
              <w:t>ONIV</w:t>
            </w:r>
          </w:p>
        </w:tc>
        <w:tc>
          <w:tcPr>
            <w:tcW w:w="2663" w:type="dxa"/>
            <w:shd w:val="clear" w:color="auto" w:fill="auto"/>
            <w:noWrap/>
            <w:vAlign w:val="bottom"/>
          </w:tcPr>
          <w:p w14:paraId="6638B0D2" w14:textId="77777777" w:rsidR="0070585C" w:rsidRPr="00E5669D" w:rsidRDefault="0070585C" w:rsidP="00936F9F">
            <w:pPr>
              <w:jc w:val="right"/>
              <w:rPr>
                <w:b/>
                <w:bCs/>
                <w:color w:val="000000"/>
                <w:szCs w:val="24"/>
              </w:rPr>
            </w:pPr>
            <w:r w:rsidRPr="00E5669D">
              <w:rPr>
                <w:b/>
                <w:bCs/>
                <w:color w:val="000000"/>
                <w:szCs w:val="24"/>
              </w:rPr>
              <w:t>1 645 031 251 Kč</w:t>
            </w:r>
          </w:p>
        </w:tc>
      </w:tr>
      <w:tr w:rsidR="0070585C" w:rsidRPr="00E5669D" w14:paraId="52A89273" w14:textId="77777777" w:rsidTr="003666C0">
        <w:trPr>
          <w:trHeight w:val="300"/>
          <w:jc w:val="center"/>
        </w:trPr>
        <w:tc>
          <w:tcPr>
            <w:tcW w:w="2299" w:type="dxa"/>
            <w:shd w:val="clear" w:color="auto" w:fill="auto"/>
            <w:noWrap/>
            <w:vAlign w:val="bottom"/>
            <w:hideMark/>
          </w:tcPr>
          <w:p w14:paraId="7E8F9234" w14:textId="77777777" w:rsidR="0070585C" w:rsidRPr="009F4EA8" w:rsidRDefault="0070585C" w:rsidP="00936F9F">
            <w:pPr>
              <w:rPr>
                <w:color w:val="000000"/>
                <w:szCs w:val="24"/>
              </w:rPr>
            </w:pPr>
            <w:r w:rsidRPr="009F4EA8">
              <w:rPr>
                <w:color w:val="000000"/>
                <w:szCs w:val="24"/>
              </w:rPr>
              <w:t>Počet zaměstnanců</w:t>
            </w:r>
          </w:p>
        </w:tc>
        <w:tc>
          <w:tcPr>
            <w:tcW w:w="2663" w:type="dxa"/>
            <w:shd w:val="clear" w:color="auto" w:fill="auto"/>
            <w:noWrap/>
            <w:vAlign w:val="bottom"/>
          </w:tcPr>
          <w:p w14:paraId="64E8D10B" w14:textId="77777777" w:rsidR="0070585C" w:rsidRPr="00E5669D" w:rsidRDefault="0070585C" w:rsidP="00936F9F">
            <w:pPr>
              <w:jc w:val="right"/>
              <w:rPr>
                <w:b/>
                <w:bCs/>
                <w:color w:val="000000"/>
                <w:szCs w:val="24"/>
              </w:rPr>
            </w:pPr>
            <w:r w:rsidRPr="00E5669D">
              <w:rPr>
                <w:b/>
                <w:bCs/>
                <w:color w:val="000000"/>
                <w:szCs w:val="24"/>
              </w:rPr>
              <w:t>218 464,31</w:t>
            </w:r>
          </w:p>
        </w:tc>
      </w:tr>
    </w:tbl>
    <w:p w14:paraId="28071E7F" w14:textId="77777777" w:rsidR="0070585C" w:rsidRPr="007A23A7" w:rsidRDefault="0070585C" w:rsidP="0070585C">
      <w:pPr>
        <w:pStyle w:val="Text"/>
      </w:pPr>
      <w:r w:rsidRPr="007A23A7">
        <w:lastRenderedPageBreak/>
        <w:t>Po zahrnutí úpravy normativního rozpisu rozpočtu je ve struktuře závazných ukazatelů stanoven rozpis rozpočtu na rok 2019 následovně (údaje v Kč):</w:t>
      </w:r>
    </w:p>
    <w:tbl>
      <w:tblPr>
        <w:tblW w:w="4962" w:type="dxa"/>
        <w:jc w:val="center"/>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9"/>
        <w:gridCol w:w="2663"/>
      </w:tblGrid>
      <w:tr w:rsidR="0070585C" w:rsidRPr="00E5669D" w14:paraId="74C596A4" w14:textId="77777777" w:rsidTr="003666C0">
        <w:trPr>
          <w:trHeight w:val="300"/>
          <w:jc w:val="center"/>
        </w:trPr>
        <w:tc>
          <w:tcPr>
            <w:tcW w:w="2299" w:type="dxa"/>
            <w:shd w:val="clear" w:color="auto" w:fill="auto"/>
            <w:noWrap/>
            <w:vAlign w:val="bottom"/>
            <w:hideMark/>
          </w:tcPr>
          <w:p w14:paraId="3429A403" w14:textId="77777777" w:rsidR="0070585C" w:rsidRPr="009F4EA8" w:rsidRDefault="0070585C" w:rsidP="00936F9F">
            <w:pPr>
              <w:rPr>
                <w:color w:val="000000"/>
                <w:szCs w:val="24"/>
              </w:rPr>
            </w:pPr>
            <w:r w:rsidRPr="009F4EA8">
              <w:rPr>
                <w:color w:val="000000"/>
                <w:szCs w:val="24"/>
              </w:rPr>
              <w:t>NIV celkem</w:t>
            </w:r>
          </w:p>
        </w:tc>
        <w:tc>
          <w:tcPr>
            <w:tcW w:w="2663" w:type="dxa"/>
            <w:shd w:val="clear" w:color="auto" w:fill="auto"/>
            <w:noWrap/>
            <w:vAlign w:val="bottom"/>
          </w:tcPr>
          <w:p w14:paraId="3C85D192" w14:textId="77777777" w:rsidR="0070585C" w:rsidRPr="00E5669D" w:rsidRDefault="0070585C" w:rsidP="00936F9F">
            <w:pPr>
              <w:jc w:val="right"/>
              <w:rPr>
                <w:b/>
                <w:bCs/>
                <w:color w:val="000000"/>
                <w:szCs w:val="24"/>
              </w:rPr>
            </w:pPr>
            <w:r w:rsidRPr="00E5669D">
              <w:rPr>
                <w:b/>
                <w:bCs/>
                <w:color w:val="000000"/>
                <w:szCs w:val="24"/>
              </w:rPr>
              <w:t>127 439 935 833 Kč</w:t>
            </w:r>
          </w:p>
        </w:tc>
      </w:tr>
      <w:tr w:rsidR="0070585C" w:rsidRPr="00E5669D" w14:paraId="7D143C5B" w14:textId="77777777" w:rsidTr="003666C0">
        <w:trPr>
          <w:trHeight w:val="300"/>
          <w:jc w:val="center"/>
        </w:trPr>
        <w:tc>
          <w:tcPr>
            <w:tcW w:w="2299" w:type="dxa"/>
            <w:shd w:val="clear" w:color="auto" w:fill="auto"/>
            <w:noWrap/>
            <w:vAlign w:val="bottom"/>
            <w:hideMark/>
          </w:tcPr>
          <w:p w14:paraId="5B311227" w14:textId="77777777" w:rsidR="0070585C" w:rsidRPr="009F4EA8" w:rsidRDefault="0070585C" w:rsidP="00936F9F">
            <w:pPr>
              <w:rPr>
                <w:color w:val="000000"/>
                <w:szCs w:val="24"/>
              </w:rPr>
            </w:pPr>
            <w:r w:rsidRPr="009F4EA8">
              <w:rPr>
                <w:color w:val="000000"/>
                <w:szCs w:val="24"/>
              </w:rPr>
              <w:t>Z toho:</w:t>
            </w:r>
          </w:p>
        </w:tc>
        <w:tc>
          <w:tcPr>
            <w:tcW w:w="2663" w:type="dxa"/>
            <w:shd w:val="clear" w:color="auto" w:fill="auto"/>
            <w:noWrap/>
            <w:vAlign w:val="bottom"/>
          </w:tcPr>
          <w:p w14:paraId="049256AF" w14:textId="77777777" w:rsidR="0070585C" w:rsidRPr="00E5669D" w:rsidRDefault="0070585C" w:rsidP="00936F9F">
            <w:pPr>
              <w:rPr>
                <w:color w:val="000000"/>
                <w:szCs w:val="24"/>
              </w:rPr>
            </w:pPr>
          </w:p>
        </w:tc>
      </w:tr>
      <w:tr w:rsidR="0070585C" w:rsidRPr="00E5669D" w14:paraId="1ACA7991" w14:textId="77777777" w:rsidTr="003666C0">
        <w:trPr>
          <w:trHeight w:val="300"/>
          <w:jc w:val="center"/>
        </w:trPr>
        <w:tc>
          <w:tcPr>
            <w:tcW w:w="2299" w:type="dxa"/>
            <w:shd w:val="clear" w:color="auto" w:fill="auto"/>
            <w:noWrap/>
            <w:vAlign w:val="bottom"/>
            <w:hideMark/>
          </w:tcPr>
          <w:p w14:paraId="0C5C6586" w14:textId="77777777" w:rsidR="0070585C" w:rsidRPr="009F4EA8" w:rsidRDefault="0070585C" w:rsidP="00936F9F">
            <w:pPr>
              <w:rPr>
                <w:color w:val="000000"/>
                <w:szCs w:val="24"/>
              </w:rPr>
            </w:pPr>
            <w:r w:rsidRPr="009F4EA8">
              <w:rPr>
                <w:color w:val="000000"/>
                <w:szCs w:val="24"/>
              </w:rPr>
              <w:t>Mzdové prostředky</w:t>
            </w:r>
          </w:p>
        </w:tc>
        <w:tc>
          <w:tcPr>
            <w:tcW w:w="2663" w:type="dxa"/>
            <w:shd w:val="clear" w:color="auto" w:fill="auto"/>
            <w:noWrap/>
            <w:vAlign w:val="bottom"/>
          </w:tcPr>
          <w:p w14:paraId="4FAF7FE6" w14:textId="77777777" w:rsidR="0070585C" w:rsidRPr="00E5669D" w:rsidRDefault="0070585C" w:rsidP="00936F9F">
            <w:pPr>
              <w:jc w:val="right"/>
              <w:rPr>
                <w:b/>
                <w:bCs/>
                <w:color w:val="000000"/>
                <w:szCs w:val="24"/>
              </w:rPr>
            </w:pPr>
            <w:r w:rsidRPr="00E5669D">
              <w:rPr>
                <w:b/>
                <w:bCs/>
                <w:color w:val="000000"/>
                <w:szCs w:val="24"/>
              </w:rPr>
              <w:t>92 503 421 854 Kč</w:t>
            </w:r>
          </w:p>
        </w:tc>
      </w:tr>
      <w:tr w:rsidR="0070585C" w:rsidRPr="00E5669D" w14:paraId="15E10791" w14:textId="77777777" w:rsidTr="003666C0">
        <w:trPr>
          <w:trHeight w:val="300"/>
          <w:jc w:val="center"/>
        </w:trPr>
        <w:tc>
          <w:tcPr>
            <w:tcW w:w="2299" w:type="dxa"/>
            <w:shd w:val="clear" w:color="auto" w:fill="auto"/>
            <w:noWrap/>
            <w:vAlign w:val="bottom"/>
            <w:hideMark/>
          </w:tcPr>
          <w:p w14:paraId="64A66F70" w14:textId="77777777" w:rsidR="0070585C" w:rsidRPr="009F4EA8" w:rsidRDefault="0070585C" w:rsidP="00936F9F">
            <w:pPr>
              <w:rPr>
                <w:color w:val="000000"/>
                <w:szCs w:val="24"/>
              </w:rPr>
            </w:pPr>
            <w:r w:rsidRPr="009F4EA8">
              <w:rPr>
                <w:color w:val="000000"/>
                <w:szCs w:val="24"/>
              </w:rPr>
              <w:t xml:space="preserve">         z MP – platy</w:t>
            </w:r>
          </w:p>
        </w:tc>
        <w:tc>
          <w:tcPr>
            <w:tcW w:w="2663" w:type="dxa"/>
            <w:shd w:val="clear" w:color="auto" w:fill="auto"/>
            <w:noWrap/>
            <w:vAlign w:val="bottom"/>
          </w:tcPr>
          <w:p w14:paraId="600E0BA1" w14:textId="77777777" w:rsidR="0070585C" w:rsidRPr="00E5669D" w:rsidRDefault="0070585C" w:rsidP="00936F9F">
            <w:pPr>
              <w:jc w:val="right"/>
              <w:rPr>
                <w:color w:val="000000"/>
                <w:szCs w:val="24"/>
              </w:rPr>
            </w:pPr>
            <w:r w:rsidRPr="00E5669D">
              <w:rPr>
                <w:color w:val="000000"/>
                <w:szCs w:val="24"/>
              </w:rPr>
              <w:t>91 780 563 547 Kč</w:t>
            </w:r>
          </w:p>
        </w:tc>
      </w:tr>
      <w:tr w:rsidR="0070585C" w:rsidRPr="00E5669D" w14:paraId="693B40D7" w14:textId="77777777" w:rsidTr="003666C0">
        <w:trPr>
          <w:trHeight w:val="300"/>
          <w:jc w:val="center"/>
        </w:trPr>
        <w:tc>
          <w:tcPr>
            <w:tcW w:w="2299" w:type="dxa"/>
            <w:shd w:val="clear" w:color="auto" w:fill="auto"/>
            <w:noWrap/>
            <w:vAlign w:val="bottom"/>
            <w:hideMark/>
          </w:tcPr>
          <w:p w14:paraId="74EC049D" w14:textId="77777777" w:rsidR="0070585C" w:rsidRPr="009F4EA8" w:rsidRDefault="0070585C" w:rsidP="00936F9F">
            <w:pPr>
              <w:rPr>
                <w:color w:val="000000"/>
                <w:szCs w:val="24"/>
              </w:rPr>
            </w:pPr>
            <w:r w:rsidRPr="009F4EA8">
              <w:rPr>
                <w:color w:val="000000"/>
                <w:szCs w:val="24"/>
              </w:rPr>
              <w:t xml:space="preserve">         z MP – OON</w:t>
            </w:r>
          </w:p>
        </w:tc>
        <w:tc>
          <w:tcPr>
            <w:tcW w:w="2663" w:type="dxa"/>
            <w:shd w:val="clear" w:color="auto" w:fill="auto"/>
            <w:noWrap/>
            <w:vAlign w:val="bottom"/>
          </w:tcPr>
          <w:p w14:paraId="1D79EB0E" w14:textId="77777777" w:rsidR="0070585C" w:rsidRPr="00E5669D" w:rsidRDefault="0070585C" w:rsidP="00936F9F">
            <w:pPr>
              <w:jc w:val="right"/>
              <w:rPr>
                <w:color w:val="000000"/>
                <w:szCs w:val="24"/>
              </w:rPr>
            </w:pPr>
            <w:r w:rsidRPr="00E5669D">
              <w:rPr>
                <w:color w:val="000000"/>
                <w:szCs w:val="24"/>
              </w:rPr>
              <w:t>722 858 307 Kč</w:t>
            </w:r>
          </w:p>
        </w:tc>
      </w:tr>
      <w:tr w:rsidR="0070585C" w:rsidRPr="00E5669D" w14:paraId="6EB68EFF" w14:textId="77777777" w:rsidTr="003666C0">
        <w:trPr>
          <w:trHeight w:val="300"/>
          <w:jc w:val="center"/>
        </w:trPr>
        <w:tc>
          <w:tcPr>
            <w:tcW w:w="2299" w:type="dxa"/>
            <w:shd w:val="clear" w:color="auto" w:fill="auto"/>
            <w:noWrap/>
            <w:vAlign w:val="bottom"/>
            <w:hideMark/>
          </w:tcPr>
          <w:p w14:paraId="21336042" w14:textId="77777777" w:rsidR="0070585C" w:rsidRPr="009F4EA8" w:rsidRDefault="0070585C" w:rsidP="00936F9F">
            <w:pPr>
              <w:rPr>
                <w:color w:val="000000"/>
                <w:szCs w:val="24"/>
              </w:rPr>
            </w:pPr>
            <w:r w:rsidRPr="009F4EA8">
              <w:rPr>
                <w:color w:val="000000"/>
                <w:szCs w:val="24"/>
              </w:rPr>
              <w:t>Odvody</w:t>
            </w:r>
          </w:p>
        </w:tc>
        <w:tc>
          <w:tcPr>
            <w:tcW w:w="2663" w:type="dxa"/>
            <w:shd w:val="clear" w:color="auto" w:fill="auto"/>
            <w:noWrap/>
            <w:vAlign w:val="bottom"/>
          </w:tcPr>
          <w:p w14:paraId="4B0089E2" w14:textId="77777777" w:rsidR="0070585C" w:rsidRPr="00E5669D" w:rsidRDefault="0070585C" w:rsidP="00936F9F">
            <w:pPr>
              <w:jc w:val="right"/>
              <w:rPr>
                <w:b/>
                <w:bCs/>
                <w:color w:val="000000"/>
                <w:szCs w:val="24"/>
              </w:rPr>
            </w:pPr>
            <w:r w:rsidRPr="00E5669D">
              <w:rPr>
                <w:b/>
                <w:bCs/>
                <w:color w:val="000000"/>
                <w:szCs w:val="24"/>
              </w:rPr>
              <w:t>33 286 774 698 Kč</w:t>
            </w:r>
          </w:p>
        </w:tc>
      </w:tr>
      <w:tr w:rsidR="0070585C" w:rsidRPr="00E5669D" w14:paraId="72D7551E" w14:textId="77777777" w:rsidTr="003666C0">
        <w:trPr>
          <w:trHeight w:val="300"/>
          <w:jc w:val="center"/>
        </w:trPr>
        <w:tc>
          <w:tcPr>
            <w:tcW w:w="2299" w:type="dxa"/>
            <w:shd w:val="clear" w:color="auto" w:fill="auto"/>
            <w:noWrap/>
            <w:vAlign w:val="bottom"/>
            <w:hideMark/>
          </w:tcPr>
          <w:p w14:paraId="6C98BC0D" w14:textId="77777777" w:rsidR="0070585C" w:rsidRPr="009F4EA8" w:rsidRDefault="0070585C" w:rsidP="00936F9F">
            <w:pPr>
              <w:rPr>
                <w:color w:val="000000"/>
                <w:szCs w:val="24"/>
              </w:rPr>
            </w:pPr>
            <w:r w:rsidRPr="009F4EA8">
              <w:rPr>
                <w:color w:val="000000"/>
                <w:szCs w:val="24"/>
              </w:rPr>
              <w:t>ONIV</w:t>
            </w:r>
          </w:p>
        </w:tc>
        <w:tc>
          <w:tcPr>
            <w:tcW w:w="2663" w:type="dxa"/>
            <w:shd w:val="clear" w:color="auto" w:fill="auto"/>
            <w:noWrap/>
            <w:vAlign w:val="bottom"/>
          </w:tcPr>
          <w:p w14:paraId="3A7342D2" w14:textId="77777777" w:rsidR="0070585C" w:rsidRPr="00E5669D" w:rsidRDefault="0070585C" w:rsidP="00936F9F">
            <w:pPr>
              <w:jc w:val="right"/>
              <w:rPr>
                <w:b/>
                <w:bCs/>
                <w:color w:val="000000"/>
                <w:szCs w:val="24"/>
              </w:rPr>
            </w:pPr>
            <w:r w:rsidRPr="00E5669D">
              <w:rPr>
                <w:b/>
                <w:bCs/>
                <w:color w:val="000000"/>
                <w:szCs w:val="24"/>
              </w:rPr>
              <w:t>1 649 739 281 Kč</w:t>
            </w:r>
          </w:p>
        </w:tc>
      </w:tr>
      <w:tr w:rsidR="0070585C" w:rsidRPr="00E5669D" w14:paraId="1ED9D852" w14:textId="77777777" w:rsidTr="003666C0">
        <w:trPr>
          <w:trHeight w:val="300"/>
          <w:jc w:val="center"/>
        </w:trPr>
        <w:tc>
          <w:tcPr>
            <w:tcW w:w="2299" w:type="dxa"/>
            <w:shd w:val="clear" w:color="auto" w:fill="auto"/>
            <w:noWrap/>
            <w:vAlign w:val="bottom"/>
            <w:hideMark/>
          </w:tcPr>
          <w:p w14:paraId="49E95024" w14:textId="77777777" w:rsidR="0070585C" w:rsidRPr="009F4EA8" w:rsidRDefault="0070585C" w:rsidP="00936F9F">
            <w:pPr>
              <w:rPr>
                <w:color w:val="000000"/>
                <w:szCs w:val="24"/>
              </w:rPr>
            </w:pPr>
            <w:r w:rsidRPr="009F4EA8">
              <w:rPr>
                <w:color w:val="000000"/>
                <w:szCs w:val="24"/>
              </w:rPr>
              <w:t>Počet zaměstnanců</w:t>
            </w:r>
          </w:p>
        </w:tc>
        <w:tc>
          <w:tcPr>
            <w:tcW w:w="2663" w:type="dxa"/>
            <w:shd w:val="clear" w:color="auto" w:fill="auto"/>
            <w:noWrap/>
            <w:vAlign w:val="bottom"/>
          </w:tcPr>
          <w:p w14:paraId="16B452D1" w14:textId="77777777" w:rsidR="0070585C" w:rsidRPr="00E5669D" w:rsidRDefault="0070585C" w:rsidP="00936F9F">
            <w:pPr>
              <w:jc w:val="right"/>
              <w:rPr>
                <w:b/>
                <w:bCs/>
                <w:color w:val="000000"/>
                <w:szCs w:val="24"/>
              </w:rPr>
            </w:pPr>
            <w:r w:rsidRPr="00E5669D">
              <w:rPr>
                <w:b/>
                <w:bCs/>
                <w:color w:val="000000"/>
                <w:szCs w:val="24"/>
              </w:rPr>
              <w:t>234 372,35</w:t>
            </w:r>
          </w:p>
        </w:tc>
      </w:tr>
    </w:tbl>
    <w:p w14:paraId="264C84B4" w14:textId="77777777" w:rsidR="0070585C" w:rsidRPr="008B42CF" w:rsidRDefault="0070585C" w:rsidP="0070585C">
      <w:pPr>
        <w:ind w:left="567"/>
        <w:rPr>
          <w:color w:val="000000"/>
          <w:szCs w:val="24"/>
          <w:highlight w:val="yellow"/>
        </w:rPr>
      </w:pPr>
    </w:p>
    <w:p w14:paraId="608BA8BB" w14:textId="77777777" w:rsidR="0070585C" w:rsidRPr="007A23A7" w:rsidRDefault="0070585C" w:rsidP="0070585C">
      <w:pPr>
        <w:pStyle w:val="Text"/>
      </w:pPr>
      <w:r w:rsidRPr="007A23A7">
        <w:t xml:space="preserve">Rozpis rozpočtu na rok 2019 ve struktuře závazných ukazatelů pro jednotlivé kraje je uveden v tabulkové příloze </w:t>
      </w:r>
      <w:r w:rsidRPr="00DE19F2">
        <w:t>-  tabulka č. 4.</w:t>
      </w:r>
    </w:p>
    <w:p w14:paraId="1510087B" w14:textId="77777777" w:rsidR="0031482F" w:rsidRDefault="0031482F" w:rsidP="0070585C">
      <w:pPr>
        <w:ind w:left="567"/>
        <w:rPr>
          <w:color w:val="000000"/>
          <w:szCs w:val="24"/>
        </w:rPr>
      </w:pPr>
    </w:p>
    <w:p w14:paraId="4FBD2FB3" w14:textId="77777777" w:rsidR="0070585C" w:rsidRPr="007A23A7" w:rsidRDefault="0070585C" w:rsidP="0031482F">
      <w:pPr>
        <w:pStyle w:val="Nadpis4"/>
      </w:pPr>
      <w:bookmarkStart w:id="114" w:name="_Toc5968847"/>
      <w:r w:rsidRPr="007A23A7">
        <w:t>Rozvojové programy</w:t>
      </w:r>
      <w:bookmarkEnd w:id="114"/>
    </w:p>
    <w:p w14:paraId="2F985BB5" w14:textId="77777777" w:rsidR="00443B09" w:rsidRPr="00DE19F2" w:rsidRDefault="00443B09" w:rsidP="00443B09">
      <w:pPr>
        <w:rPr>
          <w:rFonts w:cs="Calibri"/>
          <w:szCs w:val="24"/>
        </w:rPr>
      </w:pPr>
    </w:p>
    <w:p w14:paraId="0302EE26" w14:textId="77777777" w:rsidR="00443B09" w:rsidRPr="00443B09" w:rsidRDefault="00443B09" w:rsidP="00443B09">
      <w:pPr>
        <w:rPr>
          <w:rFonts w:cs="Calibri"/>
          <w:szCs w:val="24"/>
        </w:rPr>
      </w:pPr>
      <w:r w:rsidRPr="00DE19F2">
        <w:rPr>
          <w:rFonts w:cs="Calibri"/>
          <w:szCs w:val="24"/>
        </w:rPr>
        <w:t>1.</w:t>
      </w:r>
      <w:r w:rsidRPr="00DE19F2">
        <w:rPr>
          <w:rFonts w:cs="Calibri"/>
          <w:szCs w:val="24"/>
        </w:rPr>
        <w:tab/>
        <w:t>Rozvojové programy na podporu společného vzdělávání</w:t>
      </w:r>
    </w:p>
    <w:p w14:paraId="2276CE8B" w14:textId="77777777" w:rsidR="00443B09" w:rsidRPr="00443B09" w:rsidRDefault="00443B09" w:rsidP="00443B09">
      <w:pPr>
        <w:rPr>
          <w:rFonts w:cs="Calibri"/>
          <w:szCs w:val="24"/>
        </w:rPr>
      </w:pPr>
    </w:p>
    <w:p w14:paraId="42DE80D1" w14:textId="77777777" w:rsidR="00443B09" w:rsidRPr="00443B09" w:rsidRDefault="00443B09" w:rsidP="00443B09">
      <w:pPr>
        <w:rPr>
          <w:rFonts w:cs="Calibri"/>
          <w:szCs w:val="24"/>
        </w:rPr>
      </w:pPr>
      <w:r w:rsidRPr="00443B09">
        <w:rPr>
          <w:rFonts w:cs="Calibri"/>
          <w:szCs w:val="24"/>
        </w:rPr>
        <w:t>A)</w:t>
      </w:r>
      <w:r w:rsidRPr="00443B09">
        <w:rPr>
          <w:rFonts w:cs="Calibri"/>
          <w:szCs w:val="24"/>
        </w:rPr>
        <w:tab/>
        <w:t xml:space="preserve">Rozvojový program - Vybavení školských poradenských zařízení diagnostickými nástroji v roce 2019 </w:t>
      </w:r>
    </w:p>
    <w:p w14:paraId="6D00A5FE" w14:textId="77777777" w:rsidR="00443B09" w:rsidRPr="00443B09" w:rsidRDefault="00443B09" w:rsidP="00443B09">
      <w:pPr>
        <w:rPr>
          <w:rFonts w:cs="Calibri"/>
          <w:szCs w:val="24"/>
        </w:rPr>
      </w:pPr>
    </w:p>
    <w:p w14:paraId="4CECF9D5" w14:textId="4EE37356" w:rsidR="00443B09" w:rsidRPr="00443B09" w:rsidRDefault="00443B09" w:rsidP="00B83EC6">
      <w:pPr>
        <w:pStyle w:val="Text"/>
      </w:pPr>
      <w:r w:rsidRPr="00443B09">
        <w:t>Cílem tohoto rozvojového programu je poskytnout právnickým osobám vykonávajícím činnost školského poradenského zařízení všech zřizovate</w:t>
      </w:r>
      <w:r w:rsidR="005607F5">
        <w:t>lů zapsaných v rejstříku škol a </w:t>
      </w:r>
      <w:r w:rsidRPr="00443B09">
        <w:t xml:space="preserve">školských zařízení, vyjma škol a školských zařízení zřizovaných MŠMT, vymezených § 160 odst. 1 a 2 školského zákona neinvestiční finanční prostředky účelově určené na nákup diagnostických nástrojů zaměřených na diagnostiku dětí, žáků a studentů využitelných při stanovení podpůrných opatření, specifikaci vzdělávacích potřeb žáka, vymezení adekvátní podpory ve vzdělávání, což povede ke zkvalitnění služeb školských poradenských zařízení. </w:t>
      </w:r>
    </w:p>
    <w:p w14:paraId="3A394442" w14:textId="77777777" w:rsidR="00443B09" w:rsidRPr="00443B09" w:rsidRDefault="00443B09" w:rsidP="00443B09">
      <w:pPr>
        <w:rPr>
          <w:rFonts w:cs="Calibri"/>
          <w:szCs w:val="24"/>
        </w:rPr>
      </w:pPr>
    </w:p>
    <w:p w14:paraId="41FC76B0" w14:textId="77777777" w:rsidR="00443B09" w:rsidRPr="00443B09" w:rsidRDefault="00443B09" w:rsidP="00443B09">
      <w:pPr>
        <w:rPr>
          <w:rFonts w:cs="Calibri"/>
          <w:szCs w:val="24"/>
        </w:rPr>
      </w:pPr>
      <w:r w:rsidRPr="00443B09">
        <w:rPr>
          <w:rFonts w:cs="Calibri"/>
          <w:szCs w:val="24"/>
        </w:rPr>
        <w:t>B)</w:t>
      </w:r>
      <w:r w:rsidRPr="00443B09">
        <w:rPr>
          <w:rFonts w:cs="Calibri"/>
          <w:szCs w:val="24"/>
        </w:rPr>
        <w:tab/>
        <w:t xml:space="preserve">Rozvojový program – Financování asistentů pedagoga dle § 18 vyhlášky č. 27/2016 Sb., o vzdělávání žáků se speciálními vzdělávacími potřebami a žáků nadaných, ve znění pozdějších předpisů, na období leden – srpen 2019 </w:t>
      </w:r>
    </w:p>
    <w:p w14:paraId="0D620832" w14:textId="77777777" w:rsidR="00443B09" w:rsidRPr="00443B09" w:rsidRDefault="00443B09" w:rsidP="00443B09">
      <w:pPr>
        <w:rPr>
          <w:rFonts w:cs="Calibri"/>
          <w:szCs w:val="24"/>
        </w:rPr>
      </w:pPr>
    </w:p>
    <w:p w14:paraId="04E119DE" w14:textId="78CCE32C" w:rsidR="00443B09" w:rsidRPr="00443B09" w:rsidRDefault="00443B09" w:rsidP="00B83EC6">
      <w:pPr>
        <w:pStyle w:val="Text"/>
      </w:pPr>
      <w:r w:rsidRPr="00443B09">
        <w:t>Cílem tohoto programu je zajistit školám zřízeným územním samosprávným celkem, dobrovolným svazkem obcí, soukromým zřizovatelem</w:t>
      </w:r>
      <w:r w:rsidR="005607F5">
        <w:t xml:space="preserve"> nebo registrovanými církvemi a </w:t>
      </w:r>
      <w:r w:rsidRPr="00443B09">
        <w:t xml:space="preserve">náboženskými společnostmi, kterým bylo přiznáno oprávnění k výkonu zvláštního práva zřizovat církevní školy, možnost využití asistenta pedagoga nad rámec poskytovaných podpůrných opatření, při splnění podmínek ustanovení § 17 </w:t>
      </w:r>
      <w:r w:rsidR="005607F5">
        <w:t>a 18 vyhlášky č. 27/2016 Sb., o </w:t>
      </w:r>
      <w:r w:rsidRPr="00443B09">
        <w:t xml:space="preserve">vzdělávání žáků se speciálními vzdělávacími potřebami a žáků nadaných, ve znění pozdějších předpisů. Vzhledem k tomu, že asistent pedagoga, který bude ve třídě působit na základě § 18 vyhlášky, není podpůrným opatřením, nemůže být jako podpůrné opatření financováno. </w:t>
      </w:r>
    </w:p>
    <w:p w14:paraId="4AAA19DD" w14:textId="77777777" w:rsidR="00443B09" w:rsidRPr="00443B09" w:rsidRDefault="00443B09" w:rsidP="00443B09">
      <w:pPr>
        <w:rPr>
          <w:rFonts w:cs="Calibri"/>
          <w:szCs w:val="24"/>
        </w:rPr>
      </w:pPr>
    </w:p>
    <w:p w14:paraId="7AAF004F" w14:textId="77777777" w:rsidR="00443B09" w:rsidRPr="00443B09" w:rsidRDefault="00443B09" w:rsidP="00443B09">
      <w:pPr>
        <w:rPr>
          <w:rFonts w:cs="Calibri"/>
          <w:szCs w:val="24"/>
        </w:rPr>
      </w:pPr>
      <w:r w:rsidRPr="00443B09">
        <w:rPr>
          <w:rFonts w:cs="Calibri"/>
          <w:szCs w:val="24"/>
        </w:rPr>
        <w:t>C)</w:t>
      </w:r>
      <w:r w:rsidRPr="00443B09">
        <w:rPr>
          <w:rFonts w:cs="Calibri"/>
          <w:szCs w:val="24"/>
        </w:rPr>
        <w:tab/>
        <w:t xml:space="preserve">Rozvojový program – Navýšení kapacit ve školských poradenských zařízeních v roce 2019 </w:t>
      </w:r>
    </w:p>
    <w:p w14:paraId="26ABCC6A" w14:textId="77777777" w:rsidR="00443B09" w:rsidRPr="00443B09" w:rsidRDefault="00443B09" w:rsidP="00443B09">
      <w:pPr>
        <w:rPr>
          <w:rFonts w:cs="Calibri"/>
          <w:szCs w:val="24"/>
        </w:rPr>
      </w:pPr>
    </w:p>
    <w:p w14:paraId="27CDBFC6" w14:textId="6763FEDC" w:rsidR="00443B09" w:rsidRPr="00443B09" w:rsidRDefault="00443B09" w:rsidP="00B83EC6">
      <w:pPr>
        <w:pStyle w:val="Text"/>
      </w:pPr>
      <w:r w:rsidRPr="00443B09">
        <w:lastRenderedPageBreak/>
        <w:t>Účelem rozvojového programu je zajistit dostatečnou odbornou personální podporu pro realizaci § 16 školského zákona, a to navýšením personálních kapacit školských poradenských zařízení všech zřizovatelů zaspaných do školského rejstříku, podle pravidel stanovených dále v tomto programu. Zařízením se v soulad</w:t>
      </w:r>
      <w:r w:rsidR="005607F5">
        <w:t>u s vyhláškou č. 72/2005 Sb., o </w:t>
      </w:r>
      <w:r w:rsidRPr="00443B09">
        <w:t xml:space="preserve">poskytování poradenských služeb ve školách a školských poradenských zařízeních, ve znění pozdějších předpisů, rozumí pedagogicko-psychologická poradna nebo speciálně pedagogické centrum.  </w:t>
      </w:r>
    </w:p>
    <w:p w14:paraId="1B42CA6D" w14:textId="77777777" w:rsidR="00443B09" w:rsidRPr="00443B09" w:rsidRDefault="00443B09" w:rsidP="00443B09">
      <w:pPr>
        <w:rPr>
          <w:rFonts w:cs="Calibri"/>
          <w:szCs w:val="24"/>
        </w:rPr>
      </w:pPr>
    </w:p>
    <w:p w14:paraId="6C5C739D" w14:textId="77777777" w:rsidR="00443B09" w:rsidRPr="00DE19F2" w:rsidRDefault="00443B09" w:rsidP="00443B09">
      <w:pPr>
        <w:rPr>
          <w:rFonts w:cs="Calibri"/>
          <w:szCs w:val="24"/>
        </w:rPr>
      </w:pPr>
      <w:r w:rsidRPr="00DE19F2">
        <w:rPr>
          <w:rFonts w:cs="Calibri"/>
          <w:szCs w:val="24"/>
        </w:rPr>
        <w:t>2.</w:t>
      </w:r>
      <w:r w:rsidRPr="00DE19F2">
        <w:rPr>
          <w:rFonts w:cs="Calibri"/>
          <w:szCs w:val="24"/>
        </w:rPr>
        <w:tab/>
        <w:t>Rozvojový program Podpora vzdělávání cizinců ve školách</w:t>
      </w:r>
    </w:p>
    <w:p w14:paraId="31CC3AD5" w14:textId="77777777" w:rsidR="00443B09" w:rsidRPr="00DE19F2" w:rsidRDefault="00443B09" w:rsidP="00443B09">
      <w:pPr>
        <w:rPr>
          <w:rFonts w:cs="Calibri"/>
          <w:szCs w:val="24"/>
        </w:rPr>
      </w:pPr>
    </w:p>
    <w:p w14:paraId="02F9CD55" w14:textId="77777777" w:rsidR="00443B09" w:rsidRPr="00DE19F2" w:rsidRDefault="00443B09" w:rsidP="00B83EC6">
      <w:pPr>
        <w:pStyle w:val="Text"/>
      </w:pPr>
      <w:r w:rsidRPr="00DE19F2">
        <w:t>Rozvojový program je určen na podporu dětí a žáků - cizinců v povinném předškolním a základním vzdělávání uvedených v § 20 školského zákona. Účelem programu je podpora výuky českého jazyka přizpůsobená potřebám dětí a žáků-cizinců a úprava podmínek pro jejich vzdělávání tak, aby školy mohly ve třídách přizpůsobit počty dětí a žáků náročnosti výuky a činit další opatření k úspěšné integraci dětí a žáků-cizinců.</w:t>
      </w:r>
    </w:p>
    <w:p w14:paraId="4446E216" w14:textId="77777777" w:rsidR="00443B09" w:rsidRPr="00DE19F2" w:rsidRDefault="00443B09" w:rsidP="00CE7099">
      <w:pPr>
        <w:rPr>
          <w:rFonts w:cs="Calibri"/>
          <w:szCs w:val="24"/>
        </w:rPr>
      </w:pPr>
      <w:r w:rsidRPr="00DE19F2">
        <w:rPr>
          <w:rFonts w:cs="Calibri"/>
          <w:szCs w:val="24"/>
        </w:rPr>
        <w:t xml:space="preserve">Oprávněným žadatelem je: </w:t>
      </w:r>
    </w:p>
    <w:p w14:paraId="6E5C4646" w14:textId="77777777" w:rsidR="00443B09" w:rsidRPr="00DE19F2" w:rsidRDefault="00443B09" w:rsidP="00CE7099">
      <w:pPr>
        <w:rPr>
          <w:rFonts w:cs="Calibri"/>
          <w:szCs w:val="24"/>
        </w:rPr>
      </w:pPr>
      <w:r w:rsidRPr="00DE19F2">
        <w:rPr>
          <w:rFonts w:cs="Calibri"/>
          <w:szCs w:val="24"/>
        </w:rPr>
        <w:t>a)</w:t>
      </w:r>
      <w:r w:rsidRPr="00DE19F2">
        <w:rPr>
          <w:rFonts w:cs="Calibri"/>
          <w:szCs w:val="24"/>
        </w:rPr>
        <w:tab/>
        <w:t>kraj, do jehož územní působnosti náleží právnické osoby vykonávající činnost mateřských škol, základních škol nebo víceletých gymnázií (v odpovídajících ročnících) zapsaných v rejstříku škol a školských zařízení bez ohledu na jejich právní formu, pokud byly zřízeny územním samosprávným celkem, dobrovolným svazkem obcí nebo soukromým zřizovatelem, za tyto školy,</w:t>
      </w:r>
    </w:p>
    <w:p w14:paraId="6500EBEE" w14:textId="77777777" w:rsidR="00443B09" w:rsidRPr="00DE19F2" w:rsidRDefault="00443B09" w:rsidP="00CE7099">
      <w:pPr>
        <w:rPr>
          <w:rFonts w:cs="Calibri"/>
          <w:szCs w:val="24"/>
        </w:rPr>
      </w:pPr>
      <w:r w:rsidRPr="00DE19F2">
        <w:rPr>
          <w:rFonts w:cs="Calibri"/>
          <w:szCs w:val="24"/>
        </w:rPr>
        <w:t>b)</w:t>
      </w:r>
      <w:r w:rsidRPr="00DE19F2">
        <w:rPr>
          <w:rFonts w:cs="Calibri"/>
          <w:szCs w:val="24"/>
        </w:rPr>
        <w:tab/>
        <w:t>právnická osoba vykonávající činnost mateřské školy, základní školy nebo víceletého gymnázia (v odpovídajících ročnících) zapsaná v rejstříku škol a školských zařízení, která byla zřízena registrovanou církví nebo náboženskou společností, které bylo přiznáno oprávnění k výkonu zvláštního práva zřizovat církevní školy bez ohledu na její právní formu.</w:t>
      </w:r>
    </w:p>
    <w:p w14:paraId="6F67F714" w14:textId="77777777" w:rsidR="00443B09" w:rsidRPr="00DE19F2" w:rsidRDefault="00443B09" w:rsidP="00CE7099">
      <w:pPr>
        <w:rPr>
          <w:rFonts w:cs="Calibri"/>
          <w:szCs w:val="24"/>
        </w:rPr>
      </w:pPr>
      <w:r w:rsidRPr="00DE19F2">
        <w:rPr>
          <w:rFonts w:cs="Calibri"/>
          <w:szCs w:val="24"/>
        </w:rPr>
        <w:t>Dotace je určena na:</w:t>
      </w:r>
    </w:p>
    <w:p w14:paraId="027EB082" w14:textId="77777777" w:rsidR="00443B09" w:rsidRPr="00DE19F2" w:rsidRDefault="00443B09" w:rsidP="00CE7099">
      <w:pPr>
        <w:rPr>
          <w:rFonts w:cs="Calibri"/>
          <w:szCs w:val="24"/>
        </w:rPr>
      </w:pPr>
      <w:r w:rsidRPr="00DE19F2">
        <w:rPr>
          <w:rFonts w:cs="Calibri"/>
          <w:szCs w:val="24"/>
        </w:rPr>
        <w:t xml:space="preserve">a) </w:t>
      </w:r>
      <w:r w:rsidRPr="00DE19F2">
        <w:rPr>
          <w:rFonts w:cs="Calibri"/>
          <w:szCs w:val="24"/>
        </w:rPr>
        <w:tab/>
        <w:t>zvýšené náklady vyplývající z pracovněprávních vztahů, které právnickým osobám vzniknou v souvislosti s poskytováním povinného předškolního a základního vzdělávání dětem a žákům-cizincům,</w:t>
      </w:r>
    </w:p>
    <w:p w14:paraId="5146109D" w14:textId="7D501653" w:rsidR="00CE7099" w:rsidRPr="00DE19F2" w:rsidRDefault="00443B09" w:rsidP="00CE7099">
      <w:pPr>
        <w:rPr>
          <w:rFonts w:cs="Calibri"/>
          <w:szCs w:val="24"/>
        </w:rPr>
      </w:pPr>
      <w:r w:rsidRPr="00DE19F2">
        <w:rPr>
          <w:rFonts w:cs="Calibri"/>
          <w:szCs w:val="24"/>
        </w:rPr>
        <w:t xml:space="preserve">b) </w:t>
      </w:r>
      <w:r w:rsidRPr="00DE19F2">
        <w:rPr>
          <w:rFonts w:cs="Calibri"/>
          <w:szCs w:val="24"/>
        </w:rPr>
        <w:tab/>
        <w:t>zvýšené náklady na poskytování doučování – ind</w:t>
      </w:r>
      <w:r w:rsidR="00691319">
        <w:rPr>
          <w:rFonts w:cs="Calibri"/>
          <w:szCs w:val="24"/>
        </w:rPr>
        <w:t>ividuální práci pedagoga s žáky</w:t>
      </w:r>
      <w:r w:rsidR="00691319">
        <w:rPr>
          <w:rFonts w:cs="Calibri"/>
          <w:szCs w:val="24"/>
        </w:rPr>
        <w:noBreakHyphen/>
      </w:r>
      <w:r w:rsidRPr="00DE19F2">
        <w:rPr>
          <w:rFonts w:cs="Calibri"/>
          <w:szCs w:val="24"/>
        </w:rPr>
        <w:t>cizinci nad rámec běžné výuky v případech individuálních vzd</w:t>
      </w:r>
      <w:r w:rsidR="00691319">
        <w:rPr>
          <w:rFonts w:cs="Calibri"/>
          <w:szCs w:val="24"/>
        </w:rPr>
        <w:t>ělávacích potřeb žáků</w:t>
      </w:r>
      <w:r w:rsidR="00691319">
        <w:rPr>
          <w:rFonts w:cs="Calibri"/>
          <w:szCs w:val="24"/>
        </w:rPr>
        <w:noBreakHyphen/>
      </w:r>
      <w:r w:rsidR="005607F5">
        <w:rPr>
          <w:rFonts w:cs="Calibri"/>
          <w:szCs w:val="24"/>
        </w:rPr>
        <w:t>cizinců v </w:t>
      </w:r>
      <w:r w:rsidRPr="00DE19F2">
        <w:rPr>
          <w:rFonts w:cs="Calibri"/>
          <w:szCs w:val="24"/>
        </w:rPr>
        <w:t>souvislosti s jejich odlišným dosavadním vzděláním či kulturními odlišnostmi,</w:t>
      </w:r>
    </w:p>
    <w:p w14:paraId="07F84962" w14:textId="70066F58" w:rsidR="00443B09" w:rsidRPr="00DE19F2" w:rsidRDefault="00CE7099" w:rsidP="00443B09">
      <w:pPr>
        <w:rPr>
          <w:rFonts w:cs="Calibri"/>
          <w:szCs w:val="24"/>
        </w:rPr>
      </w:pPr>
      <w:r w:rsidRPr="00DE19F2">
        <w:rPr>
          <w:rFonts w:cs="Calibri"/>
          <w:szCs w:val="24"/>
        </w:rPr>
        <w:t xml:space="preserve">C) </w:t>
      </w:r>
      <w:r w:rsidRPr="00DE19F2">
        <w:rPr>
          <w:rFonts w:cs="Calibri"/>
          <w:szCs w:val="24"/>
        </w:rPr>
        <w:tab/>
      </w:r>
      <w:r w:rsidR="00443B09" w:rsidRPr="00DE19F2">
        <w:rPr>
          <w:rFonts w:cs="Calibri"/>
          <w:szCs w:val="24"/>
        </w:rPr>
        <w:t>zvýšené náklady na školní potřeby a učebnice, pokud jsou podle školského zákona poskytovány bezplatně, na učební pomůcky, pokud k</w:t>
      </w:r>
      <w:r w:rsidR="005607F5">
        <w:rPr>
          <w:rFonts w:cs="Calibri"/>
          <w:szCs w:val="24"/>
        </w:rPr>
        <w:t>e zvýšení těchto výdajů došlo v </w:t>
      </w:r>
      <w:r w:rsidR="00443B09" w:rsidRPr="00DE19F2">
        <w:rPr>
          <w:rFonts w:cs="Calibri"/>
          <w:szCs w:val="24"/>
        </w:rPr>
        <w:t xml:space="preserve">souvislosti s poskytováním povinného předškolního </w:t>
      </w:r>
      <w:r w:rsidR="005607F5">
        <w:rPr>
          <w:rFonts w:cs="Calibri"/>
          <w:szCs w:val="24"/>
        </w:rPr>
        <w:t>a základního vzdělávání dětem a </w:t>
      </w:r>
      <w:r w:rsidR="00443B09" w:rsidRPr="00DE19F2">
        <w:rPr>
          <w:rFonts w:cs="Calibri"/>
          <w:szCs w:val="24"/>
        </w:rPr>
        <w:t>žákům-cizincům.</w:t>
      </w:r>
    </w:p>
    <w:p w14:paraId="5B23DFC2" w14:textId="77777777" w:rsidR="00CE7099" w:rsidRDefault="00CE7099" w:rsidP="00443B09">
      <w:pPr>
        <w:rPr>
          <w:rFonts w:cs="Calibri"/>
          <w:szCs w:val="24"/>
        </w:rPr>
      </w:pPr>
    </w:p>
    <w:p w14:paraId="4ED9E19C" w14:textId="77777777" w:rsidR="00F83DD6" w:rsidRPr="00DE19F2" w:rsidRDefault="00F83DD6" w:rsidP="00443B09">
      <w:pPr>
        <w:rPr>
          <w:rFonts w:cs="Calibri"/>
          <w:szCs w:val="24"/>
        </w:rPr>
      </w:pPr>
    </w:p>
    <w:p w14:paraId="0A4C074C" w14:textId="77777777" w:rsidR="00443B09" w:rsidRPr="00DE19F2" w:rsidRDefault="00443B09" w:rsidP="00443B09">
      <w:pPr>
        <w:rPr>
          <w:rFonts w:cs="Calibri"/>
          <w:szCs w:val="24"/>
        </w:rPr>
      </w:pPr>
      <w:r w:rsidRPr="00DE19F2">
        <w:rPr>
          <w:rFonts w:cs="Calibri"/>
          <w:szCs w:val="24"/>
        </w:rPr>
        <w:t>3.</w:t>
      </w:r>
      <w:r w:rsidRPr="00DE19F2">
        <w:rPr>
          <w:rFonts w:cs="Calibri"/>
          <w:szCs w:val="24"/>
        </w:rPr>
        <w:tab/>
        <w:t>Rozvojové programy na podporu vzdělávání a pokusná ověřování</w:t>
      </w:r>
    </w:p>
    <w:p w14:paraId="21C09EB7" w14:textId="77777777" w:rsidR="00443B09" w:rsidRPr="00DE19F2" w:rsidRDefault="00443B09" w:rsidP="00443B09">
      <w:pPr>
        <w:rPr>
          <w:rFonts w:cs="Calibri"/>
          <w:szCs w:val="24"/>
        </w:rPr>
      </w:pPr>
    </w:p>
    <w:p w14:paraId="75959D7B" w14:textId="77777777" w:rsidR="00443B09" w:rsidRDefault="00443B09" w:rsidP="00443B09">
      <w:pPr>
        <w:rPr>
          <w:rFonts w:cs="Calibri"/>
          <w:b/>
          <w:i/>
          <w:szCs w:val="24"/>
        </w:rPr>
      </w:pPr>
      <w:r w:rsidRPr="00DE19F2">
        <w:rPr>
          <w:rFonts w:cs="Calibri"/>
          <w:b/>
          <w:i/>
          <w:szCs w:val="24"/>
        </w:rPr>
        <w:t>Programy na podporu odborného vzdělávání</w:t>
      </w:r>
    </w:p>
    <w:p w14:paraId="07C77112" w14:textId="77777777" w:rsidR="006D0C37" w:rsidRPr="00B83EC6" w:rsidRDefault="006D0C37" w:rsidP="00443B09">
      <w:pPr>
        <w:rPr>
          <w:rFonts w:cs="Calibri"/>
          <w:b/>
          <w:i/>
          <w:szCs w:val="24"/>
        </w:rPr>
      </w:pPr>
    </w:p>
    <w:p w14:paraId="09497CE9" w14:textId="77777777" w:rsidR="00443B09" w:rsidRPr="00443B09" w:rsidRDefault="00443B09" w:rsidP="00443B09">
      <w:pPr>
        <w:rPr>
          <w:rFonts w:cs="Calibri"/>
          <w:szCs w:val="24"/>
        </w:rPr>
      </w:pPr>
      <w:r w:rsidRPr="00443B09">
        <w:rPr>
          <w:rFonts w:cs="Calibri"/>
          <w:szCs w:val="24"/>
        </w:rPr>
        <w:t>A)</w:t>
      </w:r>
      <w:r w:rsidRPr="00443B09">
        <w:rPr>
          <w:rFonts w:cs="Calibri"/>
          <w:szCs w:val="24"/>
        </w:rPr>
        <w:tab/>
        <w:t xml:space="preserve">Rozvojový program na podporu odborného vzdělávání </w:t>
      </w:r>
    </w:p>
    <w:p w14:paraId="6349A10D" w14:textId="4CDF665F" w:rsidR="00443B09" w:rsidRDefault="00443B09" w:rsidP="00B83EC6">
      <w:pPr>
        <w:pStyle w:val="Text"/>
      </w:pPr>
      <w:r w:rsidRPr="00443B09">
        <w:t>Cílem programu je vytvoření optimálních podmínek pro další zvyšování kvality vzdělávání ve středních školách, a to zejména v oborech vzdělání, které lze z pohledu potřeb trhu práce, popřípadě i z pohledu unikátnosti a tradice, považovat v daném území za nenahraditelné. Finanční prostředky jsou určeny na vzd</w:t>
      </w:r>
      <w:r w:rsidR="005607F5">
        <w:t>ělávání žáků ve víceoborových a </w:t>
      </w:r>
      <w:r w:rsidRPr="00443B09">
        <w:t xml:space="preserve">jednooborových třídách s nižším počtem žáků. Díky tomuto opatření mohou školy ve víceoborových třídách v odborných předmětech a oblastech vzdělávání rozdělit třídy na </w:t>
      </w:r>
      <w:r w:rsidRPr="00443B09">
        <w:lastRenderedPageBreak/>
        <w:t xml:space="preserve">skupiny s menším počtem žáků podle oborů vzdělání. Snížením počtů žáků ve skupině na učitele odborných předmětů a oblastí se vytvoří lepší podmínky pro vzdělávání žáků. </w:t>
      </w:r>
    </w:p>
    <w:p w14:paraId="1AB46896" w14:textId="77777777" w:rsidR="00B83EC6" w:rsidRPr="00443B09" w:rsidRDefault="00B83EC6" w:rsidP="00443B09">
      <w:pPr>
        <w:rPr>
          <w:rFonts w:cs="Calibri"/>
          <w:szCs w:val="24"/>
        </w:rPr>
      </w:pPr>
    </w:p>
    <w:p w14:paraId="161CF572" w14:textId="77777777" w:rsidR="00443B09" w:rsidRPr="00443B09" w:rsidRDefault="00443B09" w:rsidP="00443B09">
      <w:pPr>
        <w:rPr>
          <w:rFonts w:cs="Calibri"/>
          <w:szCs w:val="24"/>
        </w:rPr>
      </w:pPr>
      <w:r w:rsidRPr="00443B09">
        <w:rPr>
          <w:rFonts w:cs="Calibri"/>
          <w:szCs w:val="24"/>
        </w:rPr>
        <w:t>B)</w:t>
      </w:r>
      <w:r w:rsidRPr="00443B09">
        <w:rPr>
          <w:rFonts w:cs="Calibri"/>
          <w:szCs w:val="24"/>
        </w:rPr>
        <w:tab/>
        <w:t xml:space="preserve">Rozvojový program na podporu organizace a ukončování středního vzdělávání maturitní zkouškou </w:t>
      </w:r>
    </w:p>
    <w:p w14:paraId="7000DDAB" w14:textId="12CFD6D0" w:rsidR="00443B09" w:rsidRPr="00443B09" w:rsidRDefault="00443B09" w:rsidP="00B83EC6">
      <w:pPr>
        <w:pStyle w:val="Text"/>
      </w:pPr>
      <w:r w:rsidRPr="00443B09">
        <w:t>Cílem programu je poskytnout vybraným právnickým osobám vykonávajícím činnost střední školy, které stanovilo v souladu s § 81 odst. 1 školského zákona Centrum pro zjišťování výsledků vzdělávání (dále jen „Centrum“) a jejichž zřizovateli jsou kraje, soukromé fyzické či právnické osoby nebo MŠMT, neinvestiční finanční prostředky účelově určené jednak na komplexní zajištění podmínek pro řá</w:t>
      </w:r>
      <w:r w:rsidR="005607F5">
        <w:t>dný průběh didaktických testů a </w:t>
      </w:r>
      <w:r w:rsidRPr="00443B09">
        <w:t>písemných prací společné části maturitní zkoušky podle j</w:t>
      </w:r>
      <w:r w:rsidR="005607F5">
        <w:t>ednotného zkušebního schématu a </w:t>
      </w:r>
      <w:r w:rsidRPr="00443B09">
        <w:t>na zajištění technickoadministrativních podmínek pro konání zkoušek v podzimním zkušebním období příslušného roku ve školách stanovených Centrem.</w:t>
      </w:r>
    </w:p>
    <w:p w14:paraId="6C44DF5B" w14:textId="77777777" w:rsidR="00B83EC6" w:rsidRDefault="00B83EC6" w:rsidP="00443B09">
      <w:pPr>
        <w:rPr>
          <w:rFonts w:cs="Calibri"/>
          <w:szCs w:val="24"/>
        </w:rPr>
      </w:pPr>
    </w:p>
    <w:p w14:paraId="2939982D" w14:textId="77777777" w:rsidR="00443B09" w:rsidRPr="00B83EC6" w:rsidRDefault="00443B09" w:rsidP="00443B09">
      <w:pPr>
        <w:rPr>
          <w:rFonts w:cs="Calibri"/>
          <w:b/>
          <w:i/>
          <w:szCs w:val="24"/>
        </w:rPr>
      </w:pPr>
      <w:r w:rsidRPr="00B83EC6">
        <w:rPr>
          <w:rFonts w:cs="Calibri"/>
          <w:b/>
          <w:i/>
          <w:szCs w:val="24"/>
        </w:rPr>
        <w:t>Programy na podporu občanské společnosti</w:t>
      </w:r>
    </w:p>
    <w:p w14:paraId="218FC267" w14:textId="77777777" w:rsidR="00B83EC6" w:rsidRPr="00443B09" w:rsidRDefault="00B83EC6" w:rsidP="00443B09">
      <w:pPr>
        <w:rPr>
          <w:rFonts w:cs="Calibri"/>
          <w:szCs w:val="24"/>
        </w:rPr>
      </w:pPr>
    </w:p>
    <w:p w14:paraId="2321AAE8" w14:textId="77777777" w:rsidR="00443B09" w:rsidRPr="00443B09" w:rsidRDefault="00B83EC6" w:rsidP="00443B09">
      <w:pPr>
        <w:rPr>
          <w:rFonts w:cs="Calibri"/>
          <w:szCs w:val="24"/>
        </w:rPr>
      </w:pPr>
      <w:r>
        <w:rPr>
          <w:rFonts w:cs="Calibri"/>
          <w:szCs w:val="24"/>
        </w:rPr>
        <w:t>C</w:t>
      </w:r>
      <w:r w:rsidR="00443B09" w:rsidRPr="00443B09">
        <w:rPr>
          <w:rFonts w:cs="Calibri"/>
          <w:szCs w:val="24"/>
        </w:rPr>
        <w:t>)</w:t>
      </w:r>
      <w:r w:rsidR="00443B09" w:rsidRPr="00443B09">
        <w:rPr>
          <w:rFonts w:cs="Calibri"/>
          <w:szCs w:val="24"/>
        </w:rPr>
        <w:tab/>
        <w:t>Pokusné ověřování Vzdělávací programy paměťových institucí do škol</w:t>
      </w:r>
    </w:p>
    <w:p w14:paraId="5DA656AE" w14:textId="77777777" w:rsidR="00443B09" w:rsidRPr="00443B09" w:rsidRDefault="00443B09" w:rsidP="00CE7099">
      <w:pPr>
        <w:pStyle w:val="Text"/>
      </w:pPr>
      <w:r w:rsidRPr="00443B09">
        <w:t>Cílem pokusného ověřování je ověřit rozsah a dopad využívání vzdělávacích programů muzeí a památníků školami pomocí zážitkové pedagogiky a oživené historie ve společenskovědních předmětech za účelem zkvalitnění výuky, ověřit zájem škol o využití muzejních edukačních programů a jejich zapojení do výuky, ověřit, jak finančně náročná je pro školy návštěva muzea či památníku a určit průměrnou částku, kterou třída zaplatí a ověřit výši poskytovaného normativu na žáka s ohledem na realizaci aktivit ověřovaných v rámci pokusného ověřování.</w:t>
      </w:r>
    </w:p>
    <w:p w14:paraId="5158273A" w14:textId="77777777" w:rsidR="00443B09" w:rsidRPr="00443B09" w:rsidRDefault="00443B09" w:rsidP="00443B09">
      <w:pPr>
        <w:rPr>
          <w:rFonts w:cs="Calibri"/>
          <w:szCs w:val="24"/>
        </w:rPr>
      </w:pPr>
    </w:p>
    <w:p w14:paraId="3DE5C9FE" w14:textId="77777777" w:rsidR="00443B09" w:rsidRPr="00B83EC6" w:rsidRDefault="00443B09" w:rsidP="00443B09">
      <w:pPr>
        <w:rPr>
          <w:rFonts w:cs="Calibri"/>
          <w:b/>
          <w:i/>
          <w:szCs w:val="24"/>
        </w:rPr>
      </w:pPr>
      <w:r w:rsidRPr="00B83EC6">
        <w:rPr>
          <w:rFonts w:cs="Calibri"/>
          <w:b/>
          <w:i/>
          <w:szCs w:val="24"/>
        </w:rPr>
        <w:t>Programy na podporu tělesné výchovy</w:t>
      </w:r>
    </w:p>
    <w:p w14:paraId="3382DAA8" w14:textId="77777777" w:rsidR="00B83EC6" w:rsidRPr="00443B09" w:rsidRDefault="00B83EC6" w:rsidP="00443B09">
      <w:pPr>
        <w:rPr>
          <w:rFonts w:cs="Calibri"/>
          <w:szCs w:val="24"/>
        </w:rPr>
      </w:pPr>
    </w:p>
    <w:p w14:paraId="3E0B4083" w14:textId="77777777" w:rsidR="00443B09" w:rsidRPr="00443B09" w:rsidRDefault="00B83EC6" w:rsidP="00443B09">
      <w:pPr>
        <w:rPr>
          <w:rFonts w:cs="Calibri"/>
          <w:szCs w:val="24"/>
        </w:rPr>
      </w:pPr>
      <w:r>
        <w:rPr>
          <w:rFonts w:cs="Calibri"/>
          <w:szCs w:val="24"/>
        </w:rPr>
        <w:t>D</w:t>
      </w:r>
      <w:r w:rsidR="00443B09" w:rsidRPr="00443B09">
        <w:rPr>
          <w:rFonts w:cs="Calibri"/>
          <w:szCs w:val="24"/>
        </w:rPr>
        <w:t>)</w:t>
      </w:r>
      <w:r w:rsidR="00443B09" w:rsidRPr="00443B09">
        <w:rPr>
          <w:rFonts w:cs="Calibri"/>
          <w:szCs w:val="24"/>
        </w:rPr>
        <w:tab/>
        <w:t>Podpora výuky plavání v základních školách pro rok 2019</w:t>
      </w:r>
    </w:p>
    <w:p w14:paraId="50B6C77E" w14:textId="77777777" w:rsidR="00443B09" w:rsidRPr="00443B09" w:rsidRDefault="00443B09" w:rsidP="003666C0">
      <w:pPr>
        <w:pStyle w:val="Text"/>
      </w:pPr>
      <w:r w:rsidRPr="00443B09">
        <w:t>Cílem programu je podpora výuky plavání na 1. stupni ZŠ v rámci povinné školní docházky.</w:t>
      </w:r>
    </w:p>
    <w:p w14:paraId="0F1007D1" w14:textId="77777777" w:rsidR="00443B09" w:rsidRPr="00443B09" w:rsidRDefault="00443B09" w:rsidP="00CE7099">
      <w:pPr>
        <w:pStyle w:val="Text"/>
      </w:pPr>
      <w:r w:rsidRPr="00443B09">
        <w:t>Účelem rozvojového programu je podpořit výuku plavání na 1. stupni ZŠ v rámci povinné školní docházky, a to poskytnutím finančních prostředků na dopravu žáků z místa poskytování vzdělávání do místa výuky plavání a zpět, včetně přístavných kilometrů a čekací doby. Školy proto nebudou nuceny požadovat celou platbu od zákonných zástupců svých žáků, případně dotace může pokrýt celou platbu za tuto dopravu.</w:t>
      </w:r>
    </w:p>
    <w:p w14:paraId="750884A3" w14:textId="77777777" w:rsidR="00443B09" w:rsidRDefault="00443B09" w:rsidP="00443B09">
      <w:pPr>
        <w:rPr>
          <w:rFonts w:cs="Calibri"/>
          <w:szCs w:val="24"/>
        </w:rPr>
      </w:pPr>
    </w:p>
    <w:p w14:paraId="7C6D1EBD" w14:textId="77777777" w:rsidR="00F83DD6" w:rsidRDefault="00F83DD6" w:rsidP="00443B09">
      <w:pPr>
        <w:rPr>
          <w:rFonts w:cs="Calibri"/>
          <w:szCs w:val="24"/>
        </w:rPr>
      </w:pPr>
    </w:p>
    <w:p w14:paraId="62D54564" w14:textId="77777777" w:rsidR="00443B09" w:rsidRPr="00B83EC6" w:rsidRDefault="00443B09" w:rsidP="00443B09">
      <w:pPr>
        <w:rPr>
          <w:rFonts w:cs="Calibri"/>
          <w:b/>
          <w:i/>
          <w:szCs w:val="24"/>
        </w:rPr>
      </w:pPr>
      <w:r w:rsidRPr="00B83EC6">
        <w:rPr>
          <w:rFonts w:cs="Calibri"/>
          <w:b/>
          <w:i/>
          <w:szCs w:val="24"/>
        </w:rPr>
        <w:t>Programy na podporu předškolního vzdělávání</w:t>
      </w:r>
    </w:p>
    <w:p w14:paraId="2AD407FD" w14:textId="77777777" w:rsidR="00B83EC6" w:rsidRPr="00443B09" w:rsidRDefault="00B83EC6" w:rsidP="00443B09">
      <w:pPr>
        <w:rPr>
          <w:rFonts w:cs="Calibri"/>
          <w:szCs w:val="24"/>
        </w:rPr>
      </w:pPr>
    </w:p>
    <w:p w14:paraId="234335A6" w14:textId="17B10081" w:rsidR="00443B09" w:rsidRPr="00443B09" w:rsidRDefault="009A7813" w:rsidP="00443B09">
      <w:pPr>
        <w:rPr>
          <w:rFonts w:cs="Calibri"/>
          <w:szCs w:val="24"/>
        </w:rPr>
      </w:pPr>
      <w:r>
        <w:rPr>
          <w:rFonts w:cs="Calibri"/>
          <w:szCs w:val="24"/>
        </w:rPr>
        <w:t>E</w:t>
      </w:r>
      <w:r w:rsidR="00443B09" w:rsidRPr="00443B09">
        <w:rPr>
          <w:rFonts w:cs="Calibri"/>
          <w:szCs w:val="24"/>
        </w:rPr>
        <w:t xml:space="preserve">) </w:t>
      </w:r>
      <w:r w:rsidR="00F83DD6">
        <w:rPr>
          <w:rFonts w:cs="Calibri"/>
          <w:szCs w:val="24"/>
        </w:rPr>
        <w:tab/>
      </w:r>
      <w:r w:rsidR="00443B09" w:rsidRPr="00443B09">
        <w:rPr>
          <w:rFonts w:cs="Calibri"/>
          <w:szCs w:val="24"/>
        </w:rPr>
        <w:t>Finanční zajištění překrývání přímé pedagogické činnosti učitelů se zohledněním provozu mateřských škol pro rok 2019</w:t>
      </w:r>
    </w:p>
    <w:p w14:paraId="646DF8BE" w14:textId="77777777" w:rsidR="00443B09" w:rsidRPr="00443B09" w:rsidRDefault="00443B09" w:rsidP="00CE7099">
      <w:pPr>
        <w:pStyle w:val="Text"/>
      </w:pPr>
      <w:r w:rsidRPr="00443B09">
        <w:t>Cílem programu je zvýšení kvality předškolního vzdělávání zajištěním překrývání přímé pedagogické činnosti učitelů mateřských škol, které vychází z kapitoly „7. Podmínky předškolního vzdělávání“, která je dána Rámcovým vzdělávacím programem pro předškolní vzdělávání.</w:t>
      </w:r>
    </w:p>
    <w:p w14:paraId="69EC9040" w14:textId="77777777" w:rsidR="00443B09" w:rsidRPr="00443B09" w:rsidRDefault="00443B09" w:rsidP="00443B09">
      <w:pPr>
        <w:rPr>
          <w:rFonts w:cs="Calibri"/>
          <w:szCs w:val="24"/>
        </w:rPr>
      </w:pPr>
      <w:r w:rsidRPr="00443B09">
        <w:rPr>
          <w:rFonts w:cs="Calibri"/>
          <w:szCs w:val="24"/>
        </w:rPr>
        <w:t>Účelem poskytnuté dotace bude finanční pokrytí nákladů spojených s personálním zajištěním překryvu přímé pedagogické činnosti učitelů se zohledněním provozu v mateřských školách.</w:t>
      </w:r>
    </w:p>
    <w:p w14:paraId="3366D16D" w14:textId="77777777" w:rsidR="00443B09" w:rsidRPr="00443B09" w:rsidRDefault="00443B09" w:rsidP="00443B09">
      <w:pPr>
        <w:rPr>
          <w:rFonts w:cs="Calibri"/>
          <w:szCs w:val="24"/>
        </w:rPr>
      </w:pPr>
    </w:p>
    <w:p w14:paraId="0A7D04D6" w14:textId="77777777" w:rsidR="00443B09" w:rsidRPr="00443B09" w:rsidRDefault="00443B09" w:rsidP="00443B09">
      <w:pPr>
        <w:rPr>
          <w:rFonts w:cs="Calibri"/>
          <w:szCs w:val="24"/>
        </w:rPr>
      </w:pPr>
      <w:r w:rsidRPr="00DE19F2">
        <w:rPr>
          <w:rFonts w:cs="Calibri"/>
          <w:szCs w:val="24"/>
        </w:rPr>
        <w:lastRenderedPageBreak/>
        <w:t xml:space="preserve">4. </w:t>
      </w:r>
      <w:r w:rsidRPr="00DE19F2">
        <w:rPr>
          <w:rFonts w:cs="Calibri"/>
          <w:szCs w:val="24"/>
        </w:rPr>
        <w:tab/>
        <w:t>Postupná implementace změn financování RgŠ</w:t>
      </w:r>
    </w:p>
    <w:p w14:paraId="792F4F18" w14:textId="77777777" w:rsidR="00443B09" w:rsidRPr="00443B09" w:rsidRDefault="00443B09" w:rsidP="00443B09">
      <w:pPr>
        <w:rPr>
          <w:rFonts w:cs="Calibri"/>
          <w:szCs w:val="24"/>
        </w:rPr>
      </w:pPr>
    </w:p>
    <w:p w14:paraId="26FA4541" w14:textId="7E302CAC" w:rsidR="00443B09" w:rsidRPr="00443B09" w:rsidRDefault="009A7813" w:rsidP="00443B09">
      <w:pPr>
        <w:rPr>
          <w:rFonts w:cs="Calibri"/>
          <w:szCs w:val="24"/>
        </w:rPr>
      </w:pPr>
      <w:r>
        <w:rPr>
          <w:rFonts w:cs="Calibri"/>
          <w:szCs w:val="24"/>
        </w:rPr>
        <w:t>F</w:t>
      </w:r>
      <w:r w:rsidR="00443B09" w:rsidRPr="00443B09">
        <w:rPr>
          <w:rFonts w:cs="Calibri"/>
          <w:szCs w:val="24"/>
        </w:rPr>
        <w:t xml:space="preserve">) </w:t>
      </w:r>
      <w:r w:rsidR="00AB6B8A" w:rsidRPr="00443B09">
        <w:rPr>
          <w:rFonts w:cs="Calibri"/>
          <w:szCs w:val="24"/>
        </w:rPr>
        <w:tab/>
      </w:r>
      <w:r w:rsidR="00443B09" w:rsidRPr="00443B09">
        <w:rPr>
          <w:rFonts w:cs="Calibri"/>
          <w:szCs w:val="24"/>
        </w:rPr>
        <w:t>Částečné vyrovnání mezikrajových rozdílů v odměňování pedagogických pracovníků mateřských, základních a středních škol, konzervatoří a školních družin v roce 2019</w:t>
      </w:r>
    </w:p>
    <w:p w14:paraId="6A3F9A10" w14:textId="77777777" w:rsidR="00443B09" w:rsidRPr="00443B09" w:rsidRDefault="00443B09" w:rsidP="00CE7099">
      <w:pPr>
        <w:pStyle w:val="Text"/>
      </w:pPr>
      <w:r w:rsidRPr="00443B09">
        <w:t xml:space="preserve">Cílem programu je prostřednictvím posílení nenárokových složek platu zvýšit platovou úroveň pedagogických pracovníků mateřských, základních a středních škol (vč. konzervatoří) a školních družin zřízených územním samosprávným celkem nebo dobrovolným svazkem obcí v krajích, ve kterých byla dosažená úroveň odměňování těchto pracovníků v roce 2017 nižší než úroveň odměňování ve dvou krajích s nejvyšší dosaženou úrovní odměňování uvedených pracovníků (zvlášť pro každý jednotlivý, výše uvedený, druh školy či školní družinu), a tím částečně vyrovnat mezikrajové rozdíly v odměňování pedagogických pracovníků mateřských, základních a středních škol (vč. konzervatoří) a školních družin zřízených územním samosprávným celkem nebo dobrovolným svazkem obcí. </w:t>
      </w:r>
    </w:p>
    <w:p w14:paraId="250654A5" w14:textId="65AA0D1C" w:rsidR="00443B09" w:rsidRPr="00443B09" w:rsidRDefault="00443B09" w:rsidP="00CE7099">
      <w:pPr>
        <w:pStyle w:val="Text"/>
      </w:pPr>
      <w:r w:rsidRPr="00443B09">
        <w:t>Program si klade za cíl i částečné vyrovnání rozdílů na území kraje nebo hlavního města Prahy mezi dosaženou úrovní nenárokových složek p</w:t>
      </w:r>
      <w:r w:rsidR="005607F5">
        <w:t>latů pedagogických pracovníků v </w:t>
      </w:r>
      <w:r w:rsidRPr="00443B09">
        <w:t>jednotlivých druzích výše uvedených škol a ve školních družinách.</w:t>
      </w:r>
    </w:p>
    <w:p w14:paraId="7EEA08F1" w14:textId="77777777" w:rsidR="00443B09" w:rsidRPr="00443B09" w:rsidRDefault="00443B09" w:rsidP="00CE7099">
      <w:pPr>
        <w:pStyle w:val="Text"/>
      </w:pPr>
      <w:r w:rsidRPr="00443B09">
        <w:t>V rámci programu nelze nárokovat limit počtu zaměstnanců.</w:t>
      </w:r>
    </w:p>
    <w:p w14:paraId="2025EA70" w14:textId="77777777" w:rsidR="00443B09" w:rsidRPr="00443B09" w:rsidRDefault="00443B09" w:rsidP="00443B09">
      <w:pPr>
        <w:rPr>
          <w:rFonts w:cs="Calibri"/>
          <w:szCs w:val="24"/>
        </w:rPr>
      </w:pPr>
    </w:p>
    <w:p w14:paraId="699F7DC9" w14:textId="7065ABF8" w:rsidR="0070585C" w:rsidRDefault="009A7813" w:rsidP="00443B09">
      <w:pPr>
        <w:rPr>
          <w:rFonts w:cs="Calibri"/>
          <w:szCs w:val="24"/>
        </w:rPr>
      </w:pPr>
      <w:r>
        <w:rPr>
          <w:rFonts w:cs="Calibri"/>
          <w:szCs w:val="24"/>
        </w:rPr>
        <w:t>G</w:t>
      </w:r>
      <w:r w:rsidR="00443B09" w:rsidRPr="00443B09">
        <w:rPr>
          <w:rFonts w:cs="Calibri"/>
          <w:szCs w:val="24"/>
        </w:rPr>
        <w:t xml:space="preserve">) </w:t>
      </w:r>
      <w:r w:rsidR="00443B09" w:rsidRPr="00443B09">
        <w:rPr>
          <w:rFonts w:cs="Calibri"/>
          <w:szCs w:val="24"/>
        </w:rPr>
        <w:tab/>
      </w:r>
      <w:r w:rsidR="00AB6B8A">
        <w:rPr>
          <w:rFonts w:cs="Calibri"/>
          <w:szCs w:val="24"/>
        </w:rPr>
        <w:t>P</w:t>
      </w:r>
      <w:r w:rsidR="00443B09" w:rsidRPr="00443B09">
        <w:rPr>
          <w:rFonts w:cs="Calibri"/>
          <w:szCs w:val="24"/>
        </w:rPr>
        <w:t>říprava ZŠ a SŠ na zavedení PHmax od 1.</w:t>
      </w:r>
      <w:r w:rsidR="00691319">
        <w:rPr>
          <w:rFonts w:cs="Calibri"/>
          <w:szCs w:val="24"/>
        </w:rPr>
        <w:t xml:space="preserve"> </w:t>
      </w:r>
      <w:r w:rsidR="00443B09" w:rsidRPr="00443B09">
        <w:rPr>
          <w:rFonts w:cs="Calibri"/>
          <w:szCs w:val="24"/>
        </w:rPr>
        <w:t>9.</w:t>
      </w:r>
      <w:r w:rsidR="00691319">
        <w:rPr>
          <w:rFonts w:cs="Calibri"/>
          <w:szCs w:val="24"/>
        </w:rPr>
        <w:t xml:space="preserve"> </w:t>
      </w:r>
      <w:r w:rsidR="00443B09" w:rsidRPr="00443B09">
        <w:rPr>
          <w:rFonts w:cs="Calibri"/>
          <w:szCs w:val="24"/>
        </w:rPr>
        <w:t>2019</w:t>
      </w:r>
    </w:p>
    <w:p w14:paraId="26A98394" w14:textId="77777777" w:rsidR="00443B09" w:rsidRDefault="00443B09" w:rsidP="00443B09">
      <w:pPr>
        <w:rPr>
          <w:rFonts w:cs="Calibri"/>
          <w:szCs w:val="24"/>
        </w:rPr>
      </w:pPr>
    </w:p>
    <w:p w14:paraId="50298C65" w14:textId="77777777" w:rsidR="00443B09" w:rsidRDefault="003D3EAB" w:rsidP="00443B09">
      <w:pPr>
        <w:rPr>
          <w:rFonts w:cs="Calibri"/>
          <w:szCs w:val="24"/>
        </w:rPr>
      </w:pPr>
      <w:r w:rsidRPr="00DE19F2">
        <w:rPr>
          <w:rFonts w:cs="Calibri"/>
          <w:szCs w:val="24"/>
        </w:rPr>
        <w:t xml:space="preserve">5. </w:t>
      </w:r>
      <w:r w:rsidRPr="00DE19F2">
        <w:rPr>
          <w:rFonts w:cs="Calibri"/>
          <w:szCs w:val="24"/>
        </w:rPr>
        <w:tab/>
      </w:r>
      <w:r w:rsidR="00443B09" w:rsidRPr="00DE19F2">
        <w:rPr>
          <w:rFonts w:cs="Calibri"/>
          <w:szCs w:val="24"/>
        </w:rPr>
        <w:t>Podpora aktivit integrace cizinců na území ČR</w:t>
      </w:r>
    </w:p>
    <w:p w14:paraId="64FBF168" w14:textId="77777777" w:rsidR="003D3EAB" w:rsidRPr="002C3CEF" w:rsidRDefault="003D3EAB" w:rsidP="00443B09"/>
    <w:p w14:paraId="30690025" w14:textId="26D062DB" w:rsidR="00443B09" w:rsidRPr="002C3CEF" w:rsidRDefault="00443B09" w:rsidP="00B83EC6">
      <w:pPr>
        <w:pStyle w:val="Text"/>
      </w:pPr>
      <w:r w:rsidRPr="002C3CEF">
        <w:t xml:space="preserve">Pro rok 2019 vyhlašuje MŠMT výzvu Podpora aktivit </w:t>
      </w:r>
      <w:r w:rsidR="0031482F">
        <w:t>integrace cizinců na území ČR v </w:t>
      </w:r>
      <w:r w:rsidRPr="002C3CEF">
        <w:t>roce 2019. Účelem dotace je přispět k snazší integraci dětí a žáků-cizinců do české společnosti prostřednictvím projektů zaměřených na zvyšování úspěšnosti dětí a žáků-cizinců v předškolním a základním vzdělávání, zvyšování efektivity vzdělávání v oblasti českého jazyka, integrační volnočasové aktivity, odstraňování kulturních bariér, zvyšování kompetencí odborných pracovníků v oblasti vzdělávání dětí a žáků-cizinc</w:t>
      </w:r>
      <w:r w:rsidR="0031482F">
        <w:t>ů a podporu spolupráce rodiny a </w:t>
      </w:r>
      <w:r w:rsidRPr="002C3CEF">
        <w:t xml:space="preserve">školy. </w:t>
      </w:r>
    </w:p>
    <w:p w14:paraId="47374B5B" w14:textId="77777777" w:rsidR="00443B09" w:rsidRPr="002C3CEF" w:rsidRDefault="00443B09" w:rsidP="00443B09">
      <w:pPr>
        <w:tabs>
          <w:tab w:val="left" w:pos="3168"/>
        </w:tabs>
        <w:spacing w:line="240" w:lineRule="atLeast"/>
        <w:ind w:left="-76"/>
        <w:rPr>
          <w:szCs w:val="24"/>
        </w:rPr>
      </w:pPr>
    </w:p>
    <w:p w14:paraId="2F52B994" w14:textId="77777777" w:rsidR="00443B09" w:rsidRPr="002C3CEF" w:rsidRDefault="00443B09" w:rsidP="00443B09">
      <w:pPr>
        <w:tabs>
          <w:tab w:val="left" w:pos="3168"/>
        </w:tabs>
        <w:spacing w:line="240" w:lineRule="atLeast"/>
        <w:ind w:left="-76"/>
        <w:rPr>
          <w:szCs w:val="24"/>
        </w:rPr>
      </w:pPr>
      <w:r w:rsidRPr="002C3CEF">
        <w:rPr>
          <w:szCs w:val="24"/>
        </w:rPr>
        <w:t>Dotaci lze žádat na některou z níže uvedených tematických oblastí, které se mohou vzájemně prolínat:</w:t>
      </w:r>
    </w:p>
    <w:p w14:paraId="13A61C3D" w14:textId="77777777" w:rsidR="00443B09" w:rsidRPr="00576438" w:rsidRDefault="00443B09" w:rsidP="00443B09">
      <w:pPr>
        <w:tabs>
          <w:tab w:val="left" w:pos="3168"/>
        </w:tabs>
        <w:spacing w:line="240" w:lineRule="atLeast"/>
        <w:rPr>
          <w:szCs w:val="24"/>
        </w:rPr>
      </w:pPr>
      <w:r>
        <w:rPr>
          <w:szCs w:val="24"/>
        </w:rPr>
        <w:t>a</w:t>
      </w:r>
      <w:r w:rsidRPr="00576438">
        <w:rPr>
          <w:szCs w:val="24"/>
        </w:rPr>
        <w:t>) Tvorba vzdělávacích programů a výukových metod přizpůsobených individuálním vzdělávacím potřebám dětí a žáků-cizinců,</w:t>
      </w:r>
    </w:p>
    <w:p w14:paraId="66960FD9" w14:textId="77777777" w:rsidR="00443B09" w:rsidRPr="00576438" w:rsidRDefault="00443B09" w:rsidP="00443B09">
      <w:pPr>
        <w:tabs>
          <w:tab w:val="left" w:pos="3168"/>
        </w:tabs>
        <w:spacing w:line="240" w:lineRule="atLeast"/>
        <w:rPr>
          <w:szCs w:val="24"/>
        </w:rPr>
      </w:pPr>
      <w:r w:rsidRPr="00576438">
        <w:rPr>
          <w:szCs w:val="24"/>
        </w:rPr>
        <w:t>b) Tvorba metodických a výukových materiálů a učebních pomůcek pro pedagogické pracovníky,</w:t>
      </w:r>
    </w:p>
    <w:p w14:paraId="25EAE0CF" w14:textId="77777777" w:rsidR="00443B09" w:rsidRPr="00576438" w:rsidRDefault="00443B09" w:rsidP="00443B09">
      <w:pPr>
        <w:tabs>
          <w:tab w:val="left" w:pos="3168"/>
        </w:tabs>
        <w:spacing w:line="240" w:lineRule="atLeast"/>
        <w:rPr>
          <w:szCs w:val="24"/>
        </w:rPr>
      </w:pPr>
      <w:r>
        <w:rPr>
          <w:szCs w:val="24"/>
        </w:rPr>
        <w:t xml:space="preserve">c) </w:t>
      </w:r>
      <w:r w:rsidRPr="00576438">
        <w:rPr>
          <w:szCs w:val="24"/>
        </w:rPr>
        <w:t>Zvyšování úspěšnosti dětí a žáků-cizinců v předškolním a základním vzdělávání,</w:t>
      </w:r>
    </w:p>
    <w:p w14:paraId="3EBF2B08" w14:textId="77777777" w:rsidR="00443B09" w:rsidRPr="00576438" w:rsidRDefault="00443B09" w:rsidP="00443B09">
      <w:pPr>
        <w:tabs>
          <w:tab w:val="left" w:pos="3168"/>
        </w:tabs>
        <w:spacing w:line="240" w:lineRule="atLeast"/>
        <w:rPr>
          <w:szCs w:val="24"/>
        </w:rPr>
      </w:pPr>
      <w:r w:rsidRPr="00576438">
        <w:rPr>
          <w:szCs w:val="24"/>
        </w:rPr>
        <w:t>d) Integrační mimoškolní volnočasové aktivity, například sportovní, kulturní, umělecké či společenské,</w:t>
      </w:r>
    </w:p>
    <w:p w14:paraId="46E2B6D6" w14:textId="77777777" w:rsidR="00443B09" w:rsidRPr="00576438" w:rsidRDefault="00443B09" w:rsidP="00443B09">
      <w:pPr>
        <w:tabs>
          <w:tab w:val="left" w:pos="3168"/>
        </w:tabs>
        <w:spacing w:line="240" w:lineRule="atLeast"/>
        <w:rPr>
          <w:szCs w:val="24"/>
        </w:rPr>
      </w:pPr>
      <w:r w:rsidRPr="00576438">
        <w:rPr>
          <w:szCs w:val="24"/>
        </w:rPr>
        <w:t>e) Zvyšování kompetencí odborných pedagogických i nepedagogických pracovníků v oblasti vzdělávání dětí a žáků-cizinců,</w:t>
      </w:r>
    </w:p>
    <w:p w14:paraId="028CFCEC" w14:textId="77777777" w:rsidR="00443B09" w:rsidRPr="00576438" w:rsidRDefault="00443B09" w:rsidP="00443B09">
      <w:pPr>
        <w:tabs>
          <w:tab w:val="left" w:pos="3168"/>
        </w:tabs>
        <w:spacing w:line="240" w:lineRule="atLeast"/>
        <w:rPr>
          <w:szCs w:val="24"/>
        </w:rPr>
      </w:pPr>
      <w:r w:rsidRPr="00576438">
        <w:rPr>
          <w:szCs w:val="24"/>
        </w:rPr>
        <w:t xml:space="preserve">f) Podpora spolupráce rodiny a školy v oblasti vzdělávání dětí a žáků-cizinců. </w:t>
      </w:r>
    </w:p>
    <w:p w14:paraId="75CFA0A7" w14:textId="77777777" w:rsidR="00443B09" w:rsidRPr="002C3CEF" w:rsidRDefault="00443B09" w:rsidP="00443B09"/>
    <w:p w14:paraId="2EC8FC29" w14:textId="40ABE9CC" w:rsidR="00E65EE1" w:rsidRDefault="00443B09" w:rsidP="00F83DD6">
      <w:pPr>
        <w:pStyle w:val="Text"/>
      </w:pPr>
      <w:r w:rsidRPr="002C3CEF">
        <w:t>Rozpočet výzvy pro rok 2019 je 3 000 000 Kč. Zdroj financování výzvy bude zajištěn převodem finančních prostředků daných aktualizovaným Usnesením vlády k aktualizované Koncepci integrace cizinců na rok 2019 z rozpočtové kapitoly MV do rozpočtové kapitoly MŠMT.</w:t>
      </w:r>
    </w:p>
    <w:p w14:paraId="6F7E7B4C" w14:textId="77777777" w:rsidR="00E65EE1" w:rsidRDefault="00E65EE1" w:rsidP="00443B09"/>
    <w:p w14:paraId="0CBB3F27" w14:textId="77777777" w:rsidR="00345DB4" w:rsidRPr="003D3EAB" w:rsidRDefault="003D3EAB" w:rsidP="00345DB4">
      <w:r w:rsidRPr="00DE19F2">
        <w:lastRenderedPageBreak/>
        <w:t xml:space="preserve">6. </w:t>
      </w:r>
      <w:r w:rsidRPr="00DE19F2">
        <w:rPr>
          <w:rFonts w:cs="Calibri"/>
          <w:szCs w:val="24"/>
        </w:rPr>
        <w:tab/>
      </w:r>
      <w:r w:rsidR="00345DB4" w:rsidRPr="00DE19F2">
        <w:t>Podpora ozdravných pobytů dětí a mládeže dětských domovů ČR</w:t>
      </w:r>
      <w:r w:rsidR="00345DB4" w:rsidRPr="003D3EAB">
        <w:t xml:space="preserve"> </w:t>
      </w:r>
    </w:p>
    <w:p w14:paraId="06727B16" w14:textId="77777777" w:rsidR="00345DB4" w:rsidRPr="00345DB4" w:rsidRDefault="00345DB4" w:rsidP="00345DB4"/>
    <w:p w14:paraId="70E8AC24" w14:textId="37E85A58" w:rsidR="00345DB4" w:rsidRPr="00345DB4" w:rsidRDefault="00345DB4" w:rsidP="00B83EC6">
      <w:pPr>
        <w:pStyle w:val="Text"/>
      </w:pPr>
      <w:r w:rsidRPr="00345DB4">
        <w:t xml:space="preserve">Na Výzvu k podpoře Ozdravných pobytů dětí a mládeže (dále jen „dětí“) dětských domovů v ČR je vyčleněno v rámci disponibilních zdrojů určených pro </w:t>
      </w:r>
      <w:r w:rsidR="00886248">
        <w:t xml:space="preserve">kalendářní rok 2019 </w:t>
      </w:r>
      <w:r w:rsidR="00A96251">
        <w:br/>
      </w:r>
      <w:r w:rsidR="00886248">
        <w:t>15 000 000</w:t>
      </w:r>
      <w:r w:rsidRPr="00345DB4">
        <w:t xml:space="preserve"> Kč. </w:t>
      </w:r>
    </w:p>
    <w:p w14:paraId="2920E747" w14:textId="50CEF21F" w:rsidR="00345DB4" w:rsidRPr="00345DB4" w:rsidRDefault="00345DB4" w:rsidP="00B83EC6">
      <w:pPr>
        <w:pStyle w:val="Text"/>
      </w:pPr>
      <w:r w:rsidRPr="00345DB4">
        <w:t>Cílem Výzvy je podpořit ozdravné pobyty dětí z</w:t>
      </w:r>
      <w:r w:rsidR="0031482F">
        <w:t xml:space="preserve"> dětských domovů v zařízeních v </w:t>
      </w:r>
      <w:r w:rsidRPr="00345DB4">
        <w:t>tuzemsku a současně podpořit ozdravné pobyty dětí z</w:t>
      </w:r>
      <w:r w:rsidR="0031482F">
        <w:t xml:space="preserve"> dětských domovů v zařízeních v </w:t>
      </w:r>
      <w:r w:rsidRPr="00345DB4">
        <w:t xml:space="preserve">zahraničí. </w:t>
      </w:r>
    </w:p>
    <w:p w14:paraId="6E554E8E" w14:textId="0742AC8A" w:rsidR="00443B09" w:rsidRPr="00345DB4" w:rsidRDefault="00345DB4" w:rsidP="00B83EC6">
      <w:pPr>
        <w:pStyle w:val="Text"/>
        <w:rPr>
          <w:highlight w:val="cyan"/>
        </w:rPr>
      </w:pPr>
      <w:r w:rsidRPr="00345DB4">
        <w:t>Žadateli o dotaci v rámci Výzvy mohou být pouze právnické osoby zřízené v právní formě spolku</w:t>
      </w:r>
      <w:r w:rsidR="00A96251">
        <w:t>,</w:t>
      </w:r>
      <w:r w:rsidRPr="00345DB4">
        <w:t xml:space="preserve"> </w:t>
      </w:r>
      <w:r w:rsidR="00A96251">
        <w:t xml:space="preserve">ústavu, </w:t>
      </w:r>
      <w:r w:rsidR="00A96251" w:rsidRPr="00345DB4">
        <w:t xml:space="preserve">nadace nebo nadačního fondu </w:t>
      </w:r>
      <w:r w:rsidRPr="00345DB4">
        <w:t>podle zákona č. 89/2012 Sb., občanský zákoník, obecně prospěšné společnosti podle zákona č. 248/1995 Sb., o obecně prospěšných společnostech a o změně a doplnění některých zákonů, ve znění pozdějších předpisů, účelového zařízení registrované církve nebo náboženské spol</w:t>
      </w:r>
      <w:r w:rsidR="00691319">
        <w:t>ečnosti zřízené podle zákona č. </w:t>
      </w:r>
      <w:r w:rsidRPr="00345DB4">
        <w:t xml:space="preserve">3/2002 Sb., o svobodě náboženského vyznání a postavení církví a náboženských společností a o změně některých zákonů (zákon o církvích a </w:t>
      </w:r>
      <w:r w:rsidR="00691319">
        <w:t>náboženských společnostech), ve </w:t>
      </w:r>
      <w:r w:rsidRPr="00345DB4">
        <w:t>znění pozdějších předpisů.</w:t>
      </w:r>
    </w:p>
    <w:p w14:paraId="59B38D87" w14:textId="77777777" w:rsidR="0070585C" w:rsidRDefault="0070585C" w:rsidP="0070585C">
      <w:pPr>
        <w:ind w:left="360"/>
        <w:rPr>
          <w:sz w:val="22"/>
          <w:highlight w:val="cyan"/>
        </w:rPr>
      </w:pPr>
    </w:p>
    <w:p w14:paraId="2B512487" w14:textId="77777777" w:rsidR="0031482F" w:rsidRPr="00577C31" w:rsidRDefault="0031482F" w:rsidP="0070585C">
      <w:pPr>
        <w:ind w:left="360"/>
        <w:rPr>
          <w:sz w:val="22"/>
          <w:highlight w:val="cyan"/>
        </w:rPr>
      </w:pPr>
    </w:p>
    <w:p w14:paraId="58495C44" w14:textId="3690B084" w:rsidR="0070585C" w:rsidRPr="007669DC" w:rsidRDefault="0070585C" w:rsidP="0031482F">
      <w:pPr>
        <w:pStyle w:val="Nadpis4"/>
      </w:pPr>
      <w:r w:rsidRPr="007669DC">
        <w:t xml:space="preserve"> </w:t>
      </w:r>
      <w:bookmarkStart w:id="115" w:name="_Toc447780945"/>
      <w:bookmarkStart w:id="116" w:name="_Toc5968848"/>
      <w:r w:rsidR="00F70545">
        <w:t>Financování s</w:t>
      </w:r>
      <w:r w:rsidRPr="007669DC">
        <w:t>oukrom</w:t>
      </w:r>
      <w:r w:rsidR="00F70545">
        <w:t>ých škol a školských</w:t>
      </w:r>
      <w:bookmarkEnd w:id="115"/>
      <w:r w:rsidR="00F70545">
        <w:t xml:space="preserve"> zařízení</w:t>
      </w:r>
      <w:bookmarkEnd w:id="116"/>
    </w:p>
    <w:p w14:paraId="11658FF2" w14:textId="77777777" w:rsidR="0070585C" w:rsidRPr="007669DC" w:rsidRDefault="0070585C" w:rsidP="0070585C"/>
    <w:p w14:paraId="004FF855" w14:textId="77777777" w:rsidR="0070585C" w:rsidRPr="00220EC1" w:rsidRDefault="0070585C" w:rsidP="0070585C">
      <w:pPr>
        <w:pStyle w:val="Text"/>
      </w:pPr>
      <w:r w:rsidRPr="00220EC1">
        <w:t xml:space="preserve">Na dotace soukromému školství jsou rozpočtovány prostředky ve výši </w:t>
      </w:r>
      <w:r w:rsidRPr="00220EC1">
        <w:br/>
      </w:r>
      <w:r>
        <w:t>6 350 000 000</w:t>
      </w:r>
      <w:r w:rsidRPr="00A806EC">
        <w:t> Kč</w:t>
      </w:r>
      <w:r w:rsidRPr="00220EC1">
        <w:t xml:space="preserve">. </w:t>
      </w:r>
    </w:p>
    <w:p w14:paraId="16F677F3" w14:textId="1103A880" w:rsidR="0070585C" w:rsidRPr="001C2F39" w:rsidRDefault="0070585C" w:rsidP="0070585C">
      <w:pPr>
        <w:pStyle w:val="Text"/>
      </w:pPr>
      <w:r w:rsidRPr="001C2F39">
        <w:t>Ve smyslu ustanovení § 4 odst. 1, 2 a 4 zákona č. 306/1999 Sb., o poskytování dotací soukromým školám, předškolním a školským zařízením, ve znění pozdějších předpisů je MŠMT povinno stanovit do 31. ledna 201</w:t>
      </w:r>
      <w:r>
        <w:t>9</w:t>
      </w:r>
      <w:r w:rsidRPr="001C2F39">
        <w:t xml:space="preserve"> normativy pro rok 201</w:t>
      </w:r>
      <w:r>
        <w:t>9</w:t>
      </w:r>
      <w:r w:rsidRPr="001C2F39">
        <w:t>, a to jako roční objem neinvestičních výdajů, mzdových prostředků a zákonných odvodů připadajících na jedno dítě, žáka nebo studenta ve srovnatelném oboru vzdělání a fo</w:t>
      </w:r>
      <w:r w:rsidR="00691319">
        <w:t>rmě vzdělávání ve škole nebo ve </w:t>
      </w:r>
      <w:r w:rsidRPr="001C2F39">
        <w:t xml:space="preserve">srovnatelné školské službě ve školském zařízení zřizovaném krajem nebo ministerstvem, nebo jako roční objem neinvestičních výdajů, mzdových prostředků a zákonných odvodů připadajících na jedno dítě ve srovnatelné MŠ zřizované obcí </w:t>
      </w:r>
      <w:r w:rsidR="00691319">
        <w:t>nebo na jedno dítě nebo žáka ve </w:t>
      </w:r>
      <w:r w:rsidRPr="001C2F39">
        <w:t>srovnatelné školské službě ve školském zařízení zřizovaném obcí.</w:t>
      </w:r>
    </w:p>
    <w:p w14:paraId="0864590F" w14:textId="18E0BCA8" w:rsidR="0070585C" w:rsidRPr="00FD16F2" w:rsidRDefault="0070585C" w:rsidP="0070585C">
      <w:pPr>
        <w:pStyle w:val="Text"/>
      </w:pPr>
      <w:r w:rsidRPr="00FD16F2">
        <w:t>Základním hlediskem pro stanovení normativů pro soukromé školství na rok 201</w:t>
      </w:r>
      <w:r>
        <w:t>9</w:t>
      </w:r>
      <w:r w:rsidRPr="00FD16F2">
        <w:t>, vyplývajícím z výše uvedené dikce zákona, bylo stejně jako v předchozích letech hledisko „srovnatelnosti“ těchto normativů s předpokládanými skut</w:t>
      </w:r>
      <w:r w:rsidR="00691319">
        <w:t>ečnými neinvestičními výdaji na </w:t>
      </w:r>
      <w:r w:rsidRPr="00FD16F2">
        <w:t>jednoho žáka ve srovnatelném oboru vzdělání, školském zařízení či ve srovnatelné škole zřizované státem, krajem, resp. obcí v roce 2018. Z tohoto důvodu neslouží normativy pro rok 201</w:t>
      </w:r>
      <w:r>
        <w:t>9</w:t>
      </w:r>
      <w:r w:rsidRPr="00FD16F2">
        <w:t xml:space="preserve"> pouze pro poskytování dotací soukromému školství, ale jsou základem i pro normativní financování škol a školských zařízení zřizovaných registrovanou církví nebo náboženskou společností, které bylo přiznáno oprávnění k výkonu zvláštního práva zřizovat církevní školy.</w:t>
      </w:r>
    </w:p>
    <w:p w14:paraId="0CB943A4" w14:textId="77777777" w:rsidR="0070585C" w:rsidRPr="00991C36" w:rsidRDefault="0070585C" w:rsidP="0070585C">
      <w:pPr>
        <w:pStyle w:val="Text"/>
      </w:pPr>
    </w:p>
    <w:p w14:paraId="3A64902D" w14:textId="77777777" w:rsidR="0070585C" w:rsidRPr="00DD47A7" w:rsidRDefault="0070585C" w:rsidP="0070585C">
      <w:pPr>
        <w:pStyle w:val="Nadpis5"/>
      </w:pPr>
      <w:r w:rsidRPr="00DD47A7">
        <w:t>Normativy pro soukromé školství na rok 201</w:t>
      </w:r>
      <w:r>
        <w:t>9</w:t>
      </w:r>
    </w:p>
    <w:p w14:paraId="3EFBD0B7" w14:textId="77777777" w:rsidR="0070585C" w:rsidRPr="00C52A2C" w:rsidRDefault="0070585C" w:rsidP="0070585C">
      <w:pPr>
        <w:rPr>
          <w:highlight w:val="yellow"/>
          <w:lang w:eastAsia="en-US"/>
        </w:rPr>
      </w:pPr>
    </w:p>
    <w:p w14:paraId="5D82DBA3" w14:textId="77777777" w:rsidR="0070585C" w:rsidRDefault="0070585C" w:rsidP="00B83EC6">
      <w:pPr>
        <w:pStyle w:val="Text"/>
      </w:pPr>
      <w:r w:rsidRPr="00DA403B">
        <w:t xml:space="preserve">Základem pro stanovení normativů pro soukromé školství na rok 2019 jsou normativy stanovené pro soukromé školství v roce 2018. </w:t>
      </w:r>
    </w:p>
    <w:p w14:paraId="0030F048" w14:textId="77777777" w:rsidR="0070585C" w:rsidRPr="00DA403B" w:rsidRDefault="0070585C" w:rsidP="00B83EC6">
      <w:pPr>
        <w:pStyle w:val="Text"/>
      </w:pPr>
      <w:r>
        <w:t>Do mzdových částí jednotlivých no</w:t>
      </w:r>
      <w:r w:rsidRPr="00DA403B">
        <w:t>rmativů roku 2019</w:t>
      </w:r>
      <w:r>
        <w:t xml:space="preserve"> bylo systémově promítnuto</w:t>
      </w:r>
      <w:r w:rsidRPr="00DA403B">
        <w:t xml:space="preserve"> zvýšení odměňování </w:t>
      </w:r>
      <w:r>
        <w:t xml:space="preserve">zaměstnanců </w:t>
      </w:r>
      <w:r w:rsidRPr="00DA403B">
        <w:t xml:space="preserve">ve </w:t>
      </w:r>
      <w:r>
        <w:t>školách a školských zařízeních zřizovaných ministerstvem, kraji, obcemi a dobrovolnými svazky obcí</w:t>
      </w:r>
      <w:r w:rsidRPr="00DA403B">
        <w:t xml:space="preserve"> v oblasti:</w:t>
      </w:r>
    </w:p>
    <w:p w14:paraId="707EBB7E" w14:textId="77777777" w:rsidR="0070585C" w:rsidRPr="00016564" w:rsidRDefault="0070585C" w:rsidP="005B6E93">
      <w:pPr>
        <w:numPr>
          <w:ilvl w:val="0"/>
          <w:numId w:val="62"/>
        </w:numPr>
        <w:spacing w:before="120"/>
        <w:rPr>
          <w:szCs w:val="24"/>
        </w:rPr>
      </w:pPr>
      <w:r w:rsidRPr="00016564">
        <w:rPr>
          <w:szCs w:val="24"/>
        </w:rPr>
        <w:t>platových tarifů nepedagog</w:t>
      </w:r>
      <w:r>
        <w:rPr>
          <w:szCs w:val="24"/>
        </w:rPr>
        <w:t>ických zaměstnanců</w:t>
      </w:r>
      <w:r w:rsidRPr="00016564">
        <w:rPr>
          <w:szCs w:val="24"/>
        </w:rPr>
        <w:t xml:space="preserve"> o 10 % </w:t>
      </w:r>
      <w:r>
        <w:rPr>
          <w:szCs w:val="24"/>
        </w:rPr>
        <w:t xml:space="preserve">(účinné už </w:t>
      </w:r>
      <w:r w:rsidRPr="00016564">
        <w:rPr>
          <w:szCs w:val="24"/>
        </w:rPr>
        <w:t>od 1. 7. </w:t>
      </w:r>
      <w:r w:rsidRPr="001F0754">
        <w:rPr>
          <w:szCs w:val="24"/>
        </w:rPr>
        <w:t>2017),</w:t>
      </w:r>
    </w:p>
    <w:p w14:paraId="48EBB999" w14:textId="77777777" w:rsidR="0070585C" w:rsidRDefault="0070585C" w:rsidP="005B6E93">
      <w:pPr>
        <w:numPr>
          <w:ilvl w:val="0"/>
          <w:numId w:val="62"/>
        </w:numPr>
        <w:ind w:left="1066" w:hanging="357"/>
        <w:rPr>
          <w:szCs w:val="24"/>
        </w:rPr>
      </w:pPr>
      <w:r w:rsidRPr="00016564">
        <w:rPr>
          <w:szCs w:val="24"/>
        </w:rPr>
        <w:lastRenderedPageBreak/>
        <w:t>platových tarifů pedagog</w:t>
      </w:r>
      <w:r>
        <w:rPr>
          <w:szCs w:val="24"/>
        </w:rPr>
        <w:t>ických pracovníků</w:t>
      </w:r>
      <w:r w:rsidRPr="00016564">
        <w:rPr>
          <w:szCs w:val="24"/>
        </w:rPr>
        <w:t xml:space="preserve"> o 15 % a nepedago</w:t>
      </w:r>
      <w:r>
        <w:rPr>
          <w:szCs w:val="24"/>
        </w:rPr>
        <w:t>gických zaměstnanců</w:t>
      </w:r>
      <w:r w:rsidRPr="00016564">
        <w:rPr>
          <w:szCs w:val="24"/>
        </w:rPr>
        <w:t xml:space="preserve"> </w:t>
      </w:r>
      <w:r>
        <w:rPr>
          <w:szCs w:val="24"/>
        </w:rPr>
        <w:br/>
      </w:r>
      <w:r w:rsidRPr="00016564">
        <w:rPr>
          <w:szCs w:val="24"/>
        </w:rPr>
        <w:t xml:space="preserve">o 10 % </w:t>
      </w:r>
      <w:r>
        <w:rPr>
          <w:szCs w:val="24"/>
        </w:rPr>
        <w:t xml:space="preserve">(účinné už </w:t>
      </w:r>
      <w:r w:rsidRPr="00016564">
        <w:rPr>
          <w:szCs w:val="24"/>
        </w:rPr>
        <w:t>od 1. 11. 2017</w:t>
      </w:r>
      <w:r>
        <w:rPr>
          <w:szCs w:val="24"/>
        </w:rPr>
        <w:t>).</w:t>
      </w:r>
    </w:p>
    <w:p w14:paraId="163C0F4E" w14:textId="77777777" w:rsidR="0070585C" w:rsidRPr="00AB1C37" w:rsidRDefault="0070585C" w:rsidP="0070585C">
      <w:pPr>
        <w:ind w:left="1066"/>
        <w:rPr>
          <w:strike/>
          <w:color w:val="FF0000"/>
          <w:szCs w:val="24"/>
          <w:highlight w:val="yellow"/>
        </w:rPr>
      </w:pPr>
    </w:p>
    <w:p w14:paraId="1923EC52" w14:textId="77777777" w:rsidR="0070585C" w:rsidRPr="00016564" w:rsidRDefault="0070585C" w:rsidP="00B83EC6">
      <w:pPr>
        <w:pStyle w:val="Text"/>
      </w:pPr>
      <w:r w:rsidRPr="00016564">
        <w:t xml:space="preserve">Tato zvýšení se promítla do zvýšení mzdové složky normativů roku </w:t>
      </w:r>
      <w:r w:rsidRPr="001F0754">
        <w:t>2019 oproti roku 2018</w:t>
      </w:r>
      <w:r>
        <w:t xml:space="preserve"> </w:t>
      </w:r>
      <w:r w:rsidRPr="00016564">
        <w:t>následovně:</w:t>
      </w:r>
    </w:p>
    <w:p w14:paraId="122DB61F" w14:textId="2E1C9B24" w:rsidR="0070585C" w:rsidRPr="00016564" w:rsidRDefault="0070585C" w:rsidP="005B6E93">
      <w:pPr>
        <w:numPr>
          <w:ilvl w:val="0"/>
          <w:numId w:val="62"/>
        </w:numPr>
        <w:spacing w:before="120"/>
        <w:rPr>
          <w:szCs w:val="24"/>
        </w:rPr>
      </w:pPr>
      <w:r w:rsidRPr="00016564">
        <w:rPr>
          <w:szCs w:val="24"/>
        </w:rPr>
        <w:t xml:space="preserve">pro </w:t>
      </w:r>
      <w:r w:rsidR="0031482F">
        <w:rPr>
          <w:szCs w:val="24"/>
        </w:rPr>
        <w:t>pedagogické pracovníky</w:t>
      </w:r>
      <w:r w:rsidRPr="00016564">
        <w:rPr>
          <w:szCs w:val="24"/>
        </w:rPr>
        <w:t xml:space="preserve"> ve výši 10/12 o 13,357 %,</w:t>
      </w:r>
    </w:p>
    <w:p w14:paraId="7EB07CCE" w14:textId="1AECA472" w:rsidR="0070585C" w:rsidRDefault="0070585C" w:rsidP="005B6E93">
      <w:pPr>
        <w:numPr>
          <w:ilvl w:val="0"/>
          <w:numId w:val="62"/>
        </w:numPr>
        <w:ind w:left="1066" w:hanging="357"/>
        <w:rPr>
          <w:spacing w:val="-2"/>
          <w:szCs w:val="24"/>
        </w:rPr>
      </w:pPr>
      <w:r w:rsidRPr="00016564">
        <w:rPr>
          <w:spacing w:val="-2"/>
          <w:szCs w:val="24"/>
        </w:rPr>
        <w:t>pro nepedagog</w:t>
      </w:r>
      <w:r w:rsidR="0031482F">
        <w:rPr>
          <w:spacing w:val="-2"/>
          <w:szCs w:val="24"/>
        </w:rPr>
        <w:t>ické zaměstnance</w:t>
      </w:r>
      <w:r w:rsidRPr="00016564">
        <w:rPr>
          <w:spacing w:val="-2"/>
          <w:szCs w:val="24"/>
        </w:rPr>
        <w:t xml:space="preserve"> ve výši 6/12 o 8,0818 % a ve výši 10/12 o 9,0561 %</w:t>
      </w:r>
      <w:r>
        <w:rPr>
          <w:spacing w:val="-2"/>
          <w:szCs w:val="24"/>
        </w:rPr>
        <w:t>.</w:t>
      </w:r>
    </w:p>
    <w:p w14:paraId="53B0D7DB" w14:textId="77777777" w:rsidR="0070585C" w:rsidRDefault="0070585C" w:rsidP="0070585C">
      <w:pPr>
        <w:ind w:left="1066"/>
        <w:rPr>
          <w:spacing w:val="-2"/>
          <w:szCs w:val="24"/>
        </w:rPr>
      </w:pPr>
    </w:p>
    <w:p w14:paraId="4255D17D" w14:textId="506F2B1C" w:rsidR="0070585C" w:rsidRDefault="0070585C" w:rsidP="00B83EC6">
      <w:pPr>
        <w:pStyle w:val="Text"/>
      </w:pPr>
      <w:r>
        <w:t>Oblast ONIV byla v roce 2018 ve veřejném školství posílena z důvodu dlouhodobého podfinancování tzv. speciálního školství (</w:t>
      </w:r>
      <w:r w:rsidRPr="00BB445C">
        <w:t>školy a třídy zřízené podle § 16 odst. 9 školského zákona</w:t>
      </w:r>
      <w:r>
        <w:t xml:space="preserve">). Tato skutečnost je tedy promítnuta i do příplatků na </w:t>
      </w:r>
      <w:r w:rsidR="0031482F">
        <w:t>speciální vzdělávací potřeby, a </w:t>
      </w:r>
      <w:r>
        <w:t>to zvýšením o 10 % oproti roku 2018.</w:t>
      </w:r>
    </w:p>
    <w:p w14:paraId="71527595" w14:textId="18CD4342" w:rsidR="0070585C" w:rsidRDefault="0070585C" w:rsidP="00B83EC6">
      <w:pPr>
        <w:pStyle w:val="Text"/>
      </w:pPr>
      <w:r>
        <w:t xml:space="preserve">Normativy na </w:t>
      </w:r>
      <w:r w:rsidRPr="004E16B3">
        <w:t>podpůrná opatření</w:t>
      </w:r>
      <w:r>
        <w:t xml:space="preserve"> personálního charakteru uvedené</w:t>
      </w:r>
      <w:r w:rsidRPr="004E16B3">
        <w:t xml:space="preserve"> v části VII byly upraveny v souvislosti se změnou tarifních tabulek pedagogických pracovníků a</w:t>
      </w:r>
      <w:r w:rsidR="0031482F">
        <w:t> </w:t>
      </w:r>
      <w:r w:rsidRPr="004E16B3">
        <w:t>nepedagogických</w:t>
      </w:r>
      <w:r>
        <w:t xml:space="preserve"> zaměstnanců</w:t>
      </w:r>
      <w:r w:rsidRPr="004E16B3">
        <w:t xml:space="preserve"> </w:t>
      </w:r>
      <w:r>
        <w:t>po</w:t>
      </w:r>
      <w:r w:rsidRPr="004E16B3">
        <w:t>dle novely nařízení vlády č. 341/2017 Sb., o platových poměrech zaměstnanců ve veřejných službách a správě, účinné od 1.</w:t>
      </w:r>
      <w:r>
        <w:t xml:space="preserve"> ledna </w:t>
      </w:r>
      <w:r w:rsidRPr="004E16B3">
        <w:t xml:space="preserve">2019. </w:t>
      </w:r>
    </w:p>
    <w:p w14:paraId="0375D8C8" w14:textId="359261B1" w:rsidR="0070585C" w:rsidRPr="004A2AEE" w:rsidRDefault="0070585C" w:rsidP="00B83EC6">
      <w:pPr>
        <w:pStyle w:val="Text"/>
      </w:pPr>
      <w:r w:rsidRPr="001F0754">
        <w:t>V souladu se zněním § 4 a odst. 1 a § 1 odst. 2 zákona č. 306/1999 Sb. (které umožňuje stanovení příplatku k normativu na podpůrná opatření pouze pro děti, žáky a studenty se speciálními vzdělávacími potřebami zde uvedenými)</w:t>
      </w:r>
      <w:r w:rsidR="00691319">
        <w:t>, nejsou stanoveny normativy na </w:t>
      </w:r>
      <w:r w:rsidRPr="001F0754">
        <w:t>podpůrná opatření pro děti, žáky a studenty s potřebou podpory ve vzdělávání z důvodu nadání uvedené ve stávajícím znění části B přílohy č. 1 vyhlášky č. 27/2016 Sb., o vzdělávání žáků se speciálními vzdělávacími potřebami a žáků nadaných, ve znění pozdějších předpisů.</w:t>
      </w:r>
    </w:p>
    <w:p w14:paraId="5B0A29AD" w14:textId="5021A6E4" w:rsidR="0070585C" w:rsidRDefault="0070585C" w:rsidP="00B83EC6">
      <w:pPr>
        <w:pStyle w:val="Text"/>
      </w:pPr>
      <w:r w:rsidRPr="001F0754">
        <w:t>V návaznosti na průběh legislativního procesu k návrhu novely vyhlášky č. 27/2016 Sb., o vzdělávání žáků se speciálními vzdělávacími potřebami a žáků nadaných, ve znění pozdějších předpisů, je nutné avizovat, že v průběhu roku 2019 dojde k úpravě normativů soukromého šk</w:t>
      </w:r>
      <w:r>
        <w:t xml:space="preserve">olství na rok 2019, pokud jde o </w:t>
      </w:r>
      <w:r w:rsidRPr="001F0754">
        <w:t>vymezení a normovanou finanční náročnost podpůrných opatření uvedených v příloze č. 1 vyhlášky č. 27/2016 Sb. (případné změny ve výčtu</w:t>
      </w:r>
      <w:r w:rsidR="00FD2721">
        <w:t xml:space="preserve"> </w:t>
      </w:r>
      <w:r w:rsidRPr="001F0754">
        <w:t>a vymezení některých podpůrných opatření a vyčíslení jejich normované finanční náročnosti).</w:t>
      </w:r>
    </w:p>
    <w:p w14:paraId="2FEDB474" w14:textId="77777777" w:rsidR="0070585C" w:rsidRDefault="0070585C" w:rsidP="00B83EC6">
      <w:pPr>
        <w:pStyle w:val="Text"/>
      </w:pPr>
      <w:r w:rsidRPr="001F0754">
        <w:t>Pro rok 2019 již normativy soukromého školství neobsahují příplatky na speciální vzdělávací potřeby dětí, žáků a studentů uvedených v § 16 odst. 9 školského zákona, kteří se vzdělávají ve třídě, jež není zřízena podle § 16 odst. 9 školského zákona. Podpora při vzdělávání těchto žáků (včetně finanční) je po skončení přechodného období uvedeného</w:t>
      </w:r>
      <w:r>
        <w:t xml:space="preserve"> </w:t>
      </w:r>
      <w:r w:rsidRPr="001F0754">
        <w:t>v přechodných ustanoven</w:t>
      </w:r>
      <w:r w:rsidRPr="00092EB7">
        <w:t>íc</w:t>
      </w:r>
      <w:r w:rsidRPr="001F0754">
        <w:t>h vyhlášky č. 27/2016 Sb. realizována pouze prostřednictvím podpůrných opatření a jejich normované finanční náročnosti.</w:t>
      </w:r>
    </w:p>
    <w:p w14:paraId="4D30A17A" w14:textId="77777777" w:rsidR="0070585C" w:rsidRPr="001F0754" w:rsidRDefault="0070585C" w:rsidP="00B83EC6">
      <w:pPr>
        <w:pStyle w:val="Text"/>
      </w:pPr>
      <w:r w:rsidRPr="001F0754">
        <w:t xml:space="preserve">V souvislosti se změnou systému financování škol a školských zařízení zřizovaných kraji, </w:t>
      </w:r>
      <w:r w:rsidRPr="006231B3">
        <w:t>obcemi nebo dobrovolnými svazky obcí ze státního rozpočtu (od 1. ledna 2020) lze již nyní avizovat tyto navazující kroky týkající se normativů pro soukromé školství na rok 2020 (při zachování principu ročního odstupu promítání zvyšování normativů oproti veřejným školám – vyplývá z § 4 odst. 1, 2 a 4 zákona č. 306/1999 Sb.):</w:t>
      </w:r>
    </w:p>
    <w:p w14:paraId="76949AD8" w14:textId="77777777" w:rsidR="000C3BFF" w:rsidRDefault="000C3BFF" w:rsidP="0070585C">
      <w:pPr>
        <w:pStyle w:val="Text"/>
        <w:ind w:firstLine="0"/>
        <w:rPr>
          <w:highlight w:val="yellow"/>
        </w:rPr>
      </w:pPr>
    </w:p>
    <w:p w14:paraId="67F83A1B" w14:textId="77777777" w:rsidR="003D012B" w:rsidRDefault="003D012B" w:rsidP="0070585C">
      <w:pPr>
        <w:pStyle w:val="Text"/>
        <w:ind w:firstLine="0"/>
        <w:rPr>
          <w:highlight w:val="yellow"/>
        </w:rPr>
      </w:pPr>
    </w:p>
    <w:p w14:paraId="38DA1F49" w14:textId="77777777" w:rsidR="003D012B" w:rsidRDefault="003D012B" w:rsidP="0070585C">
      <w:pPr>
        <w:pStyle w:val="Text"/>
        <w:ind w:firstLine="0"/>
        <w:rPr>
          <w:highlight w:val="yellow"/>
        </w:rPr>
      </w:pPr>
    </w:p>
    <w:p w14:paraId="22EF0891" w14:textId="77777777" w:rsidR="003D012B" w:rsidRPr="00853611" w:rsidRDefault="003D012B" w:rsidP="0070585C">
      <w:pPr>
        <w:pStyle w:val="Text"/>
        <w:ind w:firstLine="0"/>
        <w:rPr>
          <w:highlight w:val="yellow"/>
        </w:rPr>
      </w:pPr>
    </w:p>
    <w:p w14:paraId="3E054475" w14:textId="3D1A3A9D" w:rsidR="0070585C" w:rsidRPr="00200E79" w:rsidRDefault="0070585C" w:rsidP="0031482F">
      <w:pPr>
        <w:pStyle w:val="Nadpis4"/>
      </w:pPr>
      <w:bookmarkStart w:id="117" w:name="_Toc5968849"/>
      <w:r w:rsidRPr="00200E79">
        <w:lastRenderedPageBreak/>
        <w:t>Financování církevních škol a školských zařízení</w:t>
      </w:r>
      <w:bookmarkEnd w:id="117"/>
    </w:p>
    <w:p w14:paraId="6B201D3C" w14:textId="77777777" w:rsidR="0070585C" w:rsidRPr="00996B57" w:rsidRDefault="0070585C" w:rsidP="0070585C">
      <w:pPr>
        <w:pStyle w:val="Zkladntextodsazen2"/>
        <w:ind w:left="426" w:firstLine="0"/>
        <w:rPr>
          <w:b w:val="0"/>
          <w:highlight w:val="cyan"/>
        </w:rPr>
      </w:pPr>
    </w:p>
    <w:p w14:paraId="4A0E73BE" w14:textId="77777777" w:rsidR="0070585C" w:rsidRPr="00200E79" w:rsidRDefault="0070585C" w:rsidP="0070585C">
      <w:pPr>
        <w:pStyle w:val="Nadpis5"/>
      </w:pPr>
      <w:r w:rsidRPr="00200E79">
        <w:t>Vývoj financování církevních škol a školských zařízení</w:t>
      </w:r>
    </w:p>
    <w:p w14:paraId="277B1E0F" w14:textId="77777777" w:rsidR="0070585C" w:rsidRPr="00996B57" w:rsidRDefault="0070585C" w:rsidP="0070585C">
      <w:pPr>
        <w:rPr>
          <w:highlight w:val="cyan"/>
        </w:rPr>
      </w:pPr>
    </w:p>
    <w:p w14:paraId="393CFDB7" w14:textId="67712981" w:rsidR="0070585C" w:rsidRPr="00F43560" w:rsidRDefault="0070585C" w:rsidP="0070585C">
      <w:pPr>
        <w:pStyle w:val="Text"/>
      </w:pPr>
      <w:r w:rsidRPr="00F43560">
        <w:t xml:space="preserve">Výše rozpočtu v roce 2019 je pro církevní školy a školská zařízení stanovena </w:t>
      </w:r>
      <w:r w:rsidRPr="00F43560">
        <w:br/>
        <w:t>na 1 717 526 121 Kč. Oproti srovnatelné základně roku 201</w:t>
      </w:r>
      <w:r w:rsidR="00FD2721">
        <w:t>8</w:t>
      </w:r>
      <w:r w:rsidRPr="00F43560">
        <w:t xml:space="preserve"> dochází k nárůstu </w:t>
      </w:r>
      <w:r w:rsidRPr="00F43560">
        <w:br/>
        <w:t>o 177 421 000 Kč, tj. o 11,52 %.  Při projednávání návrhu rozpočtu pro regionální školství na rok 201</w:t>
      </w:r>
      <w:r w:rsidR="00FD2721">
        <w:t>9</w:t>
      </w:r>
      <w:r w:rsidRPr="00F43560">
        <w:t xml:space="preserve"> pro oblast církevního školství ze strany MF ČR bylo akceptováno zvýšení mzdových prostředků odpovídající zvýšení odměňování ve veř</w:t>
      </w:r>
      <w:r w:rsidR="0031482F">
        <w:t>ejném školství od 1. 7. 2017 a </w:t>
      </w:r>
      <w:r w:rsidRPr="00F43560">
        <w:t xml:space="preserve">1. 11. 2017. </w:t>
      </w:r>
    </w:p>
    <w:p w14:paraId="73DE2E45" w14:textId="77777777" w:rsidR="0070585C" w:rsidRPr="00F43560" w:rsidRDefault="0070585C" w:rsidP="0070585C">
      <w:pPr>
        <w:pStyle w:val="Text"/>
      </w:pPr>
      <w:r w:rsidRPr="00F43560">
        <w:t>K zabezpečení financování církevních škol a školských zařízení dle § 160 a 162 školského zákona je po normativně stanoveném rozpočtu přidělená částka dostačující.</w:t>
      </w:r>
    </w:p>
    <w:p w14:paraId="2DA1F046" w14:textId="1FE67738" w:rsidR="0070585C" w:rsidRPr="00F43560" w:rsidRDefault="0070585C" w:rsidP="0070585C">
      <w:pPr>
        <w:pStyle w:val="Text"/>
      </w:pPr>
      <w:r w:rsidRPr="00F43560">
        <w:t xml:space="preserve">Ve školním roce 2018/2019 navštěvuje církevní školy a školská zařízení níže uvedený počet </w:t>
      </w:r>
      <w:r w:rsidR="004F6E41">
        <w:t xml:space="preserve">dětí, </w:t>
      </w:r>
      <w:r w:rsidRPr="00F43560">
        <w:t>žáků</w:t>
      </w:r>
      <w:r w:rsidR="004F6E41">
        <w:t xml:space="preserve"> a studentů</w:t>
      </w:r>
      <w:r w:rsidRPr="00F43560">
        <w:t>:</w:t>
      </w:r>
    </w:p>
    <w:p w14:paraId="388B73CA" w14:textId="77777777" w:rsidR="0070585C" w:rsidRPr="00F43560" w:rsidRDefault="0070585C" w:rsidP="0070585C">
      <w:pPr>
        <w:tabs>
          <w:tab w:val="right" w:pos="8931"/>
        </w:tabs>
        <w:rPr>
          <w:szCs w:val="24"/>
          <w:vertAlign w:val="subscript"/>
        </w:rPr>
      </w:pPr>
      <w:r w:rsidRPr="00F43560">
        <w:rPr>
          <w:szCs w:val="24"/>
        </w:rPr>
        <w:t xml:space="preserve">- mateřské školy </w:t>
      </w:r>
      <w:r w:rsidRPr="00F43560">
        <w:rPr>
          <w:szCs w:val="24"/>
        </w:rPr>
        <w:tab/>
        <w:t>2 047 dětí, tj. o 24 dětí více než vloni (+ 1,19 %)</w:t>
      </w:r>
    </w:p>
    <w:p w14:paraId="58E5D55D" w14:textId="77777777" w:rsidR="0070585C" w:rsidRPr="00F43560" w:rsidRDefault="0070585C" w:rsidP="0070585C">
      <w:pPr>
        <w:tabs>
          <w:tab w:val="right" w:pos="8931"/>
        </w:tabs>
        <w:rPr>
          <w:szCs w:val="24"/>
        </w:rPr>
      </w:pPr>
      <w:r w:rsidRPr="00F43560">
        <w:rPr>
          <w:szCs w:val="24"/>
        </w:rPr>
        <w:t xml:space="preserve">- základní školy </w:t>
      </w:r>
      <w:r w:rsidRPr="00F43560">
        <w:rPr>
          <w:szCs w:val="24"/>
        </w:rPr>
        <w:tab/>
        <w:t>7 324 žáků, tj. o 163 žáků více než vloni (+ 2,28 %)</w:t>
      </w:r>
    </w:p>
    <w:p w14:paraId="0437277B" w14:textId="77777777" w:rsidR="0070585C" w:rsidRPr="00F43560" w:rsidRDefault="0070585C" w:rsidP="0070585C">
      <w:pPr>
        <w:tabs>
          <w:tab w:val="right" w:pos="8931"/>
        </w:tabs>
        <w:rPr>
          <w:szCs w:val="24"/>
        </w:rPr>
      </w:pPr>
      <w:r w:rsidRPr="00F43560">
        <w:rPr>
          <w:szCs w:val="24"/>
        </w:rPr>
        <w:t>- střední školy</w:t>
      </w:r>
      <w:r w:rsidRPr="00F43560">
        <w:rPr>
          <w:szCs w:val="24"/>
        </w:rPr>
        <w:tab/>
        <w:t>10 097 žáků, tj. o 14 žáků více než vloni (+ 0,14%)</w:t>
      </w:r>
    </w:p>
    <w:p w14:paraId="52F2533A" w14:textId="77777777" w:rsidR="0070585C" w:rsidRPr="00F43560" w:rsidRDefault="0070585C" w:rsidP="0070585C">
      <w:pPr>
        <w:tabs>
          <w:tab w:val="right" w:pos="8931"/>
        </w:tabs>
        <w:rPr>
          <w:szCs w:val="24"/>
        </w:rPr>
      </w:pPr>
      <w:r w:rsidRPr="00F43560">
        <w:rPr>
          <w:szCs w:val="24"/>
        </w:rPr>
        <w:t>- konzervatoře</w:t>
      </w:r>
      <w:r w:rsidRPr="00F43560">
        <w:rPr>
          <w:szCs w:val="24"/>
        </w:rPr>
        <w:tab/>
        <w:t>244 žáků, tj. o 3 žáky méně než vloni (- 1,21%)</w:t>
      </w:r>
    </w:p>
    <w:p w14:paraId="356FC518" w14:textId="1191CB7C" w:rsidR="0070585C" w:rsidRPr="00F43560" w:rsidRDefault="0070585C" w:rsidP="0070585C">
      <w:pPr>
        <w:tabs>
          <w:tab w:val="right" w:pos="8931"/>
        </w:tabs>
        <w:rPr>
          <w:szCs w:val="24"/>
        </w:rPr>
      </w:pPr>
      <w:r w:rsidRPr="00F43560">
        <w:rPr>
          <w:szCs w:val="24"/>
        </w:rPr>
        <w:t>- vyšší odborné školy</w:t>
      </w:r>
      <w:r w:rsidRPr="00F43560">
        <w:rPr>
          <w:szCs w:val="24"/>
        </w:rPr>
        <w:tab/>
        <w:t xml:space="preserve">1 440 </w:t>
      </w:r>
      <w:r w:rsidR="004F6E41">
        <w:rPr>
          <w:szCs w:val="24"/>
        </w:rPr>
        <w:t>student</w:t>
      </w:r>
      <w:r w:rsidR="004F6E41" w:rsidRPr="00F43560">
        <w:rPr>
          <w:szCs w:val="24"/>
        </w:rPr>
        <w:t>ů</w:t>
      </w:r>
      <w:r w:rsidRPr="00F43560">
        <w:rPr>
          <w:szCs w:val="24"/>
        </w:rPr>
        <w:t xml:space="preserve">, tj. o 27 </w:t>
      </w:r>
      <w:r w:rsidR="004F6E41">
        <w:rPr>
          <w:szCs w:val="24"/>
        </w:rPr>
        <w:t>student</w:t>
      </w:r>
      <w:r w:rsidR="004F6E41" w:rsidRPr="00F43560">
        <w:rPr>
          <w:szCs w:val="24"/>
        </w:rPr>
        <w:t xml:space="preserve">ů </w:t>
      </w:r>
      <w:r w:rsidRPr="00F43560">
        <w:rPr>
          <w:szCs w:val="24"/>
        </w:rPr>
        <w:t>více než vloni (+ 1,91 %)</w:t>
      </w:r>
    </w:p>
    <w:p w14:paraId="1BE8E836" w14:textId="77777777" w:rsidR="0070585C" w:rsidRPr="00F43560" w:rsidRDefault="0070585C" w:rsidP="0070585C">
      <w:pPr>
        <w:tabs>
          <w:tab w:val="right" w:pos="8931"/>
        </w:tabs>
        <w:rPr>
          <w:szCs w:val="24"/>
        </w:rPr>
      </w:pPr>
      <w:r w:rsidRPr="00F43560">
        <w:rPr>
          <w:szCs w:val="24"/>
        </w:rPr>
        <w:t>- dětské domovy</w:t>
      </w:r>
      <w:r w:rsidRPr="00F43560">
        <w:rPr>
          <w:szCs w:val="24"/>
        </w:rPr>
        <w:tab/>
        <w:t>39 dětí, tj. o 2 dítě více než vloni (+ 5,41 %)</w:t>
      </w:r>
    </w:p>
    <w:p w14:paraId="512125D3" w14:textId="77777777" w:rsidR="0070585C" w:rsidRPr="00F43560" w:rsidRDefault="0070585C" w:rsidP="0070585C">
      <w:pPr>
        <w:tabs>
          <w:tab w:val="right" w:pos="8931"/>
        </w:tabs>
        <w:rPr>
          <w:szCs w:val="24"/>
        </w:rPr>
      </w:pPr>
      <w:r w:rsidRPr="00F43560">
        <w:rPr>
          <w:szCs w:val="24"/>
        </w:rPr>
        <w:t>- školní družiny a školní kluby</w:t>
      </w:r>
      <w:r w:rsidRPr="00F43560">
        <w:rPr>
          <w:szCs w:val="24"/>
        </w:rPr>
        <w:tab/>
        <w:t>7 661 účastníků, tj. o 240 více než vloni (+ 3,23 %)</w:t>
      </w:r>
    </w:p>
    <w:p w14:paraId="7FB4F10E" w14:textId="77777777" w:rsidR="0070585C" w:rsidRPr="00F43560" w:rsidRDefault="0070585C" w:rsidP="0070585C">
      <w:pPr>
        <w:tabs>
          <w:tab w:val="right" w:pos="8931"/>
        </w:tabs>
        <w:rPr>
          <w:szCs w:val="24"/>
        </w:rPr>
      </w:pPr>
    </w:p>
    <w:p w14:paraId="5B90AB62" w14:textId="77777777" w:rsidR="0070585C" w:rsidRPr="00F43560" w:rsidRDefault="0070585C" w:rsidP="0070585C">
      <w:pPr>
        <w:pStyle w:val="Nadpis5"/>
        <w:rPr>
          <w:lang w:eastAsia="en-US"/>
        </w:rPr>
      </w:pPr>
      <w:r w:rsidRPr="00F43560">
        <w:rPr>
          <w:lang w:eastAsia="en-US"/>
        </w:rPr>
        <w:t>Závazné ukazatele rozpočtu na rok 2019</w:t>
      </w:r>
    </w:p>
    <w:p w14:paraId="580BADD6" w14:textId="77777777" w:rsidR="0070585C" w:rsidRPr="00996B57" w:rsidRDefault="0070585C" w:rsidP="0070585C">
      <w:pPr>
        <w:rPr>
          <w:highlight w:val="cyan"/>
          <w:lang w:eastAsia="en-US"/>
        </w:rPr>
      </w:pPr>
    </w:p>
    <w:p w14:paraId="5318BF69" w14:textId="10C9BCA4" w:rsidR="0070585C" w:rsidRPr="00F43560" w:rsidRDefault="0070585C" w:rsidP="0070585C">
      <w:pPr>
        <w:pStyle w:val="Text"/>
      </w:pPr>
      <w:r w:rsidRPr="00F43560">
        <w:t xml:space="preserve">V rozpočtu kapitoly MŠMT jsou pro církevní školy a školská zařízení určeny </w:t>
      </w:r>
      <w:r w:rsidRPr="00F43560">
        <w:rPr>
          <w:u w:val="single"/>
        </w:rPr>
        <w:t>výhradně k neinvestičním účelům</w:t>
      </w:r>
      <w:r w:rsidRPr="00F43560">
        <w:t xml:space="preserve"> běžné výdaje celkem (NIV celkem)</w:t>
      </w:r>
      <w:r w:rsidR="004F6E41">
        <w:t>,</w:t>
      </w:r>
      <w:r w:rsidRPr="00F43560">
        <w:t xml:space="preserve"> </w:t>
      </w:r>
      <w:r w:rsidR="004F6E41">
        <w:t>neboť</w:t>
      </w:r>
      <w:r w:rsidRPr="00F43560">
        <w:t xml:space="preserve"> odměňování jejich zaměstnanců je prováděno podle § 109 odst. 2 zákona zákoníku práce.</w:t>
      </w:r>
    </w:p>
    <w:p w14:paraId="777402B9" w14:textId="77777777" w:rsidR="0070585C" w:rsidRPr="00F43560" w:rsidRDefault="0070585C" w:rsidP="0070585C">
      <w:pPr>
        <w:pStyle w:val="Text"/>
      </w:pPr>
      <w:r w:rsidRPr="00F43560">
        <w:t xml:space="preserve">Běžné výdaje celkem (NIV celkem)                                              </w:t>
      </w:r>
      <w:r w:rsidRPr="00F43560">
        <w:tab/>
        <w:t>1 717 526 121 Kč</w:t>
      </w:r>
    </w:p>
    <w:p w14:paraId="38995C68" w14:textId="77777777" w:rsidR="0070585C" w:rsidRPr="00996B57" w:rsidRDefault="0070585C" w:rsidP="0070585C">
      <w:pPr>
        <w:pStyle w:val="Text"/>
        <w:rPr>
          <w:highlight w:val="cyan"/>
        </w:rPr>
      </w:pPr>
    </w:p>
    <w:p w14:paraId="6E7ADC84" w14:textId="77777777" w:rsidR="0070585C" w:rsidRDefault="0070585C" w:rsidP="0070585C">
      <w:pPr>
        <w:pStyle w:val="Nadpis5"/>
        <w:rPr>
          <w:lang w:eastAsia="en-US"/>
        </w:rPr>
      </w:pPr>
      <w:r w:rsidRPr="00F43560">
        <w:rPr>
          <w:lang w:eastAsia="en-US"/>
        </w:rPr>
        <w:t>Podmínky poskytnutí dotace</w:t>
      </w:r>
    </w:p>
    <w:p w14:paraId="7A6AB2E1" w14:textId="77777777" w:rsidR="0070585C" w:rsidRDefault="0070585C" w:rsidP="0070585C">
      <w:pPr>
        <w:rPr>
          <w:lang w:eastAsia="en-US"/>
        </w:rPr>
      </w:pPr>
    </w:p>
    <w:p w14:paraId="6A5D568D" w14:textId="12EE9F0B" w:rsidR="0070585C" w:rsidRPr="00A309DA" w:rsidRDefault="0070585C" w:rsidP="00B83EC6">
      <w:pPr>
        <w:pStyle w:val="Text"/>
        <w:rPr>
          <w:lang w:eastAsia="en-US"/>
        </w:rPr>
      </w:pPr>
      <w:r>
        <w:rPr>
          <w:lang w:eastAsia="en-US"/>
        </w:rPr>
        <w:t xml:space="preserve">Pravidla pro poskytnutí dotace byla 20. 11. 2018 zveřejněna na webových stránkách ministerstva ve Výzvě </w:t>
      </w:r>
      <w:r>
        <w:t>Ministerstva školství, mládeže a</w:t>
      </w:r>
      <w:r w:rsidR="00691319">
        <w:t xml:space="preserve"> tělovýchovy k podání žádostí o </w:t>
      </w:r>
      <w:r>
        <w:t>poskytnutí dotace ze státního rozpočtu na činnost škol a školských zařízení zřizovaných registrovanými církvemi nebo náboženskými společnostmi, kterým bylo přiznáno oprávnění k výkonu zvláštního práva zřizovat církevní školy, pro kalendářní rok 2019 :</w:t>
      </w:r>
    </w:p>
    <w:p w14:paraId="19CE3FF5" w14:textId="657B021C" w:rsidR="0070585C" w:rsidRPr="00A309DA" w:rsidRDefault="0070585C" w:rsidP="0070585C">
      <w:pPr>
        <w:tabs>
          <w:tab w:val="left" w:pos="0"/>
        </w:tabs>
        <w:spacing w:before="240"/>
        <w:rPr>
          <w:szCs w:val="24"/>
        </w:rPr>
      </w:pPr>
      <w:r w:rsidRPr="00A309DA">
        <w:t xml:space="preserve">1. </w:t>
      </w:r>
      <w:r w:rsidRPr="00A06E50">
        <w:rPr>
          <w:szCs w:val="24"/>
        </w:rPr>
        <w:t>Oprávněným žadatelem je právnická osoba vykonávající činnost školy a školského zařízení zapsané ve školském rejstříku (s výjimkou jazykové školy s právem státní jazykové zkoušky), kterou zřizuje registrovaná církev nebo náboženská společnost, kterým bylo přiznáno oprávnění k výkonu zvláštního práva zřizovat církevní školy (dále jen „církevní škola</w:t>
      </w:r>
      <w:r w:rsidR="00691319">
        <w:rPr>
          <w:szCs w:val="24"/>
        </w:rPr>
        <w:t xml:space="preserve"> a </w:t>
      </w:r>
      <w:r>
        <w:rPr>
          <w:szCs w:val="24"/>
        </w:rPr>
        <w:t>školské</w:t>
      </w:r>
      <w:r w:rsidRPr="00A06E50">
        <w:rPr>
          <w:szCs w:val="24"/>
        </w:rPr>
        <w:t xml:space="preserve"> zařízení“).</w:t>
      </w:r>
    </w:p>
    <w:p w14:paraId="18786097" w14:textId="786CB5D3" w:rsidR="0070585C" w:rsidRPr="00A06E50" w:rsidRDefault="0070585C" w:rsidP="0070585C">
      <w:pPr>
        <w:spacing w:before="240"/>
        <w:rPr>
          <w:szCs w:val="24"/>
        </w:rPr>
      </w:pPr>
      <w:r w:rsidRPr="00A309DA">
        <w:t xml:space="preserve">2. </w:t>
      </w:r>
      <w:r w:rsidRPr="00A06E50">
        <w:rPr>
          <w:szCs w:val="24"/>
        </w:rPr>
        <w:t xml:space="preserve">Na základě žádosti oprávněného žadatele podané </w:t>
      </w:r>
      <w:r>
        <w:rPr>
          <w:szCs w:val="24"/>
        </w:rPr>
        <w:t>do 31. 12. 2018</w:t>
      </w:r>
      <w:r w:rsidR="00691319">
        <w:rPr>
          <w:szCs w:val="24"/>
        </w:rPr>
        <w:t xml:space="preserve"> bude výše dotace na </w:t>
      </w:r>
      <w:r w:rsidRPr="00A06E50">
        <w:rPr>
          <w:szCs w:val="24"/>
        </w:rPr>
        <w:t xml:space="preserve">kalendářní rok 2019 stanovena na základě normativů platných pro kalendářní rok 2018. </w:t>
      </w:r>
    </w:p>
    <w:p w14:paraId="5D1E3860" w14:textId="77777777" w:rsidR="0070585C" w:rsidRPr="00A06E50" w:rsidRDefault="0070585C" w:rsidP="0070585C">
      <w:pPr>
        <w:spacing w:before="240"/>
        <w:rPr>
          <w:szCs w:val="24"/>
        </w:rPr>
      </w:pPr>
      <w:r>
        <w:rPr>
          <w:szCs w:val="24"/>
        </w:rPr>
        <w:t>3.</w:t>
      </w:r>
      <w:r w:rsidRPr="00A06E50">
        <w:rPr>
          <w:szCs w:val="24"/>
        </w:rPr>
        <w:t xml:space="preserve"> Na základě žádosti oprávněného žadatele o změnu rozhodnutí o </w:t>
      </w:r>
      <w:r>
        <w:rPr>
          <w:szCs w:val="24"/>
        </w:rPr>
        <w:t>poskytnutí dotace podané do 31. 1. 2019</w:t>
      </w:r>
      <w:r w:rsidRPr="00A06E50">
        <w:rPr>
          <w:szCs w:val="24"/>
        </w:rPr>
        <w:t xml:space="preserve"> bude ze strany MŠMT vydáno rozhodnutí o změně rozhodnutí o poskytnutí </w:t>
      </w:r>
      <w:r w:rsidRPr="00A06E50">
        <w:rPr>
          <w:szCs w:val="24"/>
        </w:rPr>
        <w:lastRenderedPageBreak/>
        <w:t>dotace, ve kterém bude výše dotace přepočtena na základě normativů platných pro kalendářní rok 2019.</w:t>
      </w:r>
    </w:p>
    <w:p w14:paraId="6B65AB91" w14:textId="77777777" w:rsidR="0070585C" w:rsidRPr="00A06E50" w:rsidRDefault="0070585C" w:rsidP="0070585C">
      <w:pPr>
        <w:spacing w:before="240"/>
        <w:rPr>
          <w:szCs w:val="24"/>
        </w:rPr>
      </w:pPr>
      <w:r>
        <w:rPr>
          <w:szCs w:val="24"/>
        </w:rPr>
        <w:t>4.</w:t>
      </w:r>
      <w:r w:rsidRPr="00A06E50">
        <w:rPr>
          <w:szCs w:val="24"/>
        </w:rPr>
        <w:t xml:space="preserve"> Výše dotace se v souladu s § 162 odst. 2 školského zákona stanoví podle skutečného počtu dětí, žáků nebo studentů ve škole nebo školském zařízení, v jednotlivých oborech vzdělání a formách vzdělávání, lůžek, stravovaných nebo jiných jednotek stanovených zvláštním právním předpisem, uvedeného ve školních matrikách pro školní rok 2018/2019, resp. pro školní rok 2019/2020, nejvýše však do nejvyššího povoleného počtu dětí, žáků nebo studentů ve škole nebo školském zařízení, v jednotlivých oborech vzdělání a formách vzdělávání, lůžek, stravovaných nebo jiných jednotek stanovených zvláštním právním předpisem, uvedeného ve školském rejstříku. V případě dětských domovů jsou finanční prostředky poskytovány podle nejvyššího povoleného počtu lůžek uvedeného ve školském rejstříku.</w:t>
      </w:r>
    </w:p>
    <w:p w14:paraId="3673BAB5" w14:textId="77777777" w:rsidR="0070585C" w:rsidRPr="00A06E50" w:rsidRDefault="0070585C" w:rsidP="0070585C">
      <w:pPr>
        <w:spacing w:before="240"/>
        <w:rPr>
          <w:szCs w:val="24"/>
        </w:rPr>
      </w:pPr>
      <w:r>
        <w:rPr>
          <w:szCs w:val="24"/>
        </w:rPr>
        <w:t>5.</w:t>
      </w:r>
      <w:r w:rsidRPr="00A06E50">
        <w:rPr>
          <w:szCs w:val="24"/>
        </w:rPr>
        <w:t xml:space="preserve"> V případě, že dojde v průběhu kalendářního roku 2019 k zápisu nové školy nebo školského zařízení do rejstříku škol a školských zařízení, jejíž činnost vykonává již existující oprávněný žadatel, či k takové změně zápisu již existující školy nebo školského zařízení, která má dopad do výše dotace, je možné podat žádost o změnu rozhodnutí o poskytnutí dotace</w:t>
      </w:r>
      <w:r>
        <w:rPr>
          <w:szCs w:val="24"/>
        </w:rPr>
        <w:t>.</w:t>
      </w:r>
      <w:r w:rsidRPr="00A06E50">
        <w:rPr>
          <w:szCs w:val="24"/>
        </w:rPr>
        <w:t xml:space="preserve"> Obdobně bude postupováno v případě, že v průběhu kalendářního roku 2019 vznikne zcela nový oprávněný žadatel</w:t>
      </w:r>
      <w:r>
        <w:rPr>
          <w:szCs w:val="24"/>
        </w:rPr>
        <w:t>.</w:t>
      </w:r>
    </w:p>
    <w:p w14:paraId="10CE944A" w14:textId="77777777" w:rsidR="0070585C" w:rsidRDefault="0070585C" w:rsidP="0070585C">
      <w:pPr>
        <w:spacing w:before="240"/>
        <w:rPr>
          <w:szCs w:val="24"/>
        </w:rPr>
      </w:pPr>
      <w:r>
        <w:rPr>
          <w:szCs w:val="24"/>
        </w:rPr>
        <w:t>6.</w:t>
      </w:r>
      <w:r w:rsidRPr="00A06E50">
        <w:rPr>
          <w:szCs w:val="24"/>
        </w:rPr>
        <w:t xml:space="preserve"> Při stanovení výše dotace v případech </w:t>
      </w:r>
      <w:r>
        <w:rPr>
          <w:szCs w:val="24"/>
        </w:rPr>
        <w:t>výše popsaných nových škol nebo školských zařízení bude</w:t>
      </w:r>
      <w:r w:rsidRPr="00A06E50">
        <w:rPr>
          <w:szCs w:val="24"/>
        </w:rPr>
        <w:t xml:space="preserve"> MŠMT vycházet</w:t>
      </w:r>
      <w:r>
        <w:rPr>
          <w:szCs w:val="24"/>
        </w:rPr>
        <w:t xml:space="preserve"> z předpokládaného počtu jednotek výkonu rozhodných pro stanovení výše dotace uvedených v žádosti o dotaci či v žádosti o změnu rozhodnutí o poskytnutí dotace. Na základě žádosti oprávněného žadatele o změnu rozhodnutí o poskytnutí dotace podané v termínu do 15. 10. 2019 bude výše dotace upravena.</w:t>
      </w:r>
    </w:p>
    <w:p w14:paraId="601B88E3" w14:textId="77777777" w:rsidR="0070585C" w:rsidRPr="00A06E50" w:rsidRDefault="0070585C" w:rsidP="0070585C">
      <w:pPr>
        <w:spacing w:before="240"/>
        <w:rPr>
          <w:szCs w:val="24"/>
        </w:rPr>
      </w:pPr>
      <w:r>
        <w:rPr>
          <w:szCs w:val="24"/>
        </w:rPr>
        <w:t xml:space="preserve">7. V případě, že v průběhu kalendářního roku 2019 dojde na straně oprávněného žadatele k jiným výjimečným a zásadním organizačním změnám ve škole či školském zařízení majícím vliv na výši dotace, může oprávněný žadatel požádat o změnu rozhodnutí </w:t>
      </w:r>
      <w:r>
        <w:rPr>
          <w:szCs w:val="24"/>
        </w:rPr>
        <w:br/>
        <w:t>o poskytnutí dotace.</w:t>
      </w:r>
    </w:p>
    <w:p w14:paraId="1B5F5A89" w14:textId="77777777" w:rsidR="0070585C" w:rsidRPr="00265562" w:rsidRDefault="0070585C" w:rsidP="0070585C">
      <w:pPr>
        <w:spacing w:before="240"/>
        <w:rPr>
          <w:szCs w:val="24"/>
        </w:rPr>
      </w:pPr>
      <w:r>
        <w:rPr>
          <w:szCs w:val="24"/>
        </w:rPr>
        <w:t xml:space="preserve">8. </w:t>
      </w:r>
      <w:r w:rsidRPr="00265562">
        <w:rPr>
          <w:szCs w:val="24"/>
        </w:rPr>
        <w:t>Oprávněný žadatel bude informován o způsobu výpočtu výše dotace ve výpočtové tabulce v nezávazném informativním členění, která bude přílohou rozhodnutí o změně</w:t>
      </w:r>
      <w:r>
        <w:rPr>
          <w:szCs w:val="24"/>
        </w:rPr>
        <w:t xml:space="preserve"> rozhodnutí </w:t>
      </w:r>
      <w:r>
        <w:rPr>
          <w:szCs w:val="24"/>
        </w:rPr>
        <w:br/>
        <w:t>o poskytnutí dotace</w:t>
      </w:r>
      <w:r w:rsidRPr="00265562">
        <w:rPr>
          <w:szCs w:val="24"/>
        </w:rPr>
        <w:t>.</w:t>
      </w:r>
    </w:p>
    <w:p w14:paraId="34210D17" w14:textId="77777777" w:rsidR="007870CB" w:rsidRDefault="0070585C" w:rsidP="007870CB">
      <w:pPr>
        <w:spacing w:before="240"/>
      </w:pPr>
      <w:r w:rsidRPr="005E69D3">
        <w:t>9. Finanční prostředky ze státního rozpočtu jsou poskytovány na prokazatelné náklady, příp. výdaje kalendářního roku 2019.</w:t>
      </w:r>
    </w:p>
    <w:p w14:paraId="73000498" w14:textId="77777777" w:rsidR="0070585C" w:rsidRDefault="0070585C" w:rsidP="007870CB">
      <w:pPr>
        <w:spacing w:before="240"/>
        <w:rPr>
          <w:szCs w:val="24"/>
        </w:rPr>
      </w:pPr>
      <w:r w:rsidRPr="005E69D3">
        <w:t>10.</w:t>
      </w:r>
      <w:r w:rsidRPr="00A06E50">
        <w:rPr>
          <w:b/>
          <w:szCs w:val="24"/>
        </w:rPr>
        <w:t xml:space="preserve"> </w:t>
      </w:r>
      <w:r w:rsidRPr="00A06E50">
        <w:rPr>
          <w:szCs w:val="24"/>
        </w:rPr>
        <w:t xml:space="preserve">Příjemce bude povinen zaslat </w:t>
      </w:r>
      <w:r>
        <w:rPr>
          <w:szCs w:val="24"/>
        </w:rPr>
        <w:t>MŠMT (</w:t>
      </w:r>
      <w:r w:rsidRPr="00A06E50">
        <w:rPr>
          <w:szCs w:val="24"/>
        </w:rPr>
        <w:t>odbor</w:t>
      </w:r>
      <w:r>
        <w:rPr>
          <w:szCs w:val="24"/>
        </w:rPr>
        <w:t>u</w:t>
      </w:r>
      <w:r w:rsidRPr="00A06E50">
        <w:rPr>
          <w:szCs w:val="24"/>
        </w:rPr>
        <w:t xml:space="preserve"> 12</w:t>
      </w:r>
      <w:r>
        <w:rPr>
          <w:szCs w:val="24"/>
        </w:rPr>
        <w:t>)</w:t>
      </w:r>
      <w:r w:rsidRPr="00A06E50">
        <w:rPr>
          <w:szCs w:val="24"/>
        </w:rPr>
        <w:t xml:space="preserve"> v termínu do 15. 2. 2020 vypořádání</w:t>
      </w:r>
      <w:r>
        <w:rPr>
          <w:szCs w:val="24"/>
        </w:rPr>
        <w:t xml:space="preserve"> dotace</w:t>
      </w:r>
      <w:r w:rsidRPr="00A06E50">
        <w:rPr>
          <w:szCs w:val="24"/>
        </w:rPr>
        <w:t xml:space="preserve"> podle vyhlášky č. 367/2015 Sb., o zásadách a lhůtách finančního vypořádání vztahů se státním rozpočtem, státními finančními aktivy a Národním fondem (vyhláška o finančním vypořádání), v</w:t>
      </w:r>
      <w:r>
        <w:rPr>
          <w:szCs w:val="24"/>
        </w:rPr>
        <w:t>e znění pozdějších předpisů.</w:t>
      </w:r>
    </w:p>
    <w:p w14:paraId="62BD21DE" w14:textId="77777777" w:rsidR="0070585C" w:rsidRDefault="0070585C" w:rsidP="0070585C">
      <w:pPr>
        <w:spacing w:before="240"/>
        <w:rPr>
          <w:szCs w:val="24"/>
        </w:rPr>
      </w:pPr>
      <w:r>
        <w:rPr>
          <w:szCs w:val="24"/>
        </w:rPr>
        <w:t xml:space="preserve">11. </w:t>
      </w:r>
      <w:r w:rsidRPr="00A06E50">
        <w:rPr>
          <w:szCs w:val="24"/>
        </w:rPr>
        <w:t>Nevyčerpané finanční prostředky z poskytnuté dotace příjemce vrátí MŠMT v případech, termínech a způsobem uveden</w:t>
      </w:r>
      <w:r>
        <w:rPr>
          <w:szCs w:val="24"/>
        </w:rPr>
        <w:t>ých v rozhodnutí, včetně avíza.</w:t>
      </w:r>
    </w:p>
    <w:p w14:paraId="1F15A3B3" w14:textId="77777777" w:rsidR="0070585C" w:rsidRPr="00996B57" w:rsidRDefault="0070585C" w:rsidP="0070585C">
      <w:pPr>
        <w:rPr>
          <w:highlight w:val="cyan"/>
        </w:rPr>
      </w:pPr>
    </w:p>
    <w:p w14:paraId="1C35C35A" w14:textId="77777777" w:rsidR="0070585C" w:rsidRPr="005E69D3" w:rsidRDefault="0070585C" w:rsidP="0070585C">
      <w:pPr>
        <w:pStyle w:val="Nadpis5"/>
        <w:rPr>
          <w:lang w:eastAsia="en-US"/>
        </w:rPr>
      </w:pPr>
      <w:r w:rsidRPr="005E69D3">
        <w:rPr>
          <w:lang w:eastAsia="en-US"/>
        </w:rPr>
        <w:t>Rozpis rozpočtu na rok 2019</w:t>
      </w:r>
    </w:p>
    <w:p w14:paraId="55940572" w14:textId="77777777" w:rsidR="0070585C" w:rsidRPr="00996B57" w:rsidRDefault="0070585C" w:rsidP="0070585C">
      <w:pPr>
        <w:pStyle w:val="Text"/>
        <w:rPr>
          <w:highlight w:val="cyan"/>
        </w:rPr>
      </w:pPr>
    </w:p>
    <w:p w14:paraId="2AA1D7A2" w14:textId="77777777" w:rsidR="0070585C" w:rsidRPr="005E69D3" w:rsidRDefault="0070585C" w:rsidP="0070585C">
      <w:pPr>
        <w:pStyle w:val="Text"/>
      </w:pPr>
      <w:r w:rsidRPr="005E69D3">
        <w:t xml:space="preserve">Rozpis rozpočtu je </w:t>
      </w:r>
      <w:r w:rsidRPr="005E69D3">
        <w:rPr>
          <w:u w:val="single"/>
        </w:rPr>
        <w:t>sestaven v souladu s § 162 školského zákona normativní metodou</w:t>
      </w:r>
      <w:r w:rsidRPr="005E69D3">
        <w:t xml:space="preserve"> bez podpůrných opatření s použitím údajů ze školních matrik uvedených ve statistických </w:t>
      </w:r>
      <w:r w:rsidRPr="005E69D3">
        <w:lastRenderedPageBreak/>
        <w:t>výkonových výkazech (tzv. zahajovacích výkazech) a normativů platných pro školy a školská zařízení.</w:t>
      </w:r>
    </w:p>
    <w:p w14:paraId="1DDA26F0" w14:textId="23876688" w:rsidR="0070585C" w:rsidRPr="004864CF" w:rsidRDefault="0070585C" w:rsidP="0070585C">
      <w:pPr>
        <w:pStyle w:val="Text"/>
      </w:pPr>
      <w:r w:rsidRPr="004864CF">
        <w:t>Tyto normativy jsou stanoveny materiálem č.j. MŠMT</w:t>
      </w:r>
      <w:r w:rsidR="00691319">
        <w:t>-2059/2019 a jsou zveřejněny na </w:t>
      </w:r>
      <w:r w:rsidRPr="004864CF">
        <w:t>webových stránkách MŠMT.</w:t>
      </w:r>
    </w:p>
    <w:p w14:paraId="55148ACC" w14:textId="4A2D6D33" w:rsidR="0070585C" w:rsidRPr="004864CF" w:rsidRDefault="0070585C" w:rsidP="0070585C">
      <w:pPr>
        <w:pStyle w:val="Text"/>
      </w:pPr>
      <w:r w:rsidRPr="004864CF">
        <w:t>Součástí normativní metodou vypočítaného rozpočtu jsou pouze dotace stanovené dle uvedené soustavy normativů. Normativy jsou vztažen</w:t>
      </w:r>
      <w:r w:rsidR="00691319">
        <w:t>y na jednotky výkonu uvedené ve </w:t>
      </w:r>
      <w:r w:rsidRPr="004864CF">
        <w:t>výkazu dle vyhlášky č. 364/2005 Sb., dříve výkonový výkaz, jichž se normativ týká. Finanční prostředky jsou pak poskytovány ve výši dané součinem příslušného počtu dětí, žáků, studentů, lůžek, ubytovaných a normativu.</w:t>
      </w:r>
    </w:p>
    <w:p w14:paraId="101D8423" w14:textId="77777777" w:rsidR="0070585C" w:rsidRPr="004864CF" w:rsidRDefault="0070585C" w:rsidP="0070585C">
      <w:pPr>
        <w:spacing w:afterLines="60" w:after="144"/>
        <w:rPr>
          <w:szCs w:val="24"/>
        </w:rPr>
      </w:pPr>
      <w:r w:rsidRPr="004864CF">
        <w:rPr>
          <w:szCs w:val="24"/>
        </w:rPr>
        <w:t xml:space="preserve">Také dotace na žáky se speciálními vzdělávacími potřebami je řešena normativně. </w:t>
      </w:r>
    </w:p>
    <w:p w14:paraId="5762E5E4" w14:textId="6556AF19" w:rsidR="0070585C" w:rsidRPr="00C01AA6" w:rsidRDefault="0070585C" w:rsidP="00B83EC6">
      <w:pPr>
        <w:pStyle w:val="Text"/>
      </w:pPr>
      <w:r w:rsidRPr="004864CF">
        <w:t>Při sestavování rozpočtu byla zároveň prováděna kontrola údajů v zahajovacích výkazech ve vazbě na kapacitu součástí zařízení, zapsanou v rejstříku škol a školských zařízení. V těch případech, kde vykázané výkony na školní rok 2018/2019 překročily povolenou kapacitu, byl pro potřeby výpočtu použit údaj o povolené kapacitě a výkony překračující tuto hodnotu nebyly akceptovány.</w:t>
      </w:r>
    </w:p>
    <w:p w14:paraId="081A37FE" w14:textId="77777777" w:rsidR="0070585C" w:rsidRPr="001D4AB8" w:rsidRDefault="0070585C" w:rsidP="0070585C">
      <w:pPr>
        <w:rPr>
          <w:szCs w:val="24"/>
        </w:rPr>
      </w:pPr>
    </w:p>
    <w:p w14:paraId="70E2CEC8" w14:textId="77777777" w:rsidR="0070585C" w:rsidRPr="001D4AB8" w:rsidRDefault="0070585C" w:rsidP="0070585C">
      <w:pPr>
        <w:pStyle w:val="Nadpis5"/>
        <w:rPr>
          <w:lang w:eastAsia="en-US"/>
        </w:rPr>
      </w:pPr>
      <w:r w:rsidRPr="001D4AB8">
        <w:rPr>
          <w:lang w:eastAsia="en-US"/>
        </w:rPr>
        <w:t>Bilance rozpisu rozpočtu na rok 2019</w:t>
      </w:r>
    </w:p>
    <w:p w14:paraId="4823C1BF" w14:textId="77777777" w:rsidR="0070585C" w:rsidRPr="00996B57" w:rsidRDefault="0070585C" w:rsidP="0070585C">
      <w:pPr>
        <w:pStyle w:val="Text"/>
        <w:rPr>
          <w:highlight w:val="cyan"/>
        </w:rPr>
      </w:pPr>
    </w:p>
    <w:p w14:paraId="1ECC963A" w14:textId="77777777" w:rsidR="0070585C" w:rsidRPr="00C01AA6" w:rsidRDefault="0070585C" w:rsidP="0070585C">
      <w:pPr>
        <w:pBdr>
          <w:bottom w:val="single" w:sz="6" w:space="1" w:color="auto"/>
        </w:pBdr>
        <w:tabs>
          <w:tab w:val="right" w:pos="9072"/>
        </w:tabs>
        <w:rPr>
          <w:szCs w:val="24"/>
        </w:rPr>
      </w:pPr>
      <w:r w:rsidRPr="00C01AA6">
        <w:t xml:space="preserve">Normativní rozpis rozpočtu na r. 2019 činí </w:t>
      </w:r>
      <w:r w:rsidRPr="00C01AA6">
        <w:rPr>
          <w:szCs w:val="24"/>
        </w:rPr>
        <w:t>1 561 391 067 Kč</w:t>
      </w:r>
    </w:p>
    <w:p w14:paraId="46A5526A" w14:textId="77777777" w:rsidR="0070585C" w:rsidRPr="00C01AA6" w:rsidRDefault="0070585C" w:rsidP="0070585C">
      <w:pPr>
        <w:pBdr>
          <w:bottom w:val="single" w:sz="6" w:space="1" w:color="auto"/>
        </w:pBdr>
        <w:tabs>
          <w:tab w:val="right" w:pos="9072"/>
        </w:tabs>
        <w:rPr>
          <w:szCs w:val="24"/>
        </w:rPr>
      </w:pPr>
      <w:r w:rsidRPr="00C01AA6">
        <w:rPr>
          <w:szCs w:val="24"/>
        </w:rPr>
        <w:t>závazný ukazatel NIV na  r. 2019:                                                                   1 717 526 121 Kč</w:t>
      </w:r>
    </w:p>
    <w:p w14:paraId="4F577ABB" w14:textId="77777777" w:rsidR="0070585C" w:rsidRPr="00C01AA6" w:rsidRDefault="0070585C" w:rsidP="0070585C">
      <w:pPr>
        <w:pBdr>
          <w:bottom w:val="single" w:sz="6" w:space="1" w:color="auto"/>
        </w:pBdr>
        <w:tabs>
          <w:tab w:val="right" w:pos="9072"/>
        </w:tabs>
        <w:rPr>
          <w:szCs w:val="24"/>
        </w:rPr>
      </w:pPr>
      <w:r w:rsidRPr="00C01AA6">
        <w:rPr>
          <w:szCs w:val="24"/>
        </w:rPr>
        <w:t>potřeba vyplývající z normativního rozpisu na r.2019</w:t>
      </w:r>
      <w:r w:rsidRPr="00C01AA6">
        <w:rPr>
          <w:szCs w:val="24"/>
        </w:rPr>
        <w:tab/>
        <w:t xml:space="preserve">              1 561 391 067 Kč</w:t>
      </w:r>
    </w:p>
    <w:p w14:paraId="6A0C4A0C" w14:textId="77777777" w:rsidR="0070585C" w:rsidRPr="00C01AA6" w:rsidRDefault="0070585C" w:rsidP="0070585C">
      <w:pPr>
        <w:tabs>
          <w:tab w:val="right" w:pos="9072"/>
        </w:tabs>
        <w:rPr>
          <w:szCs w:val="24"/>
        </w:rPr>
      </w:pPr>
      <w:r w:rsidRPr="00C01AA6">
        <w:rPr>
          <w:szCs w:val="24"/>
        </w:rPr>
        <w:t>tj. po normativním rozpisu zbývá nerozepsáno</w:t>
      </w:r>
      <w:r w:rsidRPr="00C01AA6">
        <w:rPr>
          <w:szCs w:val="24"/>
        </w:rPr>
        <w:tab/>
        <w:t xml:space="preserve">                                   </w:t>
      </w:r>
      <w:r w:rsidR="004A7C2E">
        <w:rPr>
          <w:szCs w:val="24"/>
        </w:rPr>
        <w:t xml:space="preserve">          156 135 054 Kč</w:t>
      </w:r>
    </w:p>
    <w:p w14:paraId="7481A0B2" w14:textId="77777777" w:rsidR="0070585C" w:rsidRPr="00C01AA6" w:rsidRDefault="0070585C" w:rsidP="0070585C">
      <w:pPr>
        <w:tabs>
          <w:tab w:val="right" w:pos="9072"/>
        </w:tabs>
        <w:rPr>
          <w:szCs w:val="24"/>
        </w:rPr>
      </w:pPr>
    </w:p>
    <w:p w14:paraId="2BFED3E9" w14:textId="50D1A216" w:rsidR="0070585C" w:rsidRPr="00C01AA6" w:rsidRDefault="0070585C" w:rsidP="00636DE9">
      <w:pPr>
        <w:pStyle w:val="Text"/>
      </w:pPr>
      <w:r w:rsidRPr="00C01AA6">
        <w:t xml:space="preserve">Normativní rozpis rozpočtu dle normativů na rok 2019, které již budou zahrnovat v odpovídající výši zvýšení odměňování ve veřejném školství, bude proveden následně a na základě žádostí oprávněných žadatelů bude vydáno </w:t>
      </w:r>
      <w:r w:rsidR="00691319">
        <w:t>rozhodnutí o změně rozhodnutí o </w:t>
      </w:r>
      <w:r w:rsidRPr="00C01AA6">
        <w:t xml:space="preserve">poskytnutí dotace. </w:t>
      </w:r>
    </w:p>
    <w:p w14:paraId="6A14663D" w14:textId="49883390" w:rsidR="0070585C" w:rsidRDefault="0070585C" w:rsidP="00636DE9">
      <w:pPr>
        <w:pStyle w:val="Text"/>
      </w:pPr>
      <w:r w:rsidRPr="00C01AA6">
        <w:t xml:space="preserve">Očekávané finanční dopady podpůrných opatření v církevním školství budou v odhadované výši 165 mil. Kč pokryty z nároků z nespotřebovaných neprofilujících výdajů. </w:t>
      </w:r>
    </w:p>
    <w:p w14:paraId="2BA30EC6" w14:textId="77777777" w:rsidR="0070585C" w:rsidRDefault="0070585C" w:rsidP="00636DE9">
      <w:pPr>
        <w:pStyle w:val="Text"/>
      </w:pPr>
      <w:r w:rsidRPr="004143FB">
        <w:t xml:space="preserve">V případě financování nově zapsaných školských subjektů nelze zcela odhadnout výši </w:t>
      </w:r>
      <w:r w:rsidRPr="00CB798D">
        <w:t>očekávaných nákladů, neboť i nadále pokračuje trend zápisů nových MŠ a školských zařízení do školského rejstříku.</w:t>
      </w:r>
    </w:p>
    <w:p w14:paraId="1087E82C" w14:textId="77777777" w:rsidR="00E65EE1" w:rsidRPr="00CB798D" w:rsidRDefault="00E65EE1" w:rsidP="00DA5A48">
      <w:pPr>
        <w:pStyle w:val="Text"/>
      </w:pPr>
    </w:p>
    <w:p w14:paraId="5CE246D4" w14:textId="77777777" w:rsidR="00C069EF" w:rsidRPr="00CB798D" w:rsidRDefault="00B23A91" w:rsidP="0031482F">
      <w:pPr>
        <w:pStyle w:val="Nadpis4"/>
      </w:pPr>
      <w:bookmarkStart w:id="118" w:name="_Toc5968850"/>
      <w:r w:rsidRPr="00CB798D">
        <w:t xml:space="preserve">RgŠ </w:t>
      </w:r>
      <w:r w:rsidR="00C069EF" w:rsidRPr="00CB798D">
        <w:t>- ostatní dotační tituly</w:t>
      </w:r>
      <w:bookmarkEnd w:id="118"/>
    </w:p>
    <w:p w14:paraId="6FC40F1A" w14:textId="77777777" w:rsidR="006E6AF0" w:rsidRPr="00CB798D" w:rsidRDefault="006E6AF0" w:rsidP="006E6AF0">
      <w:pPr>
        <w:rPr>
          <w:lang w:eastAsia="en-US"/>
        </w:rPr>
      </w:pPr>
    </w:p>
    <w:p w14:paraId="4F843B5A" w14:textId="77777777" w:rsidR="00CB798D" w:rsidRPr="002C3CEF" w:rsidRDefault="00CB798D" w:rsidP="00CB798D">
      <w:pPr>
        <w:pStyle w:val="Text"/>
      </w:pPr>
      <w:r w:rsidRPr="002C3CEF">
        <w:t xml:space="preserve">Pro rok 2019 je navržen pro ukazatel Ostatní dotační tituly RgŠ rozpočet ve výši </w:t>
      </w:r>
      <w:r>
        <w:t xml:space="preserve">39 349 295 Kč </w:t>
      </w:r>
      <w:r w:rsidRPr="002C3CEF">
        <w:t>(bez programového financování).</w:t>
      </w:r>
    </w:p>
    <w:p w14:paraId="1EE5BC8C" w14:textId="2591B14C" w:rsidR="00CB798D" w:rsidRPr="002C3CEF" w:rsidRDefault="00CB798D" w:rsidP="00CB798D">
      <w:pPr>
        <w:pStyle w:val="Text"/>
      </w:pPr>
      <w:r w:rsidRPr="002C3CEF">
        <w:t xml:space="preserve">V rámci tohoto ukazatele budou financovány 2 dotační výzvy </w:t>
      </w:r>
      <w:r w:rsidR="004F6E41">
        <w:t>zveřejňova</w:t>
      </w:r>
      <w:r w:rsidR="004F6E41" w:rsidRPr="002C3CEF">
        <w:t xml:space="preserve">né </w:t>
      </w:r>
      <w:r w:rsidR="003666C0">
        <w:t>MŠMT, a to </w:t>
      </w:r>
      <w:r w:rsidRPr="002C3CEF">
        <w:t>Výzva na podporu vzdělávání v regionálním školství v roce 2019 a Výzva pro nestátní neziskové organizace k podpoře školního stravování žáků základních škol na rok 2019.</w:t>
      </w:r>
      <w:r>
        <w:t xml:space="preserve"> </w:t>
      </w:r>
    </w:p>
    <w:p w14:paraId="6E7EF9F5" w14:textId="77777777" w:rsidR="00B63D7E" w:rsidRPr="00853611" w:rsidRDefault="00B63D7E" w:rsidP="00DA5A48">
      <w:pPr>
        <w:pStyle w:val="Text"/>
        <w:rPr>
          <w:highlight w:val="yellow"/>
        </w:rPr>
      </w:pPr>
    </w:p>
    <w:p w14:paraId="18482790" w14:textId="77777777" w:rsidR="007307FA" w:rsidRPr="00817676" w:rsidRDefault="007307FA" w:rsidP="0031482F">
      <w:pPr>
        <w:pStyle w:val="Nadpis4"/>
      </w:pPr>
      <w:bookmarkStart w:id="119" w:name="_Toc5968851"/>
      <w:r w:rsidRPr="00817676">
        <w:t>Výdaje na programové financování</w:t>
      </w:r>
      <w:bookmarkEnd w:id="119"/>
    </w:p>
    <w:p w14:paraId="23228705" w14:textId="77777777" w:rsidR="00907F4B" w:rsidRPr="00817676" w:rsidRDefault="00907F4B" w:rsidP="00907F4B">
      <w:pPr>
        <w:rPr>
          <w:lang w:eastAsia="en-US"/>
        </w:rPr>
      </w:pPr>
    </w:p>
    <w:p w14:paraId="7EA29E22" w14:textId="42F69501" w:rsidR="00817676" w:rsidRPr="00817676" w:rsidRDefault="00817676" w:rsidP="00817676">
      <w:pPr>
        <w:pStyle w:val="Text"/>
        <w:rPr>
          <w:rFonts w:eastAsia="Calibri"/>
          <w:lang w:eastAsia="en-US"/>
        </w:rPr>
      </w:pPr>
      <w:r w:rsidRPr="00817676">
        <w:t xml:space="preserve">V roce 2019 pokračuje financování programu </w:t>
      </w:r>
      <w:r w:rsidRPr="00817676">
        <w:rPr>
          <w:b/>
        </w:rPr>
        <w:t>133 310</w:t>
      </w:r>
      <w:r w:rsidRPr="00817676">
        <w:t xml:space="preserve"> </w:t>
      </w:r>
      <w:r w:rsidRPr="00817676">
        <w:rPr>
          <w:i/>
        </w:rPr>
        <w:t>Rozvoj výukových kapacit mateřských a základních škol zřizovaných územně samosprávnými celky</w:t>
      </w:r>
      <w:r w:rsidRPr="00817676">
        <w:t xml:space="preserve">. Rozpočet výdajů tohoto programu v roce 2019 činí </w:t>
      </w:r>
      <w:r w:rsidR="00E65FA5">
        <w:rPr>
          <w:b/>
        </w:rPr>
        <w:t>140 000 </w:t>
      </w:r>
      <w:r w:rsidRPr="00817676">
        <w:rPr>
          <w:b/>
        </w:rPr>
        <w:t xml:space="preserve">000 Kč, </w:t>
      </w:r>
      <w:r w:rsidRPr="00817676">
        <w:t>v tom kapitálových</w:t>
      </w:r>
      <w:r w:rsidRPr="00817676">
        <w:rPr>
          <w:b/>
        </w:rPr>
        <w:t xml:space="preserve"> </w:t>
      </w:r>
      <w:r w:rsidR="00E65FA5">
        <w:t xml:space="preserve">ve výši </w:t>
      </w:r>
      <w:r w:rsidR="00E65FA5">
        <w:lastRenderedPageBreak/>
        <w:t>139 221 </w:t>
      </w:r>
      <w:r w:rsidRPr="00817676">
        <w:t>245 Kč a běžných 778 755 Kč. Program se v tom</w:t>
      </w:r>
      <w:r w:rsidR="00691319">
        <w:t>to roce jmenovitě rozepisuje na </w:t>
      </w:r>
      <w:r w:rsidRPr="00817676">
        <w:t>základě výsledku hodnocení výzvy č. 6, kde bylo vybráno 27 akcí a předpokládá se jeho pokračování až do roku 2021. Cílem programu je vytvoření nových výukových kapacit mateřských a základních škol zřizovaných územními samosprávnými celky.</w:t>
      </w:r>
      <w:r w:rsidRPr="00817676">
        <w:rPr>
          <w:rFonts w:eastAsia="Calibri"/>
          <w:lang w:eastAsia="en-US"/>
        </w:rPr>
        <w:t xml:space="preserve"> </w:t>
      </w:r>
    </w:p>
    <w:p w14:paraId="3F997DF4" w14:textId="4096F9EC" w:rsidR="00817676" w:rsidRPr="00817676" w:rsidRDefault="00817676" w:rsidP="00817676">
      <w:pPr>
        <w:pStyle w:val="Text"/>
      </w:pPr>
      <w:r w:rsidRPr="00817676">
        <w:t>Ve většině se jedná o dvouleté projekty, kde je nutno optimalizovat zdroje dle skutečného čerpání nároků z nespotřebovaných výdajů (</w:t>
      </w:r>
      <w:r w:rsidR="0031482F">
        <w:t>dále také jen „</w:t>
      </w:r>
      <w:r w:rsidRPr="00817676">
        <w:t>NNV</w:t>
      </w:r>
      <w:r w:rsidR="0031482F">
        <w:t>“</w:t>
      </w:r>
      <w:r w:rsidRPr="00817676">
        <w:t>) a státního rozpočtu (</w:t>
      </w:r>
      <w:r w:rsidR="0031482F">
        <w:t>dále také jen „</w:t>
      </w:r>
      <w:r w:rsidRPr="00817676">
        <w:t>SR</w:t>
      </w:r>
      <w:r w:rsidR="0031482F">
        <w:t>“</w:t>
      </w:r>
      <w:r w:rsidRPr="00817676">
        <w:t>). V nárocích z nespotřebovaných profilujících výdajů EDS/SMVS, které budou v programu 133 310 během roku zapojeny, jsou evidovány prostředky v celkové výši 217 958 694,16 Kč.</w:t>
      </w:r>
    </w:p>
    <w:p w14:paraId="7E81E05D" w14:textId="77777777" w:rsidR="00817676" w:rsidRPr="00817676" w:rsidRDefault="00817676" w:rsidP="00817676">
      <w:pPr>
        <w:pStyle w:val="Text"/>
        <w:rPr>
          <w:rFonts w:eastAsia="Calibri"/>
          <w:lang w:eastAsia="en-US"/>
        </w:rPr>
      </w:pPr>
      <w:r w:rsidRPr="00817676">
        <w:t xml:space="preserve"> </w:t>
      </w:r>
      <w:r w:rsidRPr="00817676">
        <w:rPr>
          <w:rFonts w:eastAsia="Calibri"/>
          <w:lang w:eastAsia="en-US"/>
        </w:rPr>
        <w:t xml:space="preserve">Rozpočet programu </w:t>
      </w:r>
      <w:r w:rsidRPr="00817676">
        <w:rPr>
          <w:b/>
        </w:rPr>
        <w:t>133 320</w:t>
      </w:r>
      <w:r w:rsidRPr="00817676">
        <w:rPr>
          <w:rFonts w:eastAsia="Calibri"/>
          <w:lang w:eastAsia="en-US"/>
        </w:rPr>
        <w:t xml:space="preserve"> </w:t>
      </w:r>
      <w:r w:rsidRPr="00817676">
        <w:t>Podpora zajištění vybraných investičních podpůrných opatření při vzdělávání dětí, žáků a studentů se speciálními vzdělávacími potřebami</w:t>
      </w:r>
      <w:r w:rsidRPr="00817676">
        <w:rPr>
          <w:rFonts w:eastAsia="Calibri"/>
          <w:lang w:eastAsia="en-US"/>
        </w:rPr>
        <w:t xml:space="preserve"> obsahuje v souladu s vyhláškou č. 560/20006 Sb., o účasti státního rozpočtu na financování programu reprodukce majetku, ve znění pozdějších předpisů dva subtituly:</w:t>
      </w:r>
    </w:p>
    <w:p w14:paraId="5789511C" w14:textId="3AC76E7F" w:rsidR="00817676" w:rsidRPr="00817676" w:rsidRDefault="00817676" w:rsidP="00817676">
      <w:pPr>
        <w:pStyle w:val="Text"/>
        <w:rPr>
          <w:rFonts w:eastAsia="Calibri"/>
          <w:lang w:eastAsia="en-US"/>
        </w:rPr>
      </w:pPr>
      <w:r w:rsidRPr="00817676">
        <w:rPr>
          <w:rFonts w:eastAsia="Calibri"/>
          <w:lang w:eastAsia="en-US"/>
        </w:rPr>
        <w:t xml:space="preserve">133D321 - Podpora zajištění vybraných investičních podpůrných opatření při vzdělávání dětí, žáků a studentů se speciálními vzdělávacími potřebami, v podprogramu nejsou v roce 2019 rozpočtovány žádné finanční prostředky. Do financování budou zapojeny nároky z nespotřebovaných </w:t>
      </w:r>
      <w:r w:rsidR="004F6E41">
        <w:rPr>
          <w:rFonts w:eastAsia="Calibri"/>
          <w:lang w:eastAsia="en-US"/>
        </w:rPr>
        <w:t xml:space="preserve">profilujících </w:t>
      </w:r>
      <w:r w:rsidRPr="00817676">
        <w:rPr>
          <w:rFonts w:eastAsia="Calibri"/>
          <w:lang w:eastAsia="en-US"/>
        </w:rPr>
        <w:t>výdajů v celkové výši 1 520 942,01 Kč;</w:t>
      </w:r>
    </w:p>
    <w:p w14:paraId="49F98CCB" w14:textId="27A79018" w:rsidR="00817676" w:rsidRPr="00817676" w:rsidRDefault="00817676" w:rsidP="00817676">
      <w:pPr>
        <w:pStyle w:val="Text"/>
        <w:rPr>
          <w:rFonts w:eastAsia="Calibri"/>
          <w:lang w:eastAsia="en-US"/>
        </w:rPr>
      </w:pPr>
      <w:r w:rsidRPr="00817676">
        <w:rPr>
          <w:rFonts w:eastAsia="Calibri"/>
          <w:lang w:eastAsia="en-US"/>
        </w:rPr>
        <w:t xml:space="preserve">133D322 – Zajištění Národního rozvojového programu mobility pro všechny, v podprogramu nejsou v roce 2019 rozpočtovány žádné finanční prostředky. Do financování budou zapojeny nároky z nespotřebovaných </w:t>
      </w:r>
      <w:r w:rsidR="004F6E41">
        <w:rPr>
          <w:rFonts w:eastAsia="Calibri"/>
          <w:lang w:eastAsia="en-US"/>
        </w:rPr>
        <w:t xml:space="preserve">profilujících </w:t>
      </w:r>
      <w:r w:rsidRPr="00817676">
        <w:rPr>
          <w:rFonts w:eastAsia="Calibri"/>
          <w:lang w:eastAsia="en-US"/>
        </w:rPr>
        <w:t xml:space="preserve">výdajů v celkové výši </w:t>
      </w:r>
      <w:r w:rsidR="004F6E41">
        <w:rPr>
          <w:rFonts w:eastAsia="Calibri"/>
          <w:lang w:eastAsia="en-US"/>
        </w:rPr>
        <w:br/>
      </w:r>
      <w:r w:rsidRPr="00817676">
        <w:rPr>
          <w:rFonts w:eastAsia="Calibri"/>
          <w:lang w:eastAsia="en-US"/>
        </w:rPr>
        <w:t>1 692 497,96 Kč.</w:t>
      </w:r>
    </w:p>
    <w:p w14:paraId="76C2A630" w14:textId="27E62827" w:rsidR="00817676" w:rsidRPr="003666C0" w:rsidRDefault="00817676" w:rsidP="003666C0">
      <w:pPr>
        <w:pStyle w:val="Text"/>
        <w:rPr>
          <w:i/>
        </w:rPr>
      </w:pPr>
      <w:r w:rsidRPr="00817676">
        <w:t>Prostřednictvím programu 133 320 MŠMT poskytuje investiční dotace na pořízení kompenzačních pomůcek a speciálních učebních pomů</w:t>
      </w:r>
      <w:r w:rsidR="00691319">
        <w:t>cek pro vzdělávání dětí, žáků a </w:t>
      </w:r>
      <w:r w:rsidRPr="00817676">
        <w:t xml:space="preserve">studentů s potřebou podpůrných opatření při vzdělávání a poskytování školských služeb podle § 16 školského zákona. Výčet kompenzačních pomůcek, speciálních učebnic a speciálních učebních pomůcek, jež lze ze strany školských poradenských zařízení doporučovat jako podpůrné opatření při vzdělávání a poskytování školských služeb konkrétního </w:t>
      </w:r>
      <w:r w:rsidR="004F6E41">
        <w:t xml:space="preserve">dítěte, </w:t>
      </w:r>
      <w:r w:rsidRPr="00817676">
        <w:t>žáka</w:t>
      </w:r>
      <w:r w:rsidR="004F6E41">
        <w:t xml:space="preserve"> nebo studenta</w:t>
      </w:r>
      <w:r w:rsidRPr="00817676">
        <w:t xml:space="preserve"> se speciálními vzdělávacími potřebami, obsahuje příloha č. 1 vyhlášky č.</w:t>
      </w:r>
      <w:r w:rsidR="003449AB">
        <w:t> </w:t>
      </w:r>
      <w:r w:rsidRPr="00817676">
        <w:t>27/2016 Sb., označená jako Přehled podpůrných opatření</w:t>
      </w:r>
      <w:r w:rsidRPr="00817676">
        <w:rPr>
          <w:i/>
        </w:rPr>
        <w:t>.</w:t>
      </w:r>
      <w:r w:rsidR="003666C0">
        <w:rPr>
          <w:i/>
        </w:rPr>
        <w:t xml:space="preserve"> </w:t>
      </w:r>
      <w:r w:rsidRPr="00817676">
        <w:rPr>
          <w:rFonts w:eastAsia="Calibri"/>
          <w:lang w:eastAsia="en-US"/>
        </w:rPr>
        <w:t>Celkem rozpočet programu v roce 2019 činí 0 Kč.</w:t>
      </w:r>
    </w:p>
    <w:p w14:paraId="3AAE3028" w14:textId="77777777" w:rsidR="00817676" w:rsidRPr="00817676" w:rsidRDefault="00817676" w:rsidP="003666C0">
      <w:pPr>
        <w:pStyle w:val="Text"/>
      </w:pPr>
      <w:r w:rsidRPr="00817676">
        <w:t xml:space="preserve">Financování v roce 2019 pokračuje také v programu </w:t>
      </w:r>
      <w:r w:rsidRPr="00817676">
        <w:rPr>
          <w:b/>
        </w:rPr>
        <w:t>133 330</w:t>
      </w:r>
      <w:r w:rsidRPr="00817676">
        <w:t xml:space="preserve"> </w:t>
      </w:r>
      <w:r w:rsidRPr="00817676">
        <w:rPr>
          <w:i/>
        </w:rPr>
        <w:t>Podpora vybraných projektů rozvoje výukových kapacit základního vzdělávání zřizovaného obcemi a dobrovolnými svazky obcí</w:t>
      </w:r>
      <w:r w:rsidRPr="00817676">
        <w:t xml:space="preserve"> schváleného usnesením vlády č. 1030 ze dne 23. 11. 2016. Rozpočet programu v roce 2019 činí </w:t>
      </w:r>
      <w:r w:rsidRPr="00817676">
        <w:rPr>
          <w:b/>
        </w:rPr>
        <w:t>460 000 000 Kč</w:t>
      </w:r>
      <w:r w:rsidRPr="00817676">
        <w:t xml:space="preserve"> kapitálových výdajů</w:t>
      </w:r>
      <w:r w:rsidRPr="00817676">
        <w:rPr>
          <w:b/>
        </w:rPr>
        <w:t xml:space="preserve">. </w:t>
      </w:r>
    </w:p>
    <w:p w14:paraId="477A5230" w14:textId="77777777" w:rsidR="00817676" w:rsidRPr="00817676" w:rsidRDefault="00817676" w:rsidP="003666C0">
      <w:pPr>
        <w:pStyle w:val="Text"/>
      </w:pPr>
      <w:r w:rsidRPr="00817676">
        <w:t>Program je z hlediska účelového určení dotace zacílen na realizaci konkrétních projektů v území tzv. prstence kolem hlavního města Prahy, který vykazuje kritický nedostatek míst pro zajištění povinné školní docházky. Jedná se o výstavbu plně organizovaných základních škol v Rudné u Prahy, Jesenici, Psárech, Čelákovicích, Říčanech, Ondřejově, Přezleticích a Úvalech a dvou okrajových městských částí hlavního města Prahy - Řeporyjí a Čakovic.</w:t>
      </w:r>
    </w:p>
    <w:p w14:paraId="3AAFC53E" w14:textId="77777777" w:rsidR="00817676" w:rsidRPr="00817676" w:rsidRDefault="00817676" w:rsidP="00817676">
      <w:pPr>
        <w:pStyle w:val="Text"/>
      </w:pPr>
      <w:r w:rsidRPr="00817676">
        <w:t>Prostřednictvím programu mohou být realizovány výlučně investiční akce, které byly jmenovitě zařazeny do dokumentace programu 133 330 (viz výše), pro každý projekt do výše limitů výdajů státního rozpočtu stanovených v podkladech při přípravě programu 133 330.</w:t>
      </w:r>
    </w:p>
    <w:p w14:paraId="042EB225" w14:textId="4E84B36A" w:rsidR="00817676" w:rsidRDefault="00817676" w:rsidP="00817676">
      <w:pPr>
        <w:pStyle w:val="Text"/>
      </w:pPr>
      <w:r w:rsidRPr="00817676">
        <w:t xml:space="preserve">Do financování programu 133 330 budou v průběhu roku 2019 zapojeny i prostředky nároků z nespotřebovaných profilujících výdajů z předchozích let ve výši </w:t>
      </w:r>
      <w:r w:rsidR="004F6E41">
        <w:br/>
      </w:r>
      <w:r w:rsidRPr="00817676">
        <w:t>441 </w:t>
      </w:r>
      <w:r w:rsidRPr="007870CB">
        <w:t>150 428 Kč.</w:t>
      </w:r>
    </w:p>
    <w:p w14:paraId="4708516B" w14:textId="77777777" w:rsidR="0027726B" w:rsidRDefault="0027726B" w:rsidP="00817676">
      <w:pPr>
        <w:pStyle w:val="Text"/>
      </w:pPr>
    </w:p>
    <w:p w14:paraId="25286332" w14:textId="77777777" w:rsidR="0027726B" w:rsidRPr="007870CB" w:rsidRDefault="0027726B" w:rsidP="00817676">
      <w:pPr>
        <w:pStyle w:val="Text"/>
      </w:pPr>
    </w:p>
    <w:p w14:paraId="0E74E805" w14:textId="77777777" w:rsidR="00E95E76" w:rsidRPr="007870CB" w:rsidRDefault="00E95E76" w:rsidP="00E95E76">
      <w:pPr>
        <w:ind w:left="426" w:firstLine="567"/>
      </w:pPr>
    </w:p>
    <w:p w14:paraId="35F5D299" w14:textId="77777777" w:rsidR="00ED206C" w:rsidRPr="007870CB" w:rsidRDefault="00ED206C" w:rsidP="003C047A">
      <w:pPr>
        <w:tabs>
          <w:tab w:val="left" w:pos="4488"/>
        </w:tabs>
        <w:rPr>
          <w:b/>
          <w:i/>
          <w:sz w:val="20"/>
        </w:rPr>
      </w:pPr>
      <w:r w:rsidRPr="007870CB">
        <w:rPr>
          <w:b/>
          <w:i/>
          <w:sz w:val="20"/>
        </w:rPr>
        <w:lastRenderedPageBreak/>
        <w:t>Tabulkové přílohy ke kap</w:t>
      </w:r>
      <w:r w:rsidR="002774DA" w:rsidRPr="007870CB">
        <w:rPr>
          <w:b/>
          <w:i/>
          <w:sz w:val="20"/>
        </w:rPr>
        <w:t>itolám</w:t>
      </w:r>
      <w:r w:rsidRPr="007870CB">
        <w:rPr>
          <w:b/>
          <w:i/>
          <w:sz w:val="20"/>
        </w:rPr>
        <w:t xml:space="preserve"> C</w:t>
      </w:r>
      <w:r w:rsidR="002774DA" w:rsidRPr="007870CB">
        <w:rPr>
          <w:b/>
          <w:i/>
          <w:sz w:val="20"/>
        </w:rPr>
        <w:t>.</w:t>
      </w:r>
      <w:r w:rsidR="003D00AC" w:rsidRPr="007870CB">
        <w:rPr>
          <w:b/>
          <w:i/>
          <w:sz w:val="20"/>
        </w:rPr>
        <w:t>II.1</w:t>
      </w:r>
      <w:r w:rsidR="002774DA" w:rsidRPr="007870CB">
        <w:rPr>
          <w:b/>
          <w:i/>
          <w:sz w:val="20"/>
        </w:rPr>
        <w:t xml:space="preserve"> a C.II.2</w:t>
      </w:r>
      <w:r w:rsidR="00340A46" w:rsidRPr="007870CB">
        <w:rPr>
          <w:b/>
          <w:i/>
          <w:sz w:val="20"/>
        </w:rPr>
        <w:t>:</w:t>
      </w:r>
      <w:r w:rsidR="003C047A" w:rsidRPr="007870CB">
        <w:rPr>
          <w:b/>
          <w:i/>
          <w:sz w:val="20"/>
        </w:rPr>
        <w:tab/>
      </w:r>
    </w:p>
    <w:p w14:paraId="329CF5B3" w14:textId="77777777" w:rsidR="003C047A" w:rsidRPr="007870CB" w:rsidRDefault="003C047A" w:rsidP="00ED206C">
      <w:pPr>
        <w:rPr>
          <w:sz w:val="20"/>
        </w:rPr>
      </w:pPr>
    </w:p>
    <w:p w14:paraId="4A8A9DC2" w14:textId="77777777" w:rsidR="00A33D15" w:rsidRPr="007870CB" w:rsidRDefault="00A33D15" w:rsidP="00A33D15">
      <w:pPr>
        <w:ind w:left="1418" w:hanging="1418"/>
        <w:rPr>
          <w:sz w:val="20"/>
        </w:rPr>
      </w:pPr>
      <w:r w:rsidRPr="007870CB">
        <w:rPr>
          <w:sz w:val="20"/>
        </w:rPr>
        <w:t>Tabulka č. 1</w:t>
      </w:r>
      <w:r w:rsidRPr="007870CB">
        <w:rPr>
          <w:sz w:val="20"/>
        </w:rPr>
        <w:tab/>
      </w:r>
      <w:r w:rsidR="007870CB" w:rsidRPr="007870CB">
        <w:rPr>
          <w:sz w:val="20"/>
        </w:rPr>
        <w:t>Rozpočet RgŠ na rok 2019 (ÚSC, soukromé a církevní školy) - bez PŘO</w:t>
      </w:r>
    </w:p>
    <w:p w14:paraId="42D2EB20" w14:textId="77777777" w:rsidR="00A33D15" w:rsidRPr="007870CB" w:rsidRDefault="00A33D15" w:rsidP="00A33D15">
      <w:pPr>
        <w:ind w:left="1418" w:hanging="1418"/>
        <w:rPr>
          <w:sz w:val="20"/>
        </w:rPr>
      </w:pPr>
      <w:r w:rsidRPr="007870CB">
        <w:rPr>
          <w:sz w:val="20"/>
        </w:rPr>
        <w:t>Tabulka č. 2</w:t>
      </w:r>
      <w:r w:rsidRPr="007870CB">
        <w:rPr>
          <w:sz w:val="20"/>
        </w:rPr>
        <w:tab/>
        <w:t>Porovnání výkonů krajských a obecních škol v jednotlivých věkových kat</w:t>
      </w:r>
      <w:r w:rsidR="005B12B2" w:rsidRPr="007870CB">
        <w:rPr>
          <w:sz w:val="20"/>
        </w:rPr>
        <w:t>egoriích v letech 200</w:t>
      </w:r>
      <w:r w:rsidR="007870CB" w:rsidRPr="007870CB">
        <w:rPr>
          <w:sz w:val="20"/>
        </w:rPr>
        <w:t>8</w:t>
      </w:r>
      <w:r w:rsidR="005B12B2" w:rsidRPr="007870CB">
        <w:rPr>
          <w:sz w:val="20"/>
        </w:rPr>
        <w:t>/0</w:t>
      </w:r>
      <w:r w:rsidR="007870CB" w:rsidRPr="007870CB">
        <w:rPr>
          <w:sz w:val="20"/>
        </w:rPr>
        <w:t>9</w:t>
      </w:r>
      <w:r w:rsidR="005B12B2" w:rsidRPr="007870CB">
        <w:rPr>
          <w:sz w:val="20"/>
        </w:rPr>
        <w:t xml:space="preserve"> – 201</w:t>
      </w:r>
      <w:r w:rsidR="007870CB" w:rsidRPr="007870CB">
        <w:rPr>
          <w:sz w:val="20"/>
        </w:rPr>
        <w:t>8</w:t>
      </w:r>
      <w:r w:rsidRPr="007870CB">
        <w:rPr>
          <w:sz w:val="20"/>
        </w:rPr>
        <w:t>/1</w:t>
      </w:r>
      <w:r w:rsidR="007870CB" w:rsidRPr="007870CB">
        <w:rPr>
          <w:sz w:val="20"/>
        </w:rPr>
        <w:t>9</w:t>
      </w:r>
    </w:p>
    <w:p w14:paraId="309307B0" w14:textId="77777777" w:rsidR="00A33D15" w:rsidRPr="007870CB" w:rsidRDefault="00A33D15" w:rsidP="00A33D15">
      <w:pPr>
        <w:ind w:left="1418" w:hanging="1418"/>
        <w:rPr>
          <w:sz w:val="20"/>
        </w:rPr>
      </w:pPr>
      <w:r w:rsidRPr="007870CB">
        <w:rPr>
          <w:sz w:val="20"/>
        </w:rPr>
        <w:t>Tabulka č. 3</w:t>
      </w:r>
      <w:r w:rsidRPr="007870CB">
        <w:rPr>
          <w:sz w:val="20"/>
        </w:rPr>
        <w:tab/>
        <w:t>Normativní rozpis výdajů RgŠ ÚSC pomocí republikových normativů pro rok 201</w:t>
      </w:r>
      <w:r w:rsidR="007870CB" w:rsidRPr="007870CB">
        <w:rPr>
          <w:sz w:val="20"/>
        </w:rPr>
        <w:t>9</w:t>
      </w:r>
    </w:p>
    <w:p w14:paraId="139AB558" w14:textId="77777777" w:rsidR="00A33D15" w:rsidRPr="007870CB" w:rsidRDefault="00A33D15" w:rsidP="00A33D15">
      <w:pPr>
        <w:ind w:left="1418" w:hanging="1418"/>
        <w:rPr>
          <w:sz w:val="20"/>
        </w:rPr>
      </w:pPr>
      <w:r w:rsidRPr="007870CB">
        <w:rPr>
          <w:sz w:val="20"/>
        </w:rPr>
        <w:t>Tabulka č. 4</w:t>
      </w:r>
      <w:r w:rsidRPr="007870CB">
        <w:rPr>
          <w:sz w:val="20"/>
        </w:rPr>
        <w:tab/>
        <w:t>Normativní rozpis rozpočtu RgŠ ÚSC na rok 201</w:t>
      </w:r>
      <w:r w:rsidR="007870CB" w:rsidRPr="007870CB">
        <w:rPr>
          <w:sz w:val="20"/>
        </w:rPr>
        <w:t>9</w:t>
      </w:r>
      <w:r w:rsidRPr="007870CB">
        <w:rPr>
          <w:sz w:val="20"/>
        </w:rPr>
        <w:t xml:space="preserve"> ve struktuře závazných ukazatelů</w:t>
      </w:r>
    </w:p>
    <w:p w14:paraId="312BB29B" w14:textId="77777777" w:rsidR="00A33D15" w:rsidRPr="007870CB" w:rsidRDefault="00A33D15" w:rsidP="00FB591D">
      <w:pPr>
        <w:ind w:left="1418" w:hanging="1418"/>
        <w:rPr>
          <w:sz w:val="20"/>
        </w:rPr>
      </w:pPr>
      <w:r w:rsidRPr="007870CB">
        <w:rPr>
          <w:sz w:val="20"/>
        </w:rPr>
        <w:t>Tabulka č. 5</w:t>
      </w:r>
      <w:r w:rsidRPr="007870CB">
        <w:rPr>
          <w:sz w:val="20"/>
        </w:rPr>
        <w:tab/>
      </w:r>
      <w:r w:rsidR="00FB591D" w:rsidRPr="007870CB">
        <w:rPr>
          <w:sz w:val="20"/>
        </w:rPr>
        <w:t>Rozpočet církevních škol a školských zařízení</w:t>
      </w:r>
    </w:p>
    <w:p w14:paraId="746FC2A4" w14:textId="77777777" w:rsidR="003C047A" w:rsidRPr="007870CB" w:rsidRDefault="003C047A" w:rsidP="00ED206C">
      <w:pPr>
        <w:rPr>
          <w:sz w:val="20"/>
        </w:rPr>
      </w:pPr>
    </w:p>
    <w:p w14:paraId="7E8B01B7" w14:textId="77777777" w:rsidR="00FE24BA" w:rsidRPr="00853611" w:rsidRDefault="00FE24BA" w:rsidP="00DA5A48">
      <w:pPr>
        <w:pStyle w:val="Text"/>
        <w:rPr>
          <w:highlight w:val="yellow"/>
        </w:rPr>
      </w:pPr>
    </w:p>
    <w:p w14:paraId="35CDB84D" w14:textId="015033E8" w:rsidR="003F61AA" w:rsidRDefault="006E6AF0">
      <w:pPr>
        <w:jc w:val="left"/>
        <w:rPr>
          <w:highlight w:val="yellow"/>
        </w:rPr>
      </w:pPr>
      <w:r w:rsidRPr="00853611">
        <w:rPr>
          <w:highlight w:val="yellow"/>
        </w:rPr>
        <w:br w:type="page"/>
      </w:r>
    </w:p>
    <w:p w14:paraId="7CE4068C" w14:textId="77777777" w:rsidR="003F61AA" w:rsidRDefault="003F61AA">
      <w:pPr>
        <w:jc w:val="left"/>
        <w:rPr>
          <w:highlight w:val="yellow"/>
        </w:rPr>
      </w:pPr>
      <w:r>
        <w:rPr>
          <w:highlight w:val="yellow"/>
        </w:rPr>
        <w:lastRenderedPageBreak/>
        <w:br w:type="page"/>
      </w:r>
    </w:p>
    <w:p w14:paraId="30242E53" w14:textId="77777777" w:rsidR="00B15DCC" w:rsidRPr="00B15DCC" w:rsidRDefault="00B15DCC" w:rsidP="00B15DCC">
      <w:pPr>
        <w:pStyle w:val="Nadpis3"/>
      </w:pPr>
      <w:bookmarkStart w:id="120" w:name="_Toc5968852"/>
      <w:r w:rsidRPr="00B15DCC">
        <w:lastRenderedPageBreak/>
        <w:t>Financování PŘO na rok 2019</w:t>
      </w:r>
      <w:bookmarkEnd w:id="120"/>
    </w:p>
    <w:p w14:paraId="77120383" w14:textId="77777777" w:rsidR="00B15DCC" w:rsidRDefault="00B15DCC">
      <w:pPr>
        <w:jc w:val="left"/>
        <w:rPr>
          <w:b/>
          <w:szCs w:val="24"/>
          <w:highlight w:val="yellow"/>
          <w:lang w:eastAsia="en-US"/>
        </w:rPr>
      </w:pPr>
    </w:p>
    <w:tbl>
      <w:tblPr>
        <w:tblW w:w="9628" w:type="dxa"/>
        <w:tblInd w:w="-176" w:type="dxa"/>
        <w:tblLook w:val="04A0" w:firstRow="1" w:lastRow="0" w:firstColumn="1" w:lastColumn="0" w:noHBand="0" w:noVBand="1"/>
      </w:tblPr>
      <w:tblGrid>
        <w:gridCol w:w="6822"/>
        <w:gridCol w:w="2806"/>
      </w:tblGrid>
      <w:tr w:rsidR="00B15DCC" w:rsidRPr="00E52523" w14:paraId="3AE544F6" w14:textId="77777777" w:rsidTr="00B15DCC">
        <w:trPr>
          <w:trHeight w:val="316"/>
        </w:trPr>
        <w:tc>
          <w:tcPr>
            <w:tcW w:w="6822" w:type="dxa"/>
          </w:tcPr>
          <w:p w14:paraId="091D9EDF" w14:textId="77777777" w:rsidR="00B15DCC" w:rsidRPr="00E52523" w:rsidRDefault="00B15DCC" w:rsidP="00B15DCC">
            <w:pPr>
              <w:outlineLvl w:val="0"/>
              <w:rPr>
                <w:szCs w:val="24"/>
              </w:rPr>
            </w:pPr>
            <w:r w:rsidRPr="00E52523">
              <w:rPr>
                <w:szCs w:val="24"/>
              </w:rPr>
              <w:t xml:space="preserve">Na financování </w:t>
            </w:r>
            <w:r w:rsidRPr="00E52523">
              <w:rPr>
                <w:b/>
                <w:szCs w:val="24"/>
              </w:rPr>
              <w:t>PŘO</w:t>
            </w:r>
            <w:r w:rsidRPr="00E52523">
              <w:rPr>
                <w:szCs w:val="24"/>
              </w:rPr>
              <w:t xml:space="preserve"> je určen rozpočet </w:t>
            </w:r>
            <w:r w:rsidRPr="00E52523">
              <w:rPr>
                <w:b/>
                <w:szCs w:val="24"/>
              </w:rPr>
              <w:t>v celkové výši</w:t>
            </w:r>
          </w:p>
        </w:tc>
        <w:tc>
          <w:tcPr>
            <w:tcW w:w="2806" w:type="dxa"/>
          </w:tcPr>
          <w:p w14:paraId="5064823D" w14:textId="77777777" w:rsidR="00B15DCC" w:rsidRPr="00E52523" w:rsidRDefault="00B15DCC" w:rsidP="00B15DCC">
            <w:pPr>
              <w:jc w:val="right"/>
              <w:outlineLvl w:val="0"/>
              <w:rPr>
                <w:b/>
                <w:szCs w:val="24"/>
              </w:rPr>
            </w:pPr>
            <w:r w:rsidRPr="00B15DCC">
              <w:rPr>
                <w:b/>
                <w:szCs w:val="24"/>
              </w:rPr>
              <w:t>3</w:t>
            </w:r>
            <w:r>
              <w:rPr>
                <w:b/>
                <w:szCs w:val="24"/>
              </w:rPr>
              <w:t> </w:t>
            </w:r>
            <w:r w:rsidRPr="00B15DCC">
              <w:rPr>
                <w:b/>
                <w:szCs w:val="24"/>
              </w:rPr>
              <w:t>115</w:t>
            </w:r>
            <w:r>
              <w:rPr>
                <w:b/>
                <w:szCs w:val="24"/>
              </w:rPr>
              <w:t> </w:t>
            </w:r>
            <w:r w:rsidRPr="00B15DCC">
              <w:rPr>
                <w:b/>
                <w:szCs w:val="24"/>
              </w:rPr>
              <w:t>337</w:t>
            </w:r>
            <w:r>
              <w:rPr>
                <w:b/>
                <w:szCs w:val="24"/>
              </w:rPr>
              <w:t xml:space="preserve"> </w:t>
            </w:r>
            <w:r w:rsidRPr="00B15DCC">
              <w:rPr>
                <w:b/>
                <w:szCs w:val="24"/>
              </w:rPr>
              <w:t>844</w:t>
            </w:r>
            <w:r w:rsidRPr="00E52523">
              <w:rPr>
                <w:b/>
                <w:szCs w:val="24"/>
              </w:rPr>
              <w:t xml:space="preserve"> Kč</w:t>
            </w:r>
          </w:p>
        </w:tc>
      </w:tr>
      <w:tr w:rsidR="00B15DCC" w:rsidRPr="00E52523" w14:paraId="72F986AD" w14:textId="77777777" w:rsidTr="00B15DCC">
        <w:trPr>
          <w:trHeight w:val="294"/>
        </w:trPr>
        <w:tc>
          <w:tcPr>
            <w:tcW w:w="6822" w:type="dxa"/>
          </w:tcPr>
          <w:p w14:paraId="0893734D" w14:textId="77777777" w:rsidR="00B15DCC" w:rsidRPr="00E52523" w:rsidRDefault="00B15DCC" w:rsidP="00B15DCC">
            <w:pPr>
              <w:outlineLvl w:val="0"/>
              <w:rPr>
                <w:szCs w:val="24"/>
              </w:rPr>
            </w:pPr>
            <w:r w:rsidRPr="00E52523">
              <w:rPr>
                <w:szCs w:val="24"/>
              </w:rPr>
              <w:t>z toho:</w:t>
            </w:r>
          </w:p>
        </w:tc>
        <w:tc>
          <w:tcPr>
            <w:tcW w:w="2806" w:type="dxa"/>
          </w:tcPr>
          <w:p w14:paraId="1BBB13F6" w14:textId="77777777" w:rsidR="00B15DCC" w:rsidRPr="00E52523" w:rsidRDefault="00B15DCC" w:rsidP="00B15DCC">
            <w:pPr>
              <w:jc w:val="right"/>
              <w:outlineLvl w:val="0"/>
              <w:rPr>
                <w:szCs w:val="24"/>
              </w:rPr>
            </w:pPr>
          </w:p>
        </w:tc>
      </w:tr>
      <w:tr w:rsidR="00B15DCC" w:rsidRPr="00E52523" w14:paraId="6EBB5AF7" w14:textId="77777777" w:rsidTr="00B15DCC">
        <w:trPr>
          <w:trHeight w:val="346"/>
        </w:trPr>
        <w:tc>
          <w:tcPr>
            <w:tcW w:w="6822" w:type="dxa"/>
            <w:vAlign w:val="bottom"/>
          </w:tcPr>
          <w:p w14:paraId="69B09188" w14:textId="77777777" w:rsidR="00B15DCC" w:rsidRPr="00E52523" w:rsidRDefault="00B15DCC" w:rsidP="00B15DCC">
            <w:pPr>
              <w:ind w:firstLine="743"/>
              <w:rPr>
                <w:szCs w:val="24"/>
              </w:rPr>
            </w:pPr>
            <w:r w:rsidRPr="00E52523">
              <w:rPr>
                <w:szCs w:val="24"/>
              </w:rPr>
              <w:t>výdaje PŘO - příspěvek</w:t>
            </w:r>
          </w:p>
        </w:tc>
        <w:tc>
          <w:tcPr>
            <w:tcW w:w="2806" w:type="dxa"/>
          </w:tcPr>
          <w:p w14:paraId="35CC03D2" w14:textId="77777777" w:rsidR="00B15DCC" w:rsidRPr="005D3BEE" w:rsidRDefault="00B15DCC" w:rsidP="00034F19">
            <w:pPr>
              <w:jc w:val="right"/>
            </w:pPr>
            <w:r w:rsidRPr="005D3BEE">
              <w:t>3 050 337</w:t>
            </w:r>
            <w:r w:rsidR="00034F19">
              <w:t> </w:t>
            </w:r>
            <w:r w:rsidRPr="005D3BEE">
              <w:t>844</w:t>
            </w:r>
            <w:r w:rsidR="00034F19">
              <w:t xml:space="preserve"> Kč</w:t>
            </w:r>
          </w:p>
        </w:tc>
      </w:tr>
      <w:tr w:rsidR="00B15DCC" w:rsidRPr="00E52523" w14:paraId="2CD6BACB" w14:textId="77777777" w:rsidTr="00B15DCC">
        <w:trPr>
          <w:trHeight w:val="346"/>
        </w:trPr>
        <w:tc>
          <w:tcPr>
            <w:tcW w:w="6822" w:type="dxa"/>
            <w:vAlign w:val="bottom"/>
          </w:tcPr>
          <w:p w14:paraId="249DA11B" w14:textId="77777777" w:rsidR="00B15DCC" w:rsidRPr="00E52523" w:rsidRDefault="00B15DCC" w:rsidP="00B15DCC">
            <w:pPr>
              <w:ind w:left="743"/>
              <w:jc w:val="left"/>
              <w:rPr>
                <w:szCs w:val="24"/>
              </w:rPr>
            </w:pPr>
            <w:r w:rsidRPr="00E52523">
              <w:rPr>
                <w:szCs w:val="24"/>
              </w:rPr>
              <w:t>výdaje PŘO - ostatní dotační tituly (vč. programového financování)</w:t>
            </w:r>
          </w:p>
        </w:tc>
        <w:tc>
          <w:tcPr>
            <w:tcW w:w="2806" w:type="dxa"/>
          </w:tcPr>
          <w:p w14:paraId="4E3A4786" w14:textId="77777777" w:rsidR="00B15DCC" w:rsidRDefault="00B15DCC" w:rsidP="00034F19">
            <w:pPr>
              <w:jc w:val="right"/>
            </w:pPr>
            <w:r w:rsidRPr="005D3BEE">
              <w:t>65 000</w:t>
            </w:r>
            <w:r w:rsidR="00034F19">
              <w:t> </w:t>
            </w:r>
            <w:r w:rsidRPr="005D3BEE">
              <w:t>000</w:t>
            </w:r>
            <w:r w:rsidR="00034F19">
              <w:t xml:space="preserve"> Kč</w:t>
            </w:r>
          </w:p>
        </w:tc>
      </w:tr>
    </w:tbl>
    <w:p w14:paraId="44C8D2CA" w14:textId="77777777" w:rsidR="00B15DCC" w:rsidRPr="00853611" w:rsidRDefault="00B15DCC">
      <w:pPr>
        <w:jc w:val="left"/>
        <w:rPr>
          <w:b/>
          <w:szCs w:val="24"/>
          <w:highlight w:val="yellow"/>
          <w:lang w:eastAsia="en-US"/>
        </w:rPr>
      </w:pPr>
    </w:p>
    <w:p w14:paraId="674B6F70" w14:textId="77777777" w:rsidR="0070585C" w:rsidRPr="00EB1AE7" w:rsidRDefault="0070585C" w:rsidP="0031482F">
      <w:pPr>
        <w:pStyle w:val="Nadpis4"/>
      </w:pPr>
      <w:bookmarkStart w:id="121" w:name="_Toc478632272"/>
      <w:bookmarkStart w:id="122" w:name="_Toc5968853"/>
      <w:r w:rsidRPr="00EB1AE7">
        <w:t>Běžné výdaje PŘO</w:t>
      </w:r>
      <w:bookmarkEnd w:id="121"/>
      <w:bookmarkEnd w:id="122"/>
    </w:p>
    <w:p w14:paraId="53FF16A5" w14:textId="77777777" w:rsidR="0070585C" w:rsidRPr="00EB1AE7" w:rsidRDefault="0070585C" w:rsidP="0070585C">
      <w:pPr>
        <w:keepNext/>
        <w:rPr>
          <w:b/>
          <w:bCs/>
        </w:rPr>
      </w:pPr>
    </w:p>
    <w:tbl>
      <w:tblPr>
        <w:tblW w:w="9566" w:type="dxa"/>
        <w:tblInd w:w="-176" w:type="dxa"/>
        <w:tblLayout w:type="fixed"/>
        <w:tblLook w:val="04A0" w:firstRow="1" w:lastRow="0" w:firstColumn="1" w:lastColumn="0" w:noHBand="0" w:noVBand="1"/>
      </w:tblPr>
      <w:tblGrid>
        <w:gridCol w:w="710"/>
        <w:gridCol w:w="1134"/>
        <w:gridCol w:w="5724"/>
        <w:gridCol w:w="1998"/>
      </w:tblGrid>
      <w:tr w:rsidR="0070585C" w:rsidRPr="00EB1AE7" w14:paraId="3C93D28B" w14:textId="77777777" w:rsidTr="00936F9F">
        <w:trPr>
          <w:trHeight w:val="375"/>
        </w:trPr>
        <w:tc>
          <w:tcPr>
            <w:tcW w:w="9566" w:type="dxa"/>
            <w:gridSpan w:val="4"/>
            <w:shd w:val="clear" w:color="auto" w:fill="auto"/>
          </w:tcPr>
          <w:p w14:paraId="7C14948D" w14:textId="77777777" w:rsidR="0070585C" w:rsidRPr="00EB1AE7" w:rsidRDefault="0070585C" w:rsidP="00936F9F">
            <w:pPr>
              <w:outlineLvl w:val="0"/>
            </w:pPr>
            <w:r w:rsidRPr="00EB1AE7">
              <w:t xml:space="preserve">Na financování běžných výdajů </w:t>
            </w:r>
            <w:r w:rsidRPr="00EB1AE7">
              <w:rPr>
                <w:b/>
              </w:rPr>
              <w:t>PŘO</w:t>
            </w:r>
            <w:r w:rsidRPr="00EB1AE7">
              <w:t xml:space="preserve"> je stanoven rozpočet</w:t>
            </w:r>
          </w:p>
        </w:tc>
      </w:tr>
      <w:tr w:rsidR="0070585C" w:rsidRPr="00EB1AE7" w14:paraId="2F79C6E7" w14:textId="77777777" w:rsidTr="00936F9F">
        <w:trPr>
          <w:trHeight w:val="360"/>
        </w:trPr>
        <w:tc>
          <w:tcPr>
            <w:tcW w:w="1844" w:type="dxa"/>
            <w:gridSpan w:val="2"/>
            <w:shd w:val="clear" w:color="auto" w:fill="auto"/>
          </w:tcPr>
          <w:p w14:paraId="0E00F8F0" w14:textId="77777777" w:rsidR="0070585C" w:rsidRPr="00EB1AE7" w:rsidRDefault="0070585C" w:rsidP="00936F9F">
            <w:pPr>
              <w:outlineLvl w:val="0"/>
              <w:rPr>
                <w:color w:val="000000"/>
              </w:rPr>
            </w:pPr>
            <w:r w:rsidRPr="00EB1AE7">
              <w:rPr>
                <w:b/>
              </w:rPr>
              <w:t>v celkové výši</w:t>
            </w:r>
          </w:p>
        </w:tc>
        <w:tc>
          <w:tcPr>
            <w:tcW w:w="5724" w:type="dxa"/>
            <w:shd w:val="clear" w:color="auto" w:fill="auto"/>
          </w:tcPr>
          <w:p w14:paraId="565ACBE1" w14:textId="77777777" w:rsidR="0070585C" w:rsidRPr="00EB1AE7" w:rsidRDefault="0070585C" w:rsidP="00936F9F">
            <w:pPr>
              <w:outlineLvl w:val="0"/>
              <w:rPr>
                <w:color w:val="000000"/>
              </w:rPr>
            </w:pPr>
          </w:p>
        </w:tc>
        <w:tc>
          <w:tcPr>
            <w:tcW w:w="1998" w:type="dxa"/>
            <w:shd w:val="clear" w:color="auto" w:fill="auto"/>
          </w:tcPr>
          <w:p w14:paraId="744C5585" w14:textId="77777777" w:rsidR="0070585C" w:rsidRPr="00EB1AE7" w:rsidRDefault="0070585C" w:rsidP="00936F9F">
            <w:pPr>
              <w:jc w:val="right"/>
              <w:outlineLvl w:val="0"/>
              <w:rPr>
                <w:b/>
              </w:rPr>
            </w:pPr>
            <w:r>
              <w:rPr>
                <w:b/>
                <w:color w:val="000000"/>
              </w:rPr>
              <w:t>3 050 337 844</w:t>
            </w:r>
            <w:r w:rsidRPr="00EB1AE7">
              <w:rPr>
                <w:b/>
                <w:color w:val="000000"/>
              </w:rPr>
              <w:t xml:space="preserve"> Kč  </w:t>
            </w:r>
          </w:p>
        </w:tc>
      </w:tr>
      <w:tr w:rsidR="0070585C" w:rsidRPr="00EB1AE7" w14:paraId="6D8C648B" w14:textId="77777777" w:rsidTr="00936F9F">
        <w:trPr>
          <w:trHeight w:val="360"/>
        </w:trPr>
        <w:tc>
          <w:tcPr>
            <w:tcW w:w="710" w:type="dxa"/>
            <w:shd w:val="clear" w:color="auto" w:fill="auto"/>
          </w:tcPr>
          <w:p w14:paraId="6DD061DC" w14:textId="77777777" w:rsidR="0070585C" w:rsidRPr="00EB1AE7" w:rsidRDefault="0070585C" w:rsidP="00936F9F">
            <w:pPr>
              <w:outlineLvl w:val="0"/>
            </w:pPr>
          </w:p>
        </w:tc>
        <w:tc>
          <w:tcPr>
            <w:tcW w:w="1134" w:type="dxa"/>
            <w:shd w:val="clear" w:color="auto" w:fill="auto"/>
          </w:tcPr>
          <w:p w14:paraId="6E471BDF" w14:textId="77777777" w:rsidR="0070585C" w:rsidRPr="00EB1AE7" w:rsidRDefault="0070585C" w:rsidP="00936F9F">
            <w:pPr>
              <w:outlineLvl w:val="0"/>
            </w:pPr>
            <w:r w:rsidRPr="00EB1AE7">
              <w:t>v tom:</w:t>
            </w:r>
          </w:p>
        </w:tc>
        <w:tc>
          <w:tcPr>
            <w:tcW w:w="5724" w:type="dxa"/>
            <w:shd w:val="clear" w:color="auto" w:fill="auto"/>
          </w:tcPr>
          <w:p w14:paraId="39052A08" w14:textId="77777777" w:rsidR="0070585C" w:rsidRPr="00EB1AE7" w:rsidRDefault="0070585C" w:rsidP="00936F9F">
            <w:pPr>
              <w:outlineLvl w:val="0"/>
            </w:pPr>
            <w:r w:rsidRPr="00EB1AE7">
              <w:rPr>
                <w:color w:val="000000"/>
              </w:rPr>
              <w:t>mzdové prostředky ve výši</w:t>
            </w:r>
          </w:p>
        </w:tc>
        <w:tc>
          <w:tcPr>
            <w:tcW w:w="1998" w:type="dxa"/>
            <w:shd w:val="clear" w:color="auto" w:fill="auto"/>
          </w:tcPr>
          <w:p w14:paraId="162A3DAA" w14:textId="77777777" w:rsidR="0070585C" w:rsidRPr="00EB1AE7" w:rsidRDefault="0070585C" w:rsidP="00936F9F">
            <w:pPr>
              <w:jc w:val="right"/>
              <w:outlineLvl w:val="0"/>
            </w:pPr>
            <w:r>
              <w:rPr>
                <w:color w:val="000000"/>
              </w:rPr>
              <w:t>2 004 096 594</w:t>
            </w:r>
            <w:r w:rsidRPr="00EB1AE7">
              <w:rPr>
                <w:color w:val="000000"/>
              </w:rPr>
              <w:t xml:space="preserve"> Kč</w:t>
            </w:r>
          </w:p>
        </w:tc>
      </w:tr>
      <w:tr w:rsidR="0070585C" w:rsidRPr="00EB1AE7" w14:paraId="37FC15F6" w14:textId="77777777" w:rsidTr="00936F9F">
        <w:trPr>
          <w:trHeight w:val="360"/>
        </w:trPr>
        <w:tc>
          <w:tcPr>
            <w:tcW w:w="710" w:type="dxa"/>
            <w:shd w:val="clear" w:color="auto" w:fill="auto"/>
          </w:tcPr>
          <w:p w14:paraId="3DFA14C5" w14:textId="77777777" w:rsidR="0070585C" w:rsidRPr="00EB1AE7" w:rsidRDefault="0070585C" w:rsidP="00936F9F">
            <w:pPr>
              <w:outlineLvl w:val="0"/>
            </w:pPr>
          </w:p>
        </w:tc>
        <w:tc>
          <w:tcPr>
            <w:tcW w:w="1134" w:type="dxa"/>
            <w:shd w:val="clear" w:color="auto" w:fill="auto"/>
          </w:tcPr>
          <w:p w14:paraId="3DFB8F2D" w14:textId="77777777" w:rsidR="0070585C" w:rsidRPr="00EB1AE7" w:rsidRDefault="0070585C" w:rsidP="00936F9F">
            <w:pPr>
              <w:outlineLvl w:val="0"/>
            </w:pPr>
          </w:p>
        </w:tc>
        <w:tc>
          <w:tcPr>
            <w:tcW w:w="5724" w:type="dxa"/>
            <w:shd w:val="clear" w:color="auto" w:fill="auto"/>
          </w:tcPr>
          <w:p w14:paraId="76B0815E" w14:textId="77777777" w:rsidR="0070585C" w:rsidRPr="00EB1AE7" w:rsidRDefault="0070585C" w:rsidP="00936F9F">
            <w:pPr>
              <w:ind w:firstLine="317"/>
              <w:outlineLvl w:val="0"/>
            </w:pPr>
            <w:r w:rsidRPr="00EB1AE7">
              <w:rPr>
                <w:color w:val="000000"/>
              </w:rPr>
              <w:t>z toho OON</w:t>
            </w:r>
          </w:p>
        </w:tc>
        <w:tc>
          <w:tcPr>
            <w:tcW w:w="1998" w:type="dxa"/>
            <w:shd w:val="clear" w:color="auto" w:fill="auto"/>
          </w:tcPr>
          <w:p w14:paraId="6C5FF30C" w14:textId="77777777" w:rsidR="0070585C" w:rsidRPr="00EB1AE7" w:rsidRDefault="0070585C" w:rsidP="00936F9F">
            <w:pPr>
              <w:jc w:val="right"/>
              <w:outlineLvl w:val="0"/>
            </w:pPr>
            <w:r w:rsidRPr="00EB1AE7">
              <w:rPr>
                <w:color w:val="000000"/>
              </w:rPr>
              <w:t>13 857 696 Kč</w:t>
            </w:r>
          </w:p>
        </w:tc>
      </w:tr>
      <w:tr w:rsidR="0070585C" w:rsidRPr="00EB1AE7" w14:paraId="3F6105B1" w14:textId="77777777" w:rsidTr="00936F9F">
        <w:trPr>
          <w:trHeight w:val="375"/>
        </w:trPr>
        <w:tc>
          <w:tcPr>
            <w:tcW w:w="710" w:type="dxa"/>
            <w:shd w:val="clear" w:color="auto" w:fill="auto"/>
          </w:tcPr>
          <w:p w14:paraId="5CE348EB" w14:textId="77777777" w:rsidR="0070585C" w:rsidRPr="00EB1AE7" w:rsidRDefault="0070585C" w:rsidP="00936F9F">
            <w:pPr>
              <w:outlineLvl w:val="0"/>
            </w:pPr>
          </w:p>
        </w:tc>
        <w:tc>
          <w:tcPr>
            <w:tcW w:w="1134" w:type="dxa"/>
            <w:shd w:val="clear" w:color="auto" w:fill="auto"/>
          </w:tcPr>
          <w:p w14:paraId="16715550" w14:textId="77777777" w:rsidR="0070585C" w:rsidRPr="00EB1AE7" w:rsidRDefault="0070585C" w:rsidP="00936F9F">
            <w:pPr>
              <w:outlineLvl w:val="0"/>
            </w:pPr>
          </w:p>
        </w:tc>
        <w:tc>
          <w:tcPr>
            <w:tcW w:w="5724" w:type="dxa"/>
            <w:shd w:val="clear" w:color="auto" w:fill="auto"/>
          </w:tcPr>
          <w:p w14:paraId="14E28DCB" w14:textId="77777777" w:rsidR="0070585C" w:rsidRPr="00EB1AE7" w:rsidRDefault="0070585C" w:rsidP="00936F9F">
            <w:pPr>
              <w:outlineLvl w:val="0"/>
            </w:pPr>
            <w:r w:rsidRPr="00EB1AE7">
              <w:rPr>
                <w:color w:val="000000"/>
              </w:rPr>
              <w:t>zákonné odvody a FKSP ve výši</w:t>
            </w:r>
          </w:p>
        </w:tc>
        <w:tc>
          <w:tcPr>
            <w:tcW w:w="1998" w:type="dxa"/>
            <w:shd w:val="clear" w:color="auto" w:fill="auto"/>
          </w:tcPr>
          <w:p w14:paraId="52667345" w14:textId="77777777" w:rsidR="0070585C" w:rsidRPr="00EB1AE7" w:rsidRDefault="0070585C" w:rsidP="00936F9F">
            <w:pPr>
              <w:jc w:val="right"/>
              <w:outlineLvl w:val="0"/>
            </w:pPr>
            <w:r>
              <w:rPr>
                <w:color w:val="000000"/>
              </w:rPr>
              <w:t>721 198 274</w:t>
            </w:r>
            <w:r w:rsidRPr="00EB1AE7">
              <w:rPr>
                <w:color w:val="000000"/>
              </w:rPr>
              <w:t xml:space="preserve"> Kč</w:t>
            </w:r>
          </w:p>
        </w:tc>
      </w:tr>
      <w:tr w:rsidR="0070585C" w:rsidRPr="00EB1AE7" w14:paraId="315FED92" w14:textId="77777777" w:rsidTr="00936F9F">
        <w:trPr>
          <w:trHeight w:val="727"/>
        </w:trPr>
        <w:tc>
          <w:tcPr>
            <w:tcW w:w="710" w:type="dxa"/>
            <w:shd w:val="clear" w:color="auto" w:fill="auto"/>
          </w:tcPr>
          <w:p w14:paraId="08243929" w14:textId="77777777" w:rsidR="0070585C" w:rsidRPr="00EB1AE7" w:rsidRDefault="0070585C" w:rsidP="00936F9F">
            <w:pPr>
              <w:outlineLvl w:val="0"/>
            </w:pPr>
          </w:p>
        </w:tc>
        <w:tc>
          <w:tcPr>
            <w:tcW w:w="1134" w:type="dxa"/>
            <w:shd w:val="clear" w:color="auto" w:fill="auto"/>
          </w:tcPr>
          <w:p w14:paraId="70B195E9" w14:textId="77777777" w:rsidR="0070585C" w:rsidRPr="00EB1AE7" w:rsidRDefault="0070585C" w:rsidP="00936F9F">
            <w:pPr>
              <w:outlineLvl w:val="0"/>
            </w:pPr>
          </w:p>
        </w:tc>
        <w:tc>
          <w:tcPr>
            <w:tcW w:w="5724" w:type="dxa"/>
            <w:shd w:val="clear" w:color="auto" w:fill="auto"/>
          </w:tcPr>
          <w:p w14:paraId="67D0F870" w14:textId="77777777" w:rsidR="0070585C" w:rsidRPr="00EB1AE7" w:rsidRDefault="0070585C" w:rsidP="00936F9F">
            <w:pPr>
              <w:jc w:val="left"/>
              <w:outlineLvl w:val="0"/>
            </w:pPr>
            <w:r w:rsidRPr="00EB1AE7">
              <w:rPr>
                <w:color w:val="000000"/>
              </w:rPr>
              <w:t>ostatní běžné výdaje (bez výdajů na programové financování)</w:t>
            </w:r>
          </w:p>
        </w:tc>
        <w:tc>
          <w:tcPr>
            <w:tcW w:w="1998" w:type="dxa"/>
            <w:shd w:val="clear" w:color="auto" w:fill="auto"/>
          </w:tcPr>
          <w:p w14:paraId="56D7D700" w14:textId="77777777" w:rsidR="0070585C" w:rsidRPr="00EB1AE7" w:rsidRDefault="0070585C" w:rsidP="00936F9F">
            <w:pPr>
              <w:jc w:val="right"/>
              <w:outlineLvl w:val="0"/>
            </w:pPr>
            <w:r w:rsidRPr="00EB1AE7">
              <w:rPr>
                <w:color w:val="000000"/>
              </w:rPr>
              <w:t>325 042 976 Kč</w:t>
            </w:r>
          </w:p>
        </w:tc>
      </w:tr>
      <w:tr w:rsidR="0070585C" w:rsidRPr="00996B57" w14:paraId="1D622A20" w14:textId="77777777" w:rsidTr="00936F9F">
        <w:trPr>
          <w:trHeight w:val="421"/>
        </w:trPr>
        <w:tc>
          <w:tcPr>
            <w:tcW w:w="710" w:type="dxa"/>
            <w:shd w:val="clear" w:color="auto" w:fill="auto"/>
          </w:tcPr>
          <w:p w14:paraId="4829DA52" w14:textId="77777777" w:rsidR="0070585C" w:rsidRPr="00EB1AE7" w:rsidRDefault="0070585C" w:rsidP="00936F9F">
            <w:pPr>
              <w:outlineLvl w:val="0"/>
            </w:pPr>
          </w:p>
        </w:tc>
        <w:tc>
          <w:tcPr>
            <w:tcW w:w="1134" w:type="dxa"/>
            <w:shd w:val="clear" w:color="auto" w:fill="auto"/>
          </w:tcPr>
          <w:p w14:paraId="08A9654B" w14:textId="77777777" w:rsidR="0070585C" w:rsidRPr="00EB1AE7" w:rsidRDefault="0070585C" w:rsidP="00936F9F">
            <w:pPr>
              <w:outlineLvl w:val="0"/>
            </w:pPr>
          </w:p>
        </w:tc>
        <w:tc>
          <w:tcPr>
            <w:tcW w:w="5724" w:type="dxa"/>
            <w:shd w:val="clear" w:color="auto" w:fill="auto"/>
          </w:tcPr>
          <w:p w14:paraId="659F9821" w14:textId="77777777" w:rsidR="0070585C" w:rsidRPr="00EB1AE7" w:rsidRDefault="0070585C" w:rsidP="00936F9F">
            <w:pPr>
              <w:rPr>
                <w:color w:val="000000"/>
              </w:rPr>
            </w:pPr>
            <w:r w:rsidRPr="00EB1AE7">
              <w:rPr>
                <w:color w:val="000000"/>
              </w:rPr>
              <w:t>limit počtu zaměstnanců</w:t>
            </w:r>
            <w:r w:rsidRPr="00EB1AE7">
              <w:rPr>
                <w:color w:val="000000"/>
              </w:rPr>
              <w:tab/>
            </w:r>
            <w:r w:rsidRPr="00EB1AE7">
              <w:rPr>
                <w:color w:val="000000"/>
              </w:rPr>
              <w:tab/>
            </w:r>
          </w:p>
        </w:tc>
        <w:tc>
          <w:tcPr>
            <w:tcW w:w="1998" w:type="dxa"/>
            <w:shd w:val="clear" w:color="auto" w:fill="auto"/>
          </w:tcPr>
          <w:p w14:paraId="369C186F" w14:textId="77777777" w:rsidR="0070585C" w:rsidRPr="00EB1AE7" w:rsidRDefault="0070585C" w:rsidP="00936F9F">
            <w:pPr>
              <w:jc w:val="right"/>
              <w:outlineLvl w:val="0"/>
              <w:rPr>
                <w:color w:val="000000"/>
              </w:rPr>
            </w:pPr>
            <w:r w:rsidRPr="00EB1AE7">
              <w:rPr>
                <w:color w:val="000000"/>
              </w:rPr>
              <w:t>4 395</w:t>
            </w:r>
          </w:p>
        </w:tc>
      </w:tr>
    </w:tbl>
    <w:p w14:paraId="59F6D242" w14:textId="77777777" w:rsidR="0070585C" w:rsidRPr="003F61AA" w:rsidRDefault="0070585C" w:rsidP="003F61AA">
      <w:pPr>
        <w:rPr>
          <w:b/>
          <w:color w:val="000000"/>
        </w:rPr>
      </w:pPr>
      <w:r w:rsidRPr="003F61AA">
        <w:rPr>
          <w:b/>
        </w:rPr>
        <w:t>Průměrný měsíční plat na rok 2019 je pro PŘO rozpočtován ve výši 37 737</w:t>
      </w:r>
      <w:r w:rsidRPr="003F61AA">
        <w:rPr>
          <w:b/>
          <w:color w:val="000000"/>
        </w:rPr>
        <w:t xml:space="preserve"> Kč.</w:t>
      </w:r>
    </w:p>
    <w:p w14:paraId="6CED1680" w14:textId="77777777" w:rsidR="0070585C" w:rsidRDefault="0070585C" w:rsidP="0070585C">
      <w:pPr>
        <w:pStyle w:val="Text"/>
      </w:pPr>
    </w:p>
    <w:p w14:paraId="5E851540" w14:textId="77777777" w:rsidR="0070585C" w:rsidRPr="00EB1AE7" w:rsidRDefault="0070585C" w:rsidP="0070585C">
      <w:pPr>
        <w:pStyle w:val="Text"/>
      </w:pPr>
      <w:r>
        <w:t>Z</w:t>
      </w:r>
      <w:r w:rsidRPr="00EB1AE7">
        <w:t>ávazné ukazatele rozpočtu PŘO na rok 201</w:t>
      </w:r>
      <w:r>
        <w:t>9</w:t>
      </w:r>
      <w:r w:rsidRPr="00EB1AE7">
        <w:t xml:space="preserve"> jsou výhradně finančními prostředky vyčleněnými na jejich činnost dle ustanovení § 160 odst. 1 písm. a) a odst. 3 školského zákona</w:t>
      </w:r>
      <w:r>
        <w:t>,</w:t>
      </w:r>
      <w:r w:rsidRPr="00EB1AE7">
        <w:t xml:space="preserve"> s výjimkou investičních výdajů zařazených do programu podle zvláštního předpisu. </w:t>
      </w:r>
    </w:p>
    <w:p w14:paraId="328D0FB1" w14:textId="77777777" w:rsidR="0070585C" w:rsidRPr="000F1C90" w:rsidRDefault="0070585C" w:rsidP="0070585C">
      <w:pPr>
        <w:pStyle w:val="Text"/>
      </w:pPr>
      <w:r>
        <w:t>S</w:t>
      </w:r>
      <w:r w:rsidRPr="000F1C90">
        <w:t>chválen</w:t>
      </w:r>
      <w:r>
        <w:t xml:space="preserve">ý </w:t>
      </w:r>
      <w:r w:rsidRPr="000F1C90">
        <w:t>rozpoč</w:t>
      </w:r>
      <w:r>
        <w:t>e</w:t>
      </w:r>
      <w:r w:rsidRPr="000F1C90">
        <w:t xml:space="preserve">t pro jednotlivé organizace nezahrnuje prostředky na finanční zajištění podpůrných opatření dle vyhlášky č. 27/2016 Sb., vzdělávání žáků se speciálními vzdělávacími potřebami, ve znění pozdějších předpisů, které budou přiznány na základě oprávněných žádostí, a to úpravou rozpočtu. S ohledem na chystanou novelu této vyhlášky, která neumožní MŠMT poskytnout zřizovaným školám prostředky na podpůrná opatření podle přílohy č. 1, části B, bude vytvořena rezerva v nerozepsaných prostředcích RgŠ k dofinancování těchto potřeb u přímo řízených organizací.  </w:t>
      </w:r>
    </w:p>
    <w:p w14:paraId="689FD22A" w14:textId="215245AF" w:rsidR="0070585C" w:rsidRDefault="0070585C" w:rsidP="0070585C">
      <w:pPr>
        <w:pStyle w:val="Text"/>
      </w:pPr>
      <w:r w:rsidRPr="00AD49F6">
        <w:t>Závazné ukazatele rozpočtu pro rok 2019 byly oproti předchozímu roku navýšeny v položce „platy“ a s tím souv</w:t>
      </w:r>
      <w:r w:rsidR="00E65FA5">
        <w:t xml:space="preserve">isející odvody celkem o 331 060 </w:t>
      </w:r>
      <w:r w:rsidRPr="00AD49F6">
        <w:t xml:space="preserve">374 </w:t>
      </w:r>
      <w:r w:rsidR="00E65FA5">
        <w:t xml:space="preserve">Kč (z toho v platech 243 426 </w:t>
      </w:r>
      <w:r w:rsidRPr="00AD49F6">
        <w:t>745 Kč).</w:t>
      </w:r>
      <w:r>
        <w:t xml:space="preserve"> </w:t>
      </w:r>
      <w:r w:rsidRPr="00AD49F6">
        <w:t>To představuje meziroční navýš</w:t>
      </w:r>
      <w:r w:rsidR="00691319">
        <w:t>ení platů pedagogů cca o 15 % a </w:t>
      </w:r>
      <w:r w:rsidRPr="00AD49F6">
        <w:t>nepedagogických zaměstnanců</w:t>
      </w:r>
      <w:r>
        <w:t xml:space="preserve"> </w:t>
      </w:r>
      <w:r w:rsidRPr="00AD49F6">
        <w:t>cca</w:t>
      </w:r>
      <w:r>
        <w:t xml:space="preserve"> </w:t>
      </w:r>
      <w:r w:rsidRPr="00AD49F6">
        <w:t>o 10 %. Tyto finanční prostředky jsou rozepsány jako součást schváleného rozpočtu na rok 2019.</w:t>
      </w:r>
    </w:p>
    <w:p w14:paraId="564E7F6E" w14:textId="77777777" w:rsidR="0070585C" w:rsidRPr="00AD49F6" w:rsidRDefault="0070585C" w:rsidP="0070585C">
      <w:pPr>
        <w:pStyle w:val="Text"/>
      </w:pPr>
      <w:r w:rsidRPr="00AD49F6">
        <w:t xml:space="preserve">Na úrovni minulých let zůstávají prostředky OON a OBV. Potřeba prostředků na OON je každoročně upravována po dohodovacím řízení a řešena rozpočtovým opatřením - přesunem z platů do OON. Prostředky na OBV jsou na stejné úrovni již 3 roky a oproti roku 2010 jsou dokonce o cca 16 % nižší, a to přes skutečnost, že výše provozních nákladů roste. Deficit OBV je každoročně kryt rezervními fondy </w:t>
      </w:r>
      <w:r>
        <w:t xml:space="preserve">jednotlivých </w:t>
      </w:r>
      <w:r w:rsidRPr="00AD49F6">
        <w:t xml:space="preserve">organizací. </w:t>
      </w:r>
    </w:p>
    <w:p w14:paraId="1C7B8790" w14:textId="77777777" w:rsidR="0070585C" w:rsidRDefault="0070585C" w:rsidP="0070585C">
      <w:pPr>
        <w:pStyle w:val="Text"/>
      </w:pPr>
    </w:p>
    <w:p w14:paraId="4A0C68AB" w14:textId="77777777" w:rsidR="000C3BFF" w:rsidRDefault="000C3BFF" w:rsidP="0070585C">
      <w:pPr>
        <w:pStyle w:val="Text"/>
      </w:pPr>
    </w:p>
    <w:p w14:paraId="59183B4A" w14:textId="77777777" w:rsidR="000C3BFF" w:rsidRDefault="000C3BFF" w:rsidP="0070585C">
      <w:pPr>
        <w:pStyle w:val="Text"/>
      </w:pPr>
    </w:p>
    <w:p w14:paraId="11A7778D" w14:textId="77777777" w:rsidR="000C3BFF" w:rsidRDefault="000C3BFF" w:rsidP="0070585C">
      <w:pPr>
        <w:pStyle w:val="Text"/>
      </w:pPr>
    </w:p>
    <w:p w14:paraId="60A224C0" w14:textId="77777777" w:rsidR="0070585C" w:rsidRPr="00AD49F6" w:rsidRDefault="0070585C" w:rsidP="0031482F">
      <w:pPr>
        <w:pStyle w:val="Nadpis4"/>
      </w:pPr>
      <w:bookmarkStart w:id="123" w:name="_Toc478632273"/>
      <w:bookmarkStart w:id="124" w:name="_Toc5968854"/>
      <w:r w:rsidRPr="00AD49F6">
        <w:lastRenderedPageBreak/>
        <w:t>Rozpis rozpočtu PŘO v roce 201</w:t>
      </w:r>
      <w:bookmarkEnd w:id="123"/>
      <w:r w:rsidRPr="00AD49F6">
        <w:t>9</w:t>
      </w:r>
      <w:bookmarkEnd w:id="124"/>
    </w:p>
    <w:p w14:paraId="4768D35C" w14:textId="77777777" w:rsidR="0070585C" w:rsidRPr="00996B57" w:rsidRDefault="0070585C" w:rsidP="0070585C">
      <w:pPr>
        <w:rPr>
          <w:highlight w:val="cyan"/>
          <w:u w:val="single"/>
        </w:rPr>
      </w:pPr>
    </w:p>
    <w:p w14:paraId="1B8142B2" w14:textId="77777777" w:rsidR="0070585C" w:rsidRPr="00AD49F6" w:rsidRDefault="0070585C" w:rsidP="0070585C">
      <w:pPr>
        <w:rPr>
          <w:u w:val="single"/>
        </w:rPr>
      </w:pPr>
      <w:r w:rsidRPr="00AD49F6">
        <w:rPr>
          <w:u w:val="single"/>
        </w:rPr>
        <w:t>Principy rozpisu rozpočtu pro PŘO</w:t>
      </w:r>
    </w:p>
    <w:p w14:paraId="48E86B13" w14:textId="77777777" w:rsidR="0070585C" w:rsidRDefault="0070585C" w:rsidP="0070585C">
      <w:pPr>
        <w:rPr>
          <w:highlight w:val="cyan"/>
        </w:rPr>
      </w:pPr>
    </w:p>
    <w:p w14:paraId="4E46C9D9" w14:textId="77777777" w:rsidR="00D730BE" w:rsidRPr="00AD49F6" w:rsidRDefault="00D730BE" w:rsidP="00D730BE">
      <w:pPr>
        <w:pStyle w:val="Text"/>
      </w:pPr>
      <w:r>
        <w:t xml:space="preserve">V návaznosti </w:t>
      </w:r>
      <w:r w:rsidRPr="00AD49F6">
        <w:t>koncepční materiál „Plán koncepce rozvoje a transformace sítě zaříz</w:t>
      </w:r>
      <w:r>
        <w:t>ení ústavní a ochranné výchovy“</w:t>
      </w:r>
      <w:r w:rsidRPr="00AD49F6">
        <w:t xml:space="preserve"> </w:t>
      </w:r>
      <w:r>
        <w:t xml:space="preserve">z května </w:t>
      </w:r>
      <w:r w:rsidRPr="00AD49F6">
        <w:t>2017</w:t>
      </w:r>
      <w:r>
        <w:t xml:space="preserve"> je v pravomoci sekce vzdělávání s</w:t>
      </w:r>
      <w:r w:rsidRPr="00AD49F6">
        <w:t> cílem v maximální míře zabezpečit požadavky plynoucí</w:t>
      </w:r>
      <w:r>
        <w:t xml:space="preserve"> z příslušných zákonných norem </w:t>
      </w:r>
      <w:r w:rsidRPr="00AD49F6">
        <w:t>určovat závazný ukazatel limitu počtu zaměstnanců</w:t>
      </w:r>
      <w:r>
        <w:t xml:space="preserve"> v jednotlivých organizacích, a </w:t>
      </w:r>
      <w:r w:rsidRPr="00AD49F6">
        <w:t xml:space="preserve">to v rámci disponibilního </w:t>
      </w:r>
      <w:r>
        <w:t>limitu daného státním rozpočtem.</w:t>
      </w:r>
      <w:r w:rsidRPr="00AD49F6">
        <w:t xml:space="preserve"> V průběhu roku 2018 </w:t>
      </w:r>
      <w:r>
        <w:t>t</w:t>
      </w:r>
      <w:r w:rsidRPr="00AD49F6">
        <w:t>ak byly veškeré změn</w:t>
      </w:r>
      <w:r>
        <w:t>y v limitu počtu zaměstnanců (s </w:t>
      </w:r>
      <w:r w:rsidRPr="00AD49F6">
        <w:t>výjimkou limitu úvazků souvisejících se zajištěním podpůrných opatření) prováděny výhradně dle podkladů věcně příslušných útvarů.</w:t>
      </w:r>
    </w:p>
    <w:p w14:paraId="6DD5626D" w14:textId="0CBA73B6" w:rsidR="0070585C" w:rsidRPr="00AD49F6" w:rsidRDefault="00D730BE" w:rsidP="00D730BE">
      <w:pPr>
        <w:pStyle w:val="Text"/>
      </w:pPr>
      <w:r w:rsidRPr="00AD49F6">
        <w:t xml:space="preserve">Pro rok 2019 zůstává tento základní princip v platnosti, tj. limity počtu zaměstnanců budou upravovány a nastavovány na základě požadavků sekce vzdělávání. </w:t>
      </w:r>
      <w:r>
        <w:t>P</w:t>
      </w:r>
      <w:r w:rsidRPr="00AD49F6">
        <w:t xml:space="preserve">ožadavek na zvýšení </w:t>
      </w:r>
      <w:r>
        <w:t xml:space="preserve">úvazků speciálních škol o 19,8 </w:t>
      </w:r>
      <w:r w:rsidRPr="00AD49F6">
        <w:t>není rozpisem závazných ukazatelů pro schválený rozpočet pokryt.</w:t>
      </w:r>
      <w:r>
        <w:t xml:space="preserve"> Lze jej řešit v návaznosti </w:t>
      </w:r>
      <w:r w:rsidRPr="00AD49F6">
        <w:t>na provedení systemizace míst v jednotlivých typech zařízení institucionální výchovy</w:t>
      </w:r>
      <w:r>
        <w:t>, ale tento návrh</w:t>
      </w:r>
      <w:r w:rsidRPr="00AD49F6">
        <w:t xml:space="preserve"> nebyl</w:t>
      </w:r>
      <w:r>
        <w:t xml:space="preserve"> jako podklad pro rozpis rozpočtu na rok 2019 předložen.</w:t>
      </w:r>
      <w:r w:rsidR="0070585C">
        <w:t xml:space="preserve"> </w:t>
      </w:r>
      <w:r w:rsidR="0070585C" w:rsidRPr="00AD49F6">
        <w:t xml:space="preserve"> </w:t>
      </w:r>
    </w:p>
    <w:p w14:paraId="2E2DEC21" w14:textId="77777777" w:rsidR="0070585C" w:rsidRPr="00AD49F6" w:rsidRDefault="0070585C" w:rsidP="0070585C">
      <w:pPr>
        <w:pStyle w:val="Text"/>
      </w:pPr>
    </w:p>
    <w:p w14:paraId="698951A7" w14:textId="77777777" w:rsidR="00D730BE" w:rsidRDefault="00D730BE" w:rsidP="00D730BE">
      <w:pPr>
        <w:pStyle w:val="Text"/>
        <w:numPr>
          <w:ilvl w:val="0"/>
          <w:numId w:val="64"/>
        </w:numPr>
      </w:pPr>
      <w:r w:rsidRPr="00C101E4">
        <w:t>S ohledem na skutečnost, že požadavek pro navýšení počtu úvazků speciálních škol nelze z důvodu nedostatečného celkového limitu počtu zaměstnanců v rozpisu závazných ukazatelů schváleného rozpočtu akceptovat, v</w:t>
      </w:r>
      <w:r>
        <w:t xml:space="preserve">e </w:t>
      </w:r>
      <w:r w:rsidRPr="00C101E4">
        <w:t>schválené</w:t>
      </w:r>
      <w:r>
        <w:t>m</w:t>
      </w:r>
      <w:r w:rsidRPr="00C101E4">
        <w:t xml:space="preserve"> rozpočtu na rok 2019 zůstává rozpis limitů pro jednotlivé školy</w:t>
      </w:r>
      <w:r>
        <w:t xml:space="preserve"> </w:t>
      </w:r>
      <w:r w:rsidRPr="00C101E4">
        <w:t xml:space="preserve">a zařízení na úrovni upraveného rozpočtu 2018 (po odečtení úvazků asistentů z podpůrných opatření).  </w:t>
      </w:r>
    </w:p>
    <w:p w14:paraId="540E5A9E" w14:textId="77777777" w:rsidR="00D730BE" w:rsidRDefault="00D730BE" w:rsidP="00D730BE">
      <w:pPr>
        <w:pStyle w:val="Text"/>
        <w:numPr>
          <w:ilvl w:val="0"/>
          <w:numId w:val="64"/>
        </w:numPr>
      </w:pPr>
      <w:r w:rsidRPr="00C101E4">
        <w:t>Ukazatel „platy“ byl nastaven podle skutečného čerpání nárokových složek platu, vykázaného za 1.</w:t>
      </w:r>
      <w:r>
        <w:t xml:space="preserve"> </w:t>
      </w:r>
      <w:r w:rsidRPr="00C101E4">
        <w:t>-</w:t>
      </w:r>
      <w:r>
        <w:t xml:space="preserve"> </w:t>
      </w:r>
      <w:r w:rsidRPr="00C101E4">
        <w:t>3. čtvrtletí 2018 ve výkazech P</w:t>
      </w:r>
      <w:r>
        <w:t>1-04, přepočteného na celorok a </w:t>
      </w:r>
      <w:r w:rsidRPr="00C101E4">
        <w:t>navýšeného o schválený růst platů, tj. u pedagog</w:t>
      </w:r>
      <w:r>
        <w:t>ických pracovníků o 15 % a u </w:t>
      </w:r>
      <w:r w:rsidRPr="00C101E4">
        <w:t xml:space="preserve">nepedagogických </w:t>
      </w:r>
      <w:r>
        <w:t>zaměstnanců</w:t>
      </w:r>
      <w:r w:rsidRPr="00C101E4">
        <w:t xml:space="preserve"> o 10 %. K vypočt</w:t>
      </w:r>
      <w:r>
        <w:t>ené částce bylo přidáno 15 % na </w:t>
      </w:r>
      <w:r w:rsidRPr="00C101E4">
        <w:t>nenárokové složky platu</w:t>
      </w:r>
      <w:r>
        <w:t>.</w:t>
      </w:r>
    </w:p>
    <w:p w14:paraId="45B74F44" w14:textId="77777777" w:rsidR="00D730BE" w:rsidRDefault="00D730BE" w:rsidP="00D730BE">
      <w:pPr>
        <w:pStyle w:val="Text"/>
        <w:numPr>
          <w:ilvl w:val="0"/>
          <w:numId w:val="64"/>
        </w:numPr>
      </w:pPr>
      <w:r w:rsidRPr="00C101E4">
        <w:t>Výše OON je rozepsána na úrovni upraveného rozpočtu 2018, se zohledněním skutečného čerpání za ¾ roku 2018 tak, aby celková částka nepřekročila závazný ukazatel rozpočtu. Skutečná roční potřeba prostředků OON bude řešena až po projednání rozpočtu s jednotlivými organizacem</w:t>
      </w:r>
      <w:r>
        <w:t>i v rámci dohodovacích řízení a </w:t>
      </w:r>
      <w:r w:rsidRPr="00C101E4">
        <w:t>v případě vyšší potřeby OON bude požádáno následně ministerstvo financí o převod platů do OON</w:t>
      </w:r>
      <w:r>
        <w:t>.</w:t>
      </w:r>
    </w:p>
    <w:p w14:paraId="2468C4D0" w14:textId="77777777" w:rsidR="00D730BE" w:rsidRDefault="00D730BE" w:rsidP="00D730BE">
      <w:pPr>
        <w:pStyle w:val="Text"/>
        <w:numPr>
          <w:ilvl w:val="0"/>
          <w:numId w:val="64"/>
        </w:numPr>
      </w:pPr>
      <w:r w:rsidRPr="00C101E4">
        <w:t>Objem prostředků na zákonné odvody a příděl do FKSP je vypočten podle stanoveného objemu mzdových prostředků – zákonné odvody ve výši 34 % z MP celkem, příděl do FKSP ve výši</w:t>
      </w:r>
      <w:r>
        <w:t xml:space="preserve"> </w:t>
      </w:r>
      <w:r w:rsidRPr="00C101E4">
        <w:t>2 % z částky určené na platy</w:t>
      </w:r>
      <w:r>
        <w:t>.</w:t>
      </w:r>
    </w:p>
    <w:p w14:paraId="6253229F" w14:textId="77777777" w:rsidR="00D730BE" w:rsidRDefault="00D730BE" w:rsidP="00D730BE">
      <w:pPr>
        <w:pStyle w:val="Text"/>
        <w:numPr>
          <w:ilvl w:val="0"/>
          <w:numId w:val="64"/>
        </w:numPr>
      </w:pPr>
      <w:r w:rsidRPr="00C101E4">
        <w:t>Ostatní běžné výdaje jsou jednotlivým organizacím přiznány na úrovni schváleného rozpočtu roku 2018. Případné žádosti o navýšení rozpočtu OBV v rámci dohodovacích řízení budou posuzovány s ohledem na výsledek hospodaření roku 2018</w:t>
      </w:r>
      <w:r>
        <w:t>.</w:t>
      </w:r>
    </w:p>
    <w:p w14:paraId="747AC182" w14:textId="2A641D68" w:rsidR="0070585C" w:rsidRPr="00C101E4" w:rsidRDefault="00D730BE" w:rsidP="00D730BE">
      <w:pPr>
        <w:pStyle w:val="Text"/>
        <w:numPr>
          <w:ilvl w:val="0"/>
          <w:numId w:val="64"/>
        </w:numPr>
      </w:pPr>
      <w:r w:rsidRPr="00C101E4">
        <w:t>Finanční prostředky na rok 2019 jsou rozpočtovány pro jednotlivé organizace v celoročním objemu s tím, že celkové závazné ukazatele rozpočtu pro každou jednotlivou PŘO budou organizaci sděleny tzv. rozpisovým dopisem a tabulkou s paragrafovým a položkovým členěním rozpočtu.</w:t>
      </w:r>
      <w:r>
        <w:t xml:space="preserve"> </w:t>
      </w:r>
      <w:r w:rsidRPr="00C101E4">
        <w:t>Úpravy rozpočtu budou zadávány jako změny v rozpisovém dopisu</w:t>
      </w:r>
      <w:r>
        <w:t>.</w:t>
      </w:r>
      <w:r w:rsidR="0070585C">
        <w:t xml:space="preserve">  </w:t>
      </w:r>
    </w:p>
    <w:p w14:paraId="245E834D" w14:textId="77777777" w:rsidR="0070585C" w:rsidRDefault="0070585C" w:rsidP="0070585C">
      <w:pPr>
        <w:rPr>
          <w:highlight w:val="cyan"/>
        </w:rPr>
      </w:pPr>
    </w:p>
    <w:p w14:paraId="1E351F69" w14:textId="77777777" w:rsidR="00F83DD6" w:rsidRDefault="00F83DD6" w:rsidP="0070585C">
      <w:pPr>
        <w:rPr>
          <w:highlight w:val="cyan"/>
        </w:rPr>
      </w:pPr>
    </w:p>
    <w:p w14:paraId="7702D2FC" w14:textId="77777777" w:rsidR="00F83DD6" w:rsidRPr="00996B57" w:rsidRDefault="00F83DD6" w:rsidP="0070585C">
      <w:pPr>
        <w:rPr>
          <w:highlight w:val="cyan"/>
        </w:rPr>
      </w:pPr>
    </w:p>
    <w:p w14:paraId="58DFEA2D" w14:textId="77777777" w:rsidR="0070585C" w:rsidRDefault="0070585C" w:rsidP="0070585C">
      <w:pPr>
        <w:spacing w:after="120"/>
        <w:ind w:left="709" w:hanging="709"/>
        <w:rPr>
          <w:b/>
          <w:szCs w:val="24"/>
        </w:rPr>
      </w:pPr>
      <w:r w:rsidRPr="00C101E4">
        <w:rPr>
          <w:b/>
          <w:szCs w:val="24"/>
        </w:rPr>
        <w:lastRenderedPageBreak/>
        <w:t>Pravidla pro projednání rozpočtu v rámci dohodovacího řízení</w:t>
      </w:r>
    </w:p>
    <w:p w14:paraId="7F439651" w14:textId="77777777" w:rsidR="00D730BE" w:rsidRPr="00EF77EE" w:rsidRDefault="00D730BE" w:rsidP="00D730BE">
      <w:pPr>
        <w:pStyle w:val="Text"/>
      </w:pPr>
      <w:r w:rsidRPr="00EF77EE">
        <w:t>Pro úpravu rozpočtu v roce 2019 budou zásadní podklady získané v rámci dohodovacích řízení s jednotlivými organizacemi.</w:t>
      </w:r>
      <w:r>
        <w:t xml:space="preserve"> </w:t>
      </w:r>
      <w:r w:rsidRPr="00EF77EE">
        <w:t>Proces dohodovacích řízení bude probíhat podle zavedených zásad,</w:t>
      </w:r>
      <w:r>
        <w:t xml:space="preserve"> </w:t>
      </w:r>
      <w:r w:rsidRPr="00EF77EE">
        <w:t>tzn., že není povinná účast jednotlivých organizací na ústním projednání, ale všechny PŘO si mohou dohodovací řízení (</w:t>
      </w:r>
      <w:r>
        <w:t>dále jen „</w:t>
      </w:r>
      <w:r w:rsidRPr="00EF77EE">
        <w:t>DŘ</w:t>
      </w:r>
      <w:r>
        <w:t>“</w:t>
      </w:r>
      <w:r w:rsidRPr="00EF77EE">
        <w:t>) vyžádat, nebo, stejně jako v letech 2016 až 2018, toto jednání nahradit korespondenční formou DŘ za následujících podmínek:</w:t>
      </w:r>
    </w:p>
    <w:p w14:paraId="5EEAA0CD" w14:textId="77777777" w:rsidR="00D730BE" w:rsidRPr="00EF77EE" w:rsidRDefault="00D730BE" w:rsidP="00D730BE">
      <w:pPr>
        <w:numPr>
          <w:ilvl w:val="0"/>
          <w:numId w:val="66"/>
        </w:numPr>
        <w:rPr>
          <w:szCs w:val="24"/>
        </w:rPr>
      </w:pPr>
      <w:r w:rsidRPr="00EF77EE">
        <w:rPr>
          <w:szCs w:val="24"/>
        </w:rPr>
        <w:t>jednání na MŠMT není povinné pro organizace, které prokáží schopnost pokrýt ekonomické potřeby roku 2019 v rámci prostředků poskytnutých schváleným rozpočtem nebo z vlastních fondů organizace,</w:t>
      </w:r>
    </w:p>
    <w:p w14:paraId="6A27D095" w14:textId="77777777" w:rsidR="00D730BE" w:rsidRPr="00EF77EE" w:rsidRDefault="00D730BE" w:rsidP="00D730BE">
      <w:pPr>
        <w:ind w:left="720"/>
        <w:rPr>
          <w:szCs w:val="24"/>
        </w:rPr>
      </w:pPr>
    </w:p>
    <w:p w14:paraId="1479C47D" w14:textId="77777777" w:rsidR="00D730BE" w:rsidRPr="00EF77EE" w:rsidRDefault="00D730BE" w:rsidP="00D730BE">
      <w:pPr>
        <w:numPr>
          <w:ilvl w:val="0"/>
          <w:numId w:val="66"/>
        </w:numPr>
        <w:rPr>
          <w:szCs w:val="24"/>
        </w:rPr>
      </w:pPr>
      <w:r w:rsidRPr="00EF77EE">
        <w:rPr>
          <w:szCs w:val="24"/>
        </w:rPr>
        <w:t xml:space="preserve">nově bude do </w:t>
      </w:r>
      <w:r>
        <w:rPr>
          <w:szCs w:val="24"/>
        </w:rPr>
        <w:t>DŘ</w:t>
      </w:r>
      <w:r w:rsidRPr="00EF77EE">
        <w:rPr>
          <w:szCs w:val="24"/>
        </w:rPr>
        <w:t xml:space="preserve"> zahrnuto projednání plánovaných investic, </w:t>
      </w:r>
    </w:p>
    <w:p w14:paraId="1E73B984" w14:textId="77777777" w:rsidR="00D730BE" w:rsidRPr="00EF77EE" w:rsidRDefault="00D730BE" w:rsidP="00D730BE">
      <w:pPr>
        <w:rPr>
          <w:szCs w:val="24"/>
        </w:rPr>
      </w:pPr>
    </w:p>
    <w:p w14:paraId="58A0C914" w14:textId="77777777" w:rsidR="00D730BE" w:rsidRPr="00EF77EE" w:rsidRDefault="00D730BE" w:rsidP="00D730BE">
      <w:pPr>
        <w:numPr>
          <w:ilvl w:val="0"/>
          <w:numId w:val="65"/>
        </w:numPr>
        <w:rPr>
          <w:szCs w:val="24"/>
        </w:rPr>
      </w:pPr>
      <w:r w:rsidRPr="00EF77EE">
        <w:rPr>
          <w:szCs w:val="24"/>
        </w:rPr>
        <w:t>organizace, jejichž zástupci se nepřihlásí ve vyhlášených termínech na jednání na MŠMT, předloží vypracovaný návrh zápisu z DŘ, kde vypracují všechny předepsané body. Zápis včetně dalších podkladů bude předán v určeném termínu.</w:t>
      </w:r>
    </w:p>
    <w:p w14:paraId="2B4EF316" w14:textId="77777777" w:rsidR="00D730BE" w:rsidRPr="00EF77EE" w:rsidRDefault="00D730BE" w:rsidP="00D730BE">
      <w:pPr>
        <w:rPr>
          <w:szCs w:val="24"/>
        </w:rPr>
      </w:pPr>
    </w:p>
    <w:p w14:paraId="0ED05F46" w14:textId="77777777" w:rsidR="00D730BE" w:rsidRPr="00EF77EE" w:rsidRDefault="00D730BE" w:rsidP="00D730BE">
      <w:pPr>
        <w:pStyle w:val="Text"/>
      </w:pPr>
      <w:r w:rsidRPr="00EF77EE">
        <w:t xml:space="preserve">Individuální jednání v rámci </w:t>
      </w:r>
      <w:r>
        <w:t>DŘ</w:t>
      </w:r>
      <w:r w:rsidRPr="00EF77EE">
        <w:t xml:space="preserve"> </w:t>
      </w:r>
      <w:r>
        <w:t>na MŠMT</w:t>
      </w:r>
      <w:r w:rsidRPr="00EF77EE">
        <w:t xml:space="preserve"> budou probíhat v minimálně dvouhodinových blocích v individuálně dojednaných termínech. DŘ proběhne především s PŘO, které vyhodnotí své disponibilní prostředky jako nedostatečné, nebo</w:t>
      </w:r>
      <w:r>
        <w:t xml:space="preserve"> </w:t>
      </w:r>
      <w:r w:rsidRPr="00EF77EE">
        <w:t xml:space="preserve">u nich dojde v průběhu roku ke změnám, které si vyžádají mimořádná opatření překračující schválený rozpočet přiznaný jejich organizaci. </w:t>
      </w:r>
    </w:p>
    <w:p w14:paraId="6AE3B075" w14:textId="77777777" w:rsidR="00D730BE" w:rsidRPr="00EF77EE" w:rsidRDefault="00D730BE" w:rsidP="00D730BE">
      <w:pPr>
        <w:pStyle w:val="Text"/>
      </w:pPr>
      <w:r w:rsidRPr="00EF77EE">
        <w:t xml:space="preserve">Každé </w:t>
      </w:r>
      <w:r>
        <w:t>DŘ</w:t>
      </w:r>
      <w:r w:rsidRPr="00EF77EE">
        <w:t xml:space="preserve"> bude vycházet především ze závazných ukazatelů stanovených v rámci schváleného rozpočtu a z organizačních změn, ke kterým došlo v průběhu minulého roku</w:t>
      </w:r>
      <w:r>
        <w:t>,</w:t>
      </w:r>
      <w:r w:rsidRPr="00EF77EE">
        <w:t xml:space="preserve"> nebo nastanou v roce 2019. Výstupem DŘ budou společn</w:t>
      </w:r>
      <w:r>
        <w:t>ě navržená opatření, která by v </w:t>
      </w:r>
      <w:r w:rsidRPr="00EF77EE">
        <w:t xml:space="preserve">průběhu roku měla zajistit bezproblémový chod organizací a jsou v souladu s disponibilními zdroji MŠMT. </w:t>
      </w:r>
    </w:p>
    <w:p w14:paraId="3BF562E7" w14:textId="77777777" w:rsidR="00D730BE" w:rsidRPr="00EF77EE" w:rsidRDefault="00D730BE" w:rsidP="00D730BE">
      <w:pPr>
        <w:pStyle w:val="Text"/>
      </w:pPr>
      <w:r w:rsidRPr="00EF77EE">
        <w:t xml:space="preserve"> Cílem </w:t>
      </w:r>
      <w:r>
        <w:t>DŘ</w:t>
      </w:r>
      <w:r w:rsidRPr="00EF77EE">
        <w:t xml:space="preserve"> je zjištění detailních informací a z</w:t>
      </w:r>
      <w:r>
        <w:t>ískání zpětné vazby o situaci v </w:t>
      </w:r>
      <w:r w:rsidRPr="00EF77EE">
        <w:t>jednotlivých PŘO po provedení základního rozpisu rozpočtu.  Jedná se o standardní postup financování příspěvkových organizací zřizovaných státem podle § 53 zákona č. 218/2000 Sb. (zákon o rozpočtových pravidlech). Proto budou s jednotlivými PŘO zejména řešeny změny rozpočtu jak</w:t>
      </w:r>
      <w:r>
        <w:t xml:space="preserve"> </w:t>
      </w:r>
      <w:r w:rsidRPr="00EF77EE">
        <w:t>v oblasti počtu zaměstnanců (tato oblast j</w:t>
      </w:r>
      <w:r>
        <w:t>e v gesci věcně příslušných útvarů MŠMT) a </w:t>
      </w:r>
      <w:r w:rsidRPr="00EF77EE">
        <w:t>příslušných mzdových prostředků, tak i v oblasti ostatních běžných výdajů, které vyplynou z úspor, nebo naopak z titulu nových kapacit.</w:t>
      </w:r>
    </w:p>
    <w:p w14:paraId="4FE00F0F" w14:textId="77777777" w:rsidR="00D730BE" w:rsidRPr="00EF77EE" w:rsidRDefault="00D730BE" w:rsidP="00D730BE">
      <w:pPr>
        <w:rPr>
          <w:szCs w:val="24"/>
        </w:rPr>
      </w:pPr>
      <w:r w:rsidRPr="00EF77EE">
        <w:rPr>
          <w:szCs w:val="24"/>
        </w:rPr>
        <w:t xml:space="preserve">Závěry procesu </w:t>
      </w:r>
      <w:r>
        <w:rPr>
          <w:szCs w:val="24"/>
        </w:rPr>
        <w:t>DŘ</w:t>
      </w:r>
      <w:r w:rsidRPr="00EF77EE">
        <w:rPr>
          <w:szCs w:val="24"/>
        </w:rPr>
        <w:t xml:space="preserve"> za jednotlivé PŘO budou vycházet především z následujících podkladů:</w:t>
      </w:r>
    </w:p>
    <w:p w14:paraId="61AE95CD" w14:textId="77777777" w:rsidR="00D730BE" w:rsidRPr="00EF77EE" w:rsidRDefault="00D730BE" w:rsidP="00D730BE">
      <w:pPr>
        <w:ind w:left="709" w:hanging="709"/>
        <w:rPr>
          <w:szCs w:val="24"/>
        </w:rPr>
      </w:pPr>
      <w:r w:rsidRPr="00EF77EE">
        <w:rPr>
          <w:szCs w:val="24"/>
        </w:rPr>
        <w:t>-</w:t>
      </w:r>
      <w:r w:rsidRPr="00EF77EE">
        <w:rPr>
          <w:szCs w:val="24"/>
        </w:rPr>
        <w:tab/>
        <w:t>finanční zabezpečení organizace v roce 2018 a na to navazující schválený rozpočet pro rok 2019</w:t>
      </w:r>
    </w:p>
    <w:p w14:paraId="01B5D422" w14:textId="77777777" w:rsidR="00D730BE" w:rsidRPr="00EF77EE" w:rsidRDefault="00D730BE" w:rsidP="00D730BE">
      <w:pPr>
        <w:rPr>
          <w:szCs w:val="24"/>
        </w:rPr>
      </w:pPr>
      <w:r w:rsidRPr="00EF77EE">
        <w:rPr>
          <w:szCs w:val="24"/>
        </w:rPr>
        <w:t>-</w:t>
      </w:r>
      <w:r w:rsidRPr="00EF77EE">
        <w:rPr>
          <w:szCs w:val="24"/>
        </w:rPr>
        <w:tab/>
        <w:t>organizační změny v průběhu roku 2018</w:t>
      </w:r>
    </w:p>
    <w:p w14:paraId="3797DD17" w14:textId="77777777" w:rsidR="00D730BE" w:rsidRPr="00EF77EE" w:rsidRDefault="00D730BE" w:rsidP="00D730BE">
      <w:pPr>
        <w:rPr>
          <w:szCs w:val="24"/>
        </w:rPr>
      </w:pPr>
      <w:r w:rsidRPr="00EF77EE">
        <w:rPr>
          <w:szCs w:val="24"/>
        </w:rPr>
        <w:t>-</w:t>
      </w:r>
      <w:r w:rsidRPr="00EF77EE">
        <w:rPr>
          <w:szCs w:val="24"/>
        </w:rPr>
        <w:tab/>
        <w:t xml:space="preserve">limit pracovníků stanovený sekcí </w:t>
      </w:r>
      <w:r>
        <w:rPr>
          <w:szCs w:val="24"/>
        </w:rPr>
        <w:t>vzdělávání</w:t>
      </w:r>
    </w:p>
    <w:p w14:paraId="580992CC" w14:textId="77777777" w:rsidR="00D730BE" w:rsidRPr="00EF77EE" w:rsidRDefault="00D730BE" w:rsidP="00D730BE">
      <w:pPr>
        <w:rPr>
          <w:szCs w:val="24"/>
        </w:rPr>
      </w:pPr>
      <w:r w:rsidRPr="00EF77EE">
        <w:rPr>
          <w:szCs w:val="24"/>
        </w:rPr>
        <w:t>-</w:t>
      </w:r>
      <w:r w:rsidRPr="00EF77EE">
        <w:rPr>
          <w:szCs w:val="24"/>
        </w:rPr>
        <w:tab/>
        <w:t>výkazy P1-04 k 31. 12. 2018 ve vztahu k limitu počtu zaměstnanců</w:t>
      </w:r>
    </w:p>
    <w:p w14:paraId="02518BFB" w14:textId="77777777" w:rsidR="00D730BE" w:rsidRPr="00EF77EE" w:rsidRDefault="00D730BE" w:rsidP="00D730BE">
      <w:pPr>
        <w:rPr>
          <w:szCs w:val="24"/>
        </w:rPr>
      </w:pPr>
      <w:r w:rsidRPr="00EF77EE">
        <w:rPr>
          <w:szCs w:val="24"/>
        </w:rPr>
        <w:t>-</w:t>
      </w:r>
      <w:r w:rsidRPr="00EF77EE">
        <w:rPr>
          <w:szCs w:val="24"/>
        </w:rPr>
        <w:tab/>
        <w:t xml:space="preserve">finanční rozvahy za jednotlivé §§ rozpočtové skladby na rok 2019 </w:t>
      </w:r>
    </w:p>
    <w:p w14:paraId="0D73D6EE" w14:textId="77777777" w:rsidR="00D730BE" w:rsidRPr="00EF77EE" w:rsidRDefault="00D730BE" w:rsidP="00D730BE">
      <w:pPr>
        <w:rPr>
          <w:szCs w:val="24"/>
        </w:rPr>
      </w:pPr>
      <w:r w:rsidRPr="00EF77EE">
        <w:rPr>
          <w:szCs w:val="24"/>
        </w:rPr>
        <w:t>-</w:t>
      </w:r>
      <w:r w:rsidRPr="00EF77EE">
        <w:rPr>
          <w:szCs w:val="24"/>
        </w:rPr>
        <w:tab/>
        <w:t xml:space="preserve">vnitřní rozpis zaměstnanců a mzdových prostředků </w:t>
      </w:r>
    </w:p>
    <w:p w14:paraId="30092B87" w14:textId="77777777" w:rsidR="00D730BE" w:rsidRPr="00EF77EE" w:rsidRDefault="00D730BE" w:rsidP="00D730BE">
      <w:pPr>
        <w:rPr>
          <w:szCs w:val="24"/>
        </w:rPr>
      </w:pPr>
      <w:r w:rsidRPr="00EF77EE">
        <w:rPr>
          <w:szCs w:val="24"/>
        </w:rPr>
        <w:t>-</w:t>
      </w:r>
      <w:r w:rsidRPr="00EF77EE">
        <w:rPr>
          <w:szCs w:val="24"/>
        </w:rPr>
        <w:tab/>
        <w:t xml:space="preserve">odpisový plán </w:t>
      </w:r>
    </w:p>
    <w:p w14:paraId="6AD793F6" w14:textId="77777777" w:rsidR="00D730BE" w:rsidRPr="00EF77EE" w:rsidRDefault="00D730BE" w:rsidP="00D730BE">
      <w:pPr>
        <w:rPr>
          <w:szCs w:val="24"/>
        </w:rPr>
      </w:pPr>
      <w:r w:rsidRPr="00EF77EE">
        <w:rPr>
          <w:szCs w:val="24"/>
        </w:rPr>
        <w:t xml:space="preserve">- </w:t>
      </w:r>
      <w:r w:rsidRPr="00EF77EE">
        <w:rPr>
          <w:szCs w:val="24"/>
        </w:rPr>
        <w:tab/>
        <w:t>tabulka „Tvorba a čerpání fondu reprodukce majetku“</w:t>
      </w:r>
    </w:p>
    <w:p w14:paraId="6B542DDD" w14:textId="3DA488E4" w:rsidR="00D730BE" w:rsidRPr="00EF77EE" w:rsidRDefault="00D730BE" w:rsidP="00D730BE">
      <w:pPr>
        <w:rPr>
          <w:szCs w:val="24"/>
        </w:rPr>
      </w:pPr>
      <w:r w:rsidRPr="00EF77EE">
        <w:rPr>
          <w:szCs w:val="24"/>
        </w:rPr>
        <w:t>-</w:t>
      </w:r>
      <w:r w:rsidRPr="00EF77EE">
        <w:rPr>
          <w:szCs w:val="24"/>
        </w:rPr>
        <w:tab/>
        <w:t xml:space="preserve">aktuální </w:t>
      </w:r>
      <w:r>
        <w:rPr>
          <w:szCs w:val="24"/>
        </w:rPr>
        <w:t>platová</w:t>
      </w:r>
      <w:r w:rsidRPr="00EF77EE">
        <w:rPr>
          <w:szCs w:val="24"/>
        </w:rPr>
        <w:t xml:space="preserve"> inventura</w:t>
      </w:r>
    </w:p>
    <w:p w14:paraId="17706DE6" w14:textId="77777777" w:rsidR="00D730BE" w:rsidRPr="00EF77EE" w:rsidRDefault="00D730BE" w:rsidP="00D730BE">
      <w:pPr>
        <w:ind w:left="705" w:hanging="705"/>
        <w:rPr>
          <w:szCs w:val="24"/>
        </w:rPr>
      </w:pPr>
      <w:r w:rsidRPr="00EF77EE">
        <w:rPr>
          <w:szCs w:val="24"/>
        </w:rPr>
        <w:t>-</w:t>
      </w:r>
      <w:r w:rsidRPr="00EF77EE">
        <w:rPr>
          <w:szCs w:val="24"/>
        </w:rPr>
        <w:tab/>
        <w:t>návrh „Zápisu z dohodovacího řízení“ s tím, že zápis obsahuje komentáře, požadavky, zdůvodnění a další směřování subjektu</w:t>
      </w:r>
    </w:p>
    <w:p w14:paraId="4F34D8B6" w14:textId="77777777" w:rsidR="00D730BE" w:rsidRPr="00EF77EE" w:rsidRDefault="00D730BE" w:rsidP="00D730BE">
      <w:pPr>
        <w:rPr>
          <w:szCs w:val="24"/>
        </w:rPr>
      </w:pPr>
      <w:r w:rsidRPr="00EF77EE">
        <w:rPr>
          <w:szCs w:val="24"/>
        </w:rPr>
        <w:t>-</w:t>
      </w:r>
      <w:r w:rsidRPr="00EF77EE">
        <w:rPr>
          <w:szCs w:val="24"/>
        </w:rPr>
        <w:tab/>
        <w:t>priority činnosti organizace v roce 2019.</w:t>
      </w:r>
    </w:p>
    <w:p w14:paraId="48DE88FA" w14:textId="77777777" w:rsidR="00D730BE" w:rsidRPr="00EF77EE" w:rsidRDefault="00D730BE" w:rsidP="00D730BE">
      <w:pPr>
        <w:pStyle w:val="Text"/>
      </w:pPr>
      <w:r w:rsidRPr="00EF77EE">
        <w:lastRenderedPageBreak/>
        <w:t xml:space="preserve">Všechny písemné podklady mají stejnou strukturu a body jako v minulých letech tak, aby bylo možno provádět vyhodnocení vývoje jednotlivých PŘO i celku. </w:t>
      </w:r>
    </w:p>
    <w:p w14:paraId="1C39C7B9" w14:textId="77777777" w:rsidR="00D730BE" w:rsidRPr="00EF77EE" w:rsidRDefault="00D730BE" w:rsidP="00D730BE">
      <w:pPr>
        <w:pStyle w:val="Text"/>
      </w:pPr>
      <w:r w:rsidRPr="00EF77EE">
        <w:t>Na těchto podkladech je postaven způsob financování organizace v daném rozpočtovém roce včetně zapojení vlastních zdrojů. Předmětem jedná</w:t>
      </w:r>
      <w:r>
        <w:t>ní tedy bude i zapojení fondů a </w:t>
      </w:r>
      <w:r w:rsidRPr="00EF77EE">
        <w:t>kladného hospodářského výsledku roku 2018 do financování organizací v případě, že zdroje financování ze státního rozpočtu nebudou dostatečné.</w:t>
      </w:r>
    </w:p>
    <w:p w14:paraId="6FAFC312" w14:textId="77777777" w:rsidR="00D730BE" w:rsidRPr="00EF77EE" w:rsidRDefault="00D730BE" w:rsidP="00D730BE">
      <w:pPr>
        <w:pStyle w:val="Text"/>
      </w:pPr>
      <w:r w:rsidRPr="00EF77EE">
        <w:t>Posouzení podkladů pro dohodovací řízení bude provedeno u všech 69 PŘO, z toho je 11 škol.</w:t>
      </w:r>
    </w:p>
    <w:p w14:paraId="171512CA" w14:textId="44DB7297" w:rsidR="0070585C" w:rsidRPr="00EF77EE" w:rsidRDefault="00D730BE" w:rsidP="00D730BE">
      <w:pPr>
        <w:pStyle w:val="Text"/>
        <w:rPr>
          <w:b/>
        </w:rPr>
      </w:pPr>
      <w:r w:rsidRPr="00EF77EE">
        <w:t>Výsledkem dohodovacího řízení bude návrh na úpravu rozpočtu na rok 2019</w:t>
      </w:r>
      <w:r w:rsidRPr="00EF77EE">
        <w:rPr>
          <w:b/>
        </w:rPr>
        <w:t>.</w:t>
      </w:r>
      <w:r w:rsidR="0070585C" w:rsidRPr="00EF77EE">
        <w:rPr>
          <w:b/>
        </w:rPr>
        <w:t xml:space="preserve"> </w:t>
      </w:r>
    </w:p>
    <w:p w14:paraId="1E7E9478" w14:textId="77777777" w:rsidR="0070585C" w:rsidRDefault="0070585C" w:rsidP="0070585C">
      <w:pPr>
        <w:spacing w:after="120"/>
        <w:ind w:left="709" w:hanging="709"/>
        <w:rPr>
          <w:b/>
          <w:szCs w:val="24"/>
        </w:rPr>
      </w:pPr>
    </w:p>
    <w:p w14:paraId="79128533" w14:textId="77777777" w:rsidR="0070585C" w:rsidRPr="00EF77EE" w:rsidRDefault="0070585C" w:rsidP="0070585C">
      <w:pPr>
        <w:spacing w:after="120"/>
        <w:rPr>
          <w:szCs w:val="24"/>
        </w:rPr>
      </w:pPr>
      <w:r w:rsidRPr="00EF77EE">
        <w:rPr>
          <w:b/>
          <w:szCs w:val="24"/>
        </w:rPr>
        <w:t>Bilance rozpisu rozpočtu</w:t>
      </w:r>
    </w:p>
    <w:tbl>
      <w:tblPr>
        <w:tblW w:w="9046" w:type="dxa"/>
        <w:tblInd w:w="-34" w:type="dxa"/>
        <w:tblLayout w:type="fixed"/>
        <w:tblLook w:val="04A0" w:firstRow="1" w:lastRow="0" w:firstColumn="1" w:lastColumn="0" w:noHBand="0" w:noVBand="1"/>
      </w:tblPr>
      <w:tblGrid>
        <w:gridCol w:w="671"/>
        <w:gridCol w:w="938"/>
        <w:gridCol w:w="4831"/>
        <w:gridCol w:w="2606"/>
      </w:tblGrid>
      <w:tr w:rsidR="0070585C" w:rsidRPr="00EF77EE" w14:paraId="7743498B" w14:textId="77777777" w:rsidTr="00936F9F">
        <w:trPr>
          <w:trHeight w:val="321"/>
        </w:trPr>
        <w:tc>
          <w:tcPr>
            <w:tcW w:w="9046" w:type="dxa"/>
            <w:gridSpan w:val="4"/>
            <w:shd w:val="clear" w:color="auto" w:fill="auto"/>
          </w:tcPr>
          <w:p w14:paraId="568CEBEA" w14:textId="06155646" w:rsidR="0070585C" w:rsidRPr="00EF77EE" w:rsidRDefault="00A34074" w:rsidP="00936F9F">
            <w:pPr>
              <w:outlineLvl w:val="0"/>
            </w:pPr>
            <w:r>
              <w:t>R</w:t>
            </w:r>
            <w:r w:rsidR="0070585C" w:rsidRPr="00EF77EE">
              <w:t>ozpisem rozpočtu je z celkového objemu rozepsáno:</w:t>
            </w:r>
          </w:p>
        </w:tc>
      </w:tr>
      <w:tr w:rsidR="0070585C" w:rsidRPr="00EF77EE" w14:paraId="52A63E08" w14:textId="77777777" w:rsidTr="00936F9F">
        <w:trPr>
          <w:trHeight w:val="321"/>
        </w:trPr>
        <w:tc>
          <w:tcPr>
            <w:tcW w:w="1609" w:type="dxa"/>
            <w:gridSpan w:val="2"/>
            <w:shd w:val="clear" w:color="auto" w:fill="auto"/>
          </w:tcPr>
          <w:p w14:paraId="6B695C05" w14:textId="77777777" w:rsidR="0070585C" w:rsidRPr="00EF77EE" w:rsidRDefault="0070585C" w:rsidP="00936F9F">
            <w:pPr>
              <w:outlineLvl w:val="0"/>
              <w:rPr>
                <w:color w:val="000000"/>
              </w:rPr>
            </w:pPr>
            <w:r w:rsidRPr="00EF77EE">
              <w:rPr>
                <w:b/>
              </w:rPr>
              <w:t>NIV celkem</w:t>
            </w:r>
          </w:p>
        </w:tc>
        <w:tc>
          <w:tcPr>
            <w:tcW w:w="4831" w:type="dxa"/>
            <w:shd w:val="clear" w:color="auto" w:fill="auto"/>
          </w:tcPr>
          <w:p w14:paraId="43FC15D7" w14:textId="77777777" w:rsidR="0070585C" w:rsidRPr="00EF77EE" w:rsidRDefault="0070585C" w:rsidP="00936F9F">
            <w:pPr>
              <w:outlineLvl w:val="0"/>
              <w:rPr>
                <w:color w:val="000000"/>
              </w:rPr>
            </w:pPr>
          </w:p>
        </w:tc>
        <w:tc>
          <w:tcPr>
            <w:tcW w:w="2606" w:type="dxa"/>
            <w:shd w:val="clear" w:color="auto" w:fill="auto"/>
          </w:tcPr>
          <w:p w14:paraId="38DEB3D8" w14:textId="77777777" w:rsidR="0070585C" w:rsidRPr="00EF77EE" w:rsidRDefault="0070585C" w:rsidP="00936F9F">
            <w:pPr>
              <w:jc w:val="right"/>
              <w:outlineLvl w:val="0"/>
              <w:rPr>
                <w:b/>
              </w:rPr>
            </w:pPr>
            <w:r>
              <w:rPr>
                <w:b/>
                <w:color w:val="000000"/>
              </w:rPr>
              <w:t>2 957 292 140</w:t>
            </w:r>
            <w:r w:rsidRPr="00EF77EE">
              <w:rPr>
                <w:b/>
                <w:color w:val="000000"/>
              </w:rPr>
              <w:t xml:space="preserve"> Kč</w:t>
            </w:r>
          </w:p>
        </w:tc>
      </w:tr>
      <w:tr w:rsidR="0070585C" w:rsidRPr="00EF77EE" w14:paraId="3FAD03AE" w14:textId="77777777" w:rsidTr="00936F9F">
        <w:trPr>
          <w:trHeight w:val="321"/>
        </w:trPr>
        <w:tc>
          <w:tcPr>
            <w:tcW w:w="671" w:type="dxa"/>
            <w:shd w:val="clear" w:color="auto" w:fill="auto"/>
          </w:tcPr>
          <w:p w14:paraId="4EA6AD92" w14:textId="77777777" w:rsidR="0070585C" w:rsidRPr="00EF77EE" w:rsidRDefault="0070585C" w:rsidP="00936F9F">
            <w:pPr>
              <w:outlineLvl w:val="0"/>
            </w:pPr>
          </w:p>
        </w:tc>
        <w:tc>
          <w:tcPr>
            <w:tcW w:w="938" w:type="dxa"/>
            <w:shd w:val="clear" w:color="auto" w:fill="auto"/>
          </w:tcPr>
          <w:p w14:paraId="6B5D8CC2" w14:textId="77777777" w:rsidR="0070585C" w:rsidRPr="00EF77EE" w:rsidRDefault="0070585C" w:rsidP="00936F9F">
            <w:pPr>
              <w:outlineLvl w:val="0"/>
            </w:pPr>
            <w:r w:rsidRPr="00EF77EE">
              <w:t>v tom:</w:t>
            </w:r>
          </w:p>
        </w:tc>
        <w:tc>
          <w:tcPr>
            <w:tcW w:w="4831" w:type="dxa"/>
            <w:shd w:val="clear" w:color="auto" w:fill="auto"/>
          </w:tcPr>
          <w:p w14:paraId="7EEDDCB1" w14:textId="77777777" w:rsidR="0070585C" w:rsidRPr="00EF77EE" w:rsidRDefault="0070585C" w:rsidP="00936F9F">
            <w:pPr>
              <w:outlineLvl w:val="0"/>
            </w:pPr>
            <w:r w:rsidRPr="00EF77EE">
              <w:rPr>
                <w:color w:val="000000"/>
              </w:rPr>
              <w:t>mzdové prostředky ve výši</w:t>
            </w:r>
          </w:p>
        </w:tc>
        <w:tc>
          <w:tcPr>
            <w:tcW w:w="2606" w:type="dxa"/>
            <w:shd w:val="clear" w:color="auto" w:fill="auto"/>
          </w:tcPr>
          <w:p w14:paraId="06387A00" w14:textId="77777777" w:rsidR="0070585C" w:rsidRPr="00EF77EE" w:rsidRDefault="0070585C" w:rsidP="00936F9F">
            <w:pPr>
              <w:jc w:val="right"/>
              <w:outlineLvl w:val="0"/>
            </w:pPr>
            <w:r>
              <w:rPr>
                <w:color w:val="000000"/>
              </w:rPr>
              <w:t>1 942 576 000</w:t>
            </w:r>
            <w:r w:rsidRPr="00EF77EE">
              <w:rPr>
                <w:color w:val="000000"/>
              </w:rPr>
              <w:t xml:space="preserve"> Kč</w:t>
            </w:r>
          </w:p>
        </w:tc>
      </w:tr>
      <w:tr w:rsidR="0070585C" w:rsidRPr="00EF77EE" w14:paraId="382BC316" w14:textId="77777777" w:rsidTr="00936F9F">
        <w:trPr>
          <w:trHeight w:val="321"/>
        </w:trPr>
        <w:tc>
          <w:tcPr>
            <w:tcW w:w="671" w:type="dxa"/>
            <w:shd w:val="clear" w:color="auto" w:fill="auto"/>
          </w:tcPr>
          <w:p w14:paraId="6B72EE18" w14:textId="77777777" w:rsidR="0070585C" w:rsidRPr="00EF77EE" w:rsidRDefault="0070585C" w:rsidP="00936F9F">
            <w:pPr>
              <w:outlineLvl w:val="0"/>
            </w:pPr>
          </w:p>
        </w:tc>
        <w:tc>
          <w:tcPr>
            <w:tcW w:w="938" w:type="dxa"/>
            <w:shd w:val="clear" w:color="auto" w:fill="auto"/>
          </w:tcPr>
          <w:p w14:paraId="3324FE4A" w14:textId="77777777" w:rsidR="0070585C" w:rsidRPr="00EF77EE" w:rsidRDefault="0070585C" w:rsidP="00936F9F">
            <w:pPr>
              <w:outlineLvl w:val="0"/>
            </w:pPr>
          </w:p>
        </w:tc>
        <w:tc>
          <w:tcPr>
            <w:tcW w:w="4831" w:type="dxa"/>
            <w:shd w:val="clear" w:color="auto" w:fill="auto"/>
          </w:tcPr>
          <w:p w14:paraId="2D3C2231" w14:textId="77777777" w:rsidR="0070585C" w:rsidRPr="00EF77EE" w:rsidRDefault="0070585C" w:rsidP="00936F9F">
            <w:pPr>
              <w:outlineLvl w:val="0"/>
              <w:rPr>
                <w:color w:val="000000"/>
              </w:rPr>
            </w:pPr>
            <w:r w:rsidRPr="00EF77EE">
              <w:rPr>
                <w:color w:val="000000"/>
              </w:rPr>
              <w:t>v tom: platy</w:t>
            </w:r>
          </w:p>
        </w:tc>
        <w:tc>
          <w:tcPr>
            <w:tcW w:w="2606" w:type="dxa"/>
            <w:shd w:val="clear" w:color="auto" w:fill="auto"/>
          </w:tcPr>
          <w:p w14:paraId="76F88C50" w14:textId="77777777" w:rsidR="0070585C" w:rsidRPr="00EF77EE" w:rsidRDefault="0070585C" w:rsidP="00936F9F">
            <w:pPr>
              <w:jc w:val="right"/>
              <w:outlineLvl w:val="0"/>
            </w:pPr>
            <w:r w:rsidRPr="00EF77EE">
              <w:rPr>
                <w:color w:val="000000"/>
              </w:rPr>
              <w:t>1</w:t>
            </w:r>
            <w:r>
              <w:rPr>
                <w:color w:val="000000"/>
              </w:rPr>
              <w:t> 929 965 000</w:t>
            </w:r>
            <w:r w:rsidRPr="00EF77EE">
              <w:rPr>
                <w:color w:val="000000"/>
              </w:rPr>
              <w:t xml:space="preserve"> Kč</w:t>
            </w:r>
          </w:p>
        </w:tc>
      </w:tr>
      <w:tr w:rsidR="0070585C" w:rsidRPr="00EF77EE" w14:paraId="558FFC51" w14:textId="77777777" w:rsidTr="00936F9F">
        <w:trPr>
          <w:trHeight w:val="321"/>
        </w:trPr>
        <w:tc>
          <w:tcPr>
            <w:tcW w:w="671" w:type="dxa"/>
            <w:shd w:val="clear" w:color="auto" w:fill="auto"/>
          </w:tcPr>
          <w:p w14:paraId="01E7FDBC" w14:textId="77777777" w:rsidR="0070585C" w:rsidRPr="00EF77EE" w:rsidRDefault="0070585C" w:rsidP="00936F9F">
            <w:pPr>
              <w:outlineLvl w:val="0"/>
            </w:pPr>
          </w:p>
        </w:tc>
        <w:tc>
          <w:tcPr>
            <w:tcW w:w="938" w:type="dxa"/>
            <w:shd w:val="clear" w:color="auto" w:fill="auto"/>
          </w:tcPr>
          <w:p w14:paraId="3BFDC780" w14:textId="77777777" w:rsidR="0070585C" w:rsidRPr="00EF77EE" w:rsidRDefault="0070585C" w:rsidP="00936F9F">
            <w:pPr>
              <w:outlineLvl w:val="0"/>
            </w:pPr>
          </w:p>
        </w:tc>
        <w:tc>
          <w:tcPr>
            <w:tcW w:w="4831" w:type="dxa"/>
            <w:shd w:val="clear" w:color="auto" w:fill="auto"/>
          </w:tcPr>
          <w:p w14:paraId="11DB47CE" w14:textId="77777777" w:rsidR="0070585C" w:rsidRPr="00EF77EE" w:rsidRDefault="0070585C" w:rsidP="00936F9F">
            <w:pPr>
              <w:ind w:left="33" w:firstLine="709"/>
              <w:outlineLvl w:val="0"/>
              <w:rPr>
                <w:color w:val="000000"/>
              </w:rPr>
            </w:pPr>
            <w:r w:rsidRPr="00EF77EE">
              <w:rPr>
                <w:color w:val="000000"/>
              </w:rPr>
              <w:t>OON (pololetní potřeba)</w:t>
            </w:r>
          </w:p>
        </w:tc>
        <w:tc>
          <w:tcPr>
            <w:tcW w:w="2606" w:type="dxa"/>
            <w:shd w:val="clear" w:color="auto" w:fill="auto"/>
          </w:tcPr>
          <w:p w14:paraId="245E6D33" w14:textId="77777777" w:rsidR="0070585C" w:rsidRPr="00EF77EE" w:rsidRDefault="0070585C" w:rsidP="00936F9F">
            <w:pPr>
              <w:jc w:val="right"/>
              <w:outlineLvl w:val="0"/>
              <w:rPr>
                <w:color w:val="000000"/>
              </w:rPr>
            </w:pPr>
            <w:r>
              <w:rPr>
                <w:color w:val="000000"/>
              </w:rPr>
              <w:t>12 611 000</w:t>
            </w:r>
            <w:r w:rsidRPr="00EF77EE">
              <w:rPr>
                <w:color w:val="000000"/>
              </w:rPr>
              <w:t xml:space="preserve"> Kč</w:t>
            </w:r>
          </w:p>
        </w:tc>
      </w:tr>
      <w:tr w:rsidR="0070585C" w:rsidRPr="00EF77EE" w14:paraId="0C9A45CE" w14:textId="77777777" w:rsidTr="00936F9F">
        <w:trPr>
          <w:trHeight w:val="321"/>
        </w:trPr>
        <w:tc>
          <w:tcPr>
            <w:tcW w:w="671" w:type="dxa"/>
            <w:shd w:val="clear" w:color="auto" w:fill="auto"/>
          </w:tcPr>
          <w:p w14:paraId="0FCF9183" w14:textId="77777777" w:rsidR="0070585C" w:rsidRPr="00EF77EE" w:rsidRDefault="0070585C" w:rsidP="00936F9F">
            <w:pPr>
              <w:outlineLvl w:val="0"/>
            </w:pPr>
          </w:p>
        </w:tc>
        <w:tc>
          <w:tcPr>
            <w:tcW w:w="938" w:type="dxa"/>
            <w:shd w:val="clear" w:color="auto" w:fill="auto"/>
          </w:tcPr>
          <w:p w14:paraId="290DF927" w14:textId="77777777" w:rsidR="0070585C" w:rsidRPr="00EF77EE" w:rsidRDefault="0070585C" w:rsidP="00936F9F">
            <w:pPr>
              <w:outlineLvl w:val="0"/>
            </w:pPr>
          </w:p>
        </w:tc>
        <w:tc>
          <w:tcPr>
            <w:tcW w:w="4831" w:type="dxa"/>
            <w:shd w:val="clear" w:color="auto" w:fill="auto"/>
          </w:tcPr>
          <w:p w14:paraId="181C073D" w14:textId="77777777" w:rsidR="0070585C" w:rsidRPr="00EF77EE" w:rsidRDefault="0070585C" w:rsidP="00936F9F">
            <w:pPr>
              <w:outlineLvl w:val="0"/>
            </w:pPr>
            <w:r w:rsidRPr="00EF77EE">
              <w:rPr>
                <w:color w:val="000000"/>
              </w:rPr>
              <w:t>zákonné odvody</w:t>
            </w:r>
          </w:p>
        </w:tc>
        <w:tc>
          <w:tcPr>
            <w:tcW w:w="2606" w:type="dxa"/>
            <w:shd w:val="clear" w:color="auto" w:fill="auto"/>
          </w:tcPr>
          <w:p w14:paraId="064E803D" w14:textId="77777777" w:rsidR="0070585C" w:rsidRPr="00EF77EE" w:rsidRDefault="0070585C" w:rsidP="00936F9F">
            <w:pPr>
              <w:jc w:val="right"/>
              <w:outlineLvl w:val="0"/>
            </w:pPr>
            <w:r>
              <w:rPr>
                <w:color w:val="000000"/>
              </w:rPr>
              <w:t>660 475 840</w:t>
            </w:r>
            <w:r w:rsidRPr="00EF77EE">
              <w:rPr>
                <w:color w:val="000000"/>
              </w:rPr>
              <w:t xml:space="preserve"> Kč</w:t>
            </w:r>
          </w:p>
        </w:tc>
      </w:tr>
      <w:tr w:rsidR="0070585C" w:rsidRPr="00EF77EE" w14:paraId="05529741" w14:textId="77777777" w:rsidTr="00936F9F">
        <w:trPr>
          <w:trHeight w:val="321"/>
        </w:trPr>
        <w:tc>
          <w:tcPr>
            <w:tcW w:w="671" w:type="dxa"/>
            <w:shd w:val="clear" w:color="auto" w:fill="auto"/>
          </w:tcPr>
          <w:p w14:paraId="1574B8AB" w14:textId="77777777" w:rsidR="0070585C" w:rsidRPr="00EF77EE" w:rsidRDefault="0070585C" w:rsidP="00936F9F">
            <w:pPr>
              <w:outlineLvl w:val="0"/>
            </w:pPr>
          </w:p>
        </w:tc>
        <w:tc>
          <w:tcPr>
            <w:tcW w:w="938" w:type="dxa"/>
            <w:shd w:val="clear" w:color="auto" w:fill="auto"/>
          </w:tcPr>
          <w:p w14:paraId="39DD40E1" w14:textId="77777777" w:rsidR="0070585C" w:rsidRPr="00EF77EE" w:rsidRDefault="0070585C" w:rsidP="00936F9F">
            <w:pPr>
              <w:outlineLvl w:val="0"/>
            </w:pPr>
          </w:p>
        </w:tc>
        <w:tc>
          <w:tcPr>
            <w:tcW w:w="4831" w:type="dxa"/>
            <w:shd w:val="clear" w:color="auto" w:fill="auto"/>
          </w:tcPr>
          <w:p w14:paraId="780EB986" w14:textId="77777777" w:rsidR="0070585C" w:rsidRPr="00EF77EE" w:rsidRDefault="0070585C" w:rsidP="00936F9F">
            <w:pPr>
              <w:outlineLvl w:val="0"/>
              <w:rPr>
                <w:color w:val="000000"/>
              </w:rPr>
            </w:pPr>
            <w:r w:rsidRPr="00EF77EE">
              <w:rPr>
                <w:color w:val="000000"/>
              </w:rPr>
              <w:t>FKSP</w:t>
            </w:r>
          </w:p>
        </w:tc>
        <w:tc>
          <w:tcPr>
            <w:tcW w:w="2606" w:type="dxa"/>
            <w:shd w:val="clear" w:color="auto" w:fill="auto"/>
          </w:tcPr>
          <w:p w14:paraId="67F035F3" w14:textId="77777777" w:rsidR="0070585C" w:rsidRPr="00EF77EE" w:rsidRDefault="0070585C" w:rsidP="00936F9F">
            <w:pPr>
              <w:jc w:val="right"/>
              <w:outlineLvl w:val="0"/>
              <w:rPr>
                <w:color w:val="000000"/>
              </w:rPr>
            </w:pPr>
            <w:r w:rsidRPr="00EF77EE">
              <w:rPr>
                <w:color w:val="000000"/>
              </w:rPr>
              <w:t>3</w:t>
            </w:r>
            <w:r>
              <w:rPr>
                <w:color w:val="000000"/>
              </w:rPr>
              <w:t>8 599 300</w:t>
            </w:r>
            <w:r w:rsidRPr="00EF77EE">
              <w:rPr>
                <w:color w:val="000000"/>
              </w:rPr>
              <w:t xml:space="preserve"> Kč</w:t>
            </w:r>
          </w:p>
        </w:tc>
      </w:tr>
      <w:tr w:rsidR="0070585C" w:rsidRPr="00EF77EE" w14:paraId="6D927922" w14:textId="77777777" w:rsidTr="00936F9F">
        <w:trPr>
          <w:trHeight w:val="321"/>
        </w:trPr>
        <w:tc>
          <w:tcPr>
            <w:tcW w:w="671" w:type="dxa"/>
            <w:shd w:val="clear" w:color="auto" w:fill="auto"/>
          </w:tcPr>
          <w:p w14:paraId="4C814246" w14:textId="77777777" w:rsidR="0070585C" w:rsidRPr="00EF77EE" w:rsidRDefault="0070585C" w:rsidP="00936F9F">
            <w:pPr>
              <w:outlineLvl w:val="0"/>
            </w:pPr>
          </w:p>
        </w:tc>
        <w:tc>
          <w:tcPr>
            <w:tcW w:w="938" w:type="dxa"/>
            <w:shd w:val="clear" w:color="auto" w:fill="auto"/>
          </w:tcPr>
          <w:p w14:paraId="15D850F9" w14:textId="77777777" w:rsidR="0070585C" w:rsidRPr="00EF77EE" w:rsidRDefault="0070585C" w:rsidP="00936F9F">
            <w:pPr>
              <w:outlineLvl w:val="0"/>
            </w:pPr>
          </w:p>
        </w:tc>
        <w:tc>
          <w:tcPr>
            <w:tcW w:w="4831" w:type="dxa"/>
            <w:shd w:val="clear" w:color="auto" w:fill="auto"/>
          </w:tcPr>
          <w:p w14:paraId="26A71642" w14:textId="77777777" w:rsidR="0070585C" w:rsidRPr="00EF77EE" w:rsidRDefault="0070585C" w:rsidP="00936F9F">
            <w:pPr>
              <w:outlineLvl w:val="0"/>
            </w:pPr>
            <w:r w:rsidRPr="00EF77EE">
              <w:rPr>
                <w:color w:val="000000"/>
              </w:rPr>
              <w:t>OBV</w:t>
            </w:r>
          </w:p>
        </w:tc>
        <w:tc>
          <w:tcPr>
            <w:tcW w:w="2606" w:type="dxa"/>
            <w:shd w:val="clear" w:color="auto" w:fill="auto"/>
          </w:tcPr>
          <w:p w14:paraId="730DA57C" w14:textId="77777777" w:rsidR="0070585C" w:rsidRPr="00EF77EE" w:rsidRDefault="0070585C" w:rsidP="00936F9F">
            <w:pPr>
              <w:jc w:val="right"/>
              <w:outlineLvl w:val="0"/>
            </w:pPr>
            <w:r w:rsidRPr="00EF77EE">
              <w:rPr>
                <w:color w:val="000000"/>
              </w:rPr>
              <w:t>3</w:t>
            </w:r>
            <w:r>
              <w:rPr>
                <w:color w:val="000000"/>
              </w:rPr>
              <w:t>15 641 000</w:t>
            </w:r>
            <w:r w:rsidRPr="00EF77EE">
              <w:rPr>
                <w:color w:val="000000"/>
              </w:rPr>
              <w:t xml:space="preserve"> Kč</w:t>
            </w:r>
          </w:p>
        </w:tc>
      </w:tr>
      <w:tr w:rsidR="0070585C" w:rsidRPr="00996B57" w14:paraId="6D7DD1D4" w14:textId="77777777" w:rsidTr="00936F9F">
        <w:trPr>
          <w:trHeight w:val="321"/>
        </w:trPr>
        <w:tc>
          <w:tcPr>
            <w:tcW w:w="671" w:type="dxa"/>
            <w:shd w:val="clear" w:color="auto" w:fill="auto"/>
          </w:tcPr>
          <w:p w14:paraId="273E0D8E" w14:textId="77777777" w:rsidR="0070585C" w:rsidRPr="00EF77EE" w:rsidRDefault="0070585C" w:rsidP="00936F9F">
            <w:pPr>
              <w:outlineLvl w:val="0"/>
            </w:pPr>
          </w:p>
        </w:tc>
        <w:tc>
          <w:tcPr>
            <w:tcW w:w="938" w:type="dxa"/>
            <w:shd w:val="clear" w:color="auto" w:fill="auto"/>
          </w:tcPr>
          <w:p w14:paraId="129AD256" w14:textId="77777777" w:rsidR="0070585C" w:rsidRPr="00EF77EE" w:rsidRDefault="0070585C" w:rsidP="00936F9F">
            <w:pPr>
              <w:outlineLvl w:val="0"/>
            </w:pPr>
          </w:p>
        </w:tc>
        <w:tc>
          <w:tcPr>
            <w:tcW w:w="4831" w:type="dxa"/>
            <w:shd w:val="clear" w:color="auto" w:fill="auto"/>
          </w:tcPr>
          <w:p w14:paraId="5883E73C" w14:textId="77777777" w:rsidR="0070585C" w:rsidRPr="00EF77EE" w:rsidRDefault="0070585C" w:rsidP="00936F9F">
            <w:pPr>
              <w:rPr>
                <w:color w:val="000000"/>
              </w:rPr>
            </w:pPr>
            <w:r w:rsidRPr="00EF77EE">
              <w:rPr>
                <w:color w:val="000000"/>
              </w:rPr>
              <w:t>limit počtu zaměstnanců</w:t>
            </w:r>
            <w:r w:rsidRPr="00EF77EE">
              <w:rPr>
                <w:color w:val="000000"/>
              </w:rPr>
              <w:tab/>
            </w:r>
            <w:r w:rsidRPr="00EF77EE">
              <w:rPr>
                <w:color w:val="000000"/>
              </w:rPr>
              <w:tab/>
            </w:r>
          </w:p>
        </w:tc>
        <w:tc>
          <w:tcPr>
            <w:tcW w:w="2606" w:type="dxa"/>
            <w:shd w:val="clear" w:color="auto" w:fill="auto"/>
          </w:tcPr>
          <w:p w14:paraId="574AD943" w14:textId="77777777" w:rsidR="0070585C" w:rsidRPr="00EF77EE" w:rsidRDefault="0070585C" w:rsidP="00936F9F">
            <w:pPr>
              <w:jc w:val="right"/>
              <w:outlineLvl w:val="0"/>
              <w:rPr>
                <w:color w:val="000000"/>
              </w:rPr>
            </w:pPr>
            <w:r w:rsidRPr="00EF77EE">
              <w:rPr>
                <w:color w:val="000000"/>
              </w:rPr>
              <w:t>4 39</w:t>
            </w:r>
            <w:r>
              <w:rPr>
                <w:color w:val="000000"/>
              </w:rPr>
              <w:t>4</w:t>
            </w:r>
          </w:p>
        </w:tc>
      </w:tr>
    </w:tbl>
    <w:p w14:paraId="0EE7A0D7" w14:textId="77777777" w:rsidR="0070585C" w:rsidRPr="00362590" w:rsidRDefault="0070585C" w:rsidP="0070585C">
      <w:pPr>
        <w:pStyle w:val="Text"/>
      </w:pPr>
    </w:p>
    <w:p w14:paraId="6711FE18" w14:textId="192FE034" w:rsidR="0070585C" w:rsidRPr="00362590" w:rsidRDefault="00D730BE" w:rsidP="0070585C">
      <w:pPr>
        <w:pStyle w:val="Text"/>
      </w:pPr>
      <w:r>
        <w:t xml:space="preserve">Tento </w:t>
      </w:r>
      <w:r w:rsidRPr="00362590">
        <w:t>rozpis rozpočtu nepřekračuje závazné ukazatele rozpočtu kapitoly 333 stanovené pro přímo řízené organizace, naopak vznikla rozpočtová rezerva pro řešení aktuálních problémů financování PŘO vzešlých z následných dohodovacích řízení, resp. z nároků věcně příslušných útvarů na personální zajištění. Případné deficity v provozních výdajích budou řešeny přednostně zapojením peněžních fondů organ</w:t>
      </w:r>
      <w:r>
        <w:t>izací. Skutečnost bude známa po </w:t>
      </w:r>
      <w:r w:rsidRPr="00362590">
        <w:t>dohodovacích řízeních, kdy již budou známy také výsledky hospodaření za rok 2018.</w:t>
      </w:r>
    </w:p>
    <w:tbl>
      <w:tblPr>
        <w:tblW w:w="9309" w:type="dxa"/>
        <w:tblInd w:w="-34" w:type="dxa"/>
        <w:tblLayout w:type="fixed"/>
        <w:tblLook w:val="04A0" w:firstRow="1" w:lastRow="0" w:firstColumn="1" w:lastColumn="0" w:noHBand="0" w:noVBand="1"/>
      </w:tblPr>
      <w:tblGrid>
        <w:gridCol w:w="690"/>
        <w:gridCol w:w="966"/>
        <w:gridCol w:w="4971"/>
        <w:gridCol w:w="2682"/>
      </w:tblGrid>
      <w:tr w:rsidR="0070585C" w:rsidRPr="00362590" w14:paraId="28BA7904" w14:textId="77777777" w:rsidTr="00936F9F">
        <w:trPr>
          <w:trHeight w:val="45"/>
        </w:trPr>
        <w:tc>
          <w:tcPr>
            <w:tcW w:w="9309" w:type="dxa"/>
            <w:gridSpan w:val="4"/>
            <w:shd w:val="clear" w:color="auto" w:fill="auto"/>
          </w:tcPr>
          <w:p w14:paraId="384DBC15" w14:textId="77777777" w:rsidR="0070585C" w:rsidRPr="00362590" w:rsidRDefault="0070585C" w:rsidP="00936F9F">
            <w:pPr>
              <w:rPr>
                <w:szCs w:val="24"/>
              </w:rPr>
            </w:pPr>
          </w:p>
          <w:p w14:paraId="1935318C" w14:textId="77777777" w:rsidR="0070585C" w:rsidRPr="00362590" w:rsidRDefault="0070585C" w:rsidP="00936F9F">
            <w:pPr>
              <w:rPr>
                <w:szCs w:val="24"/>
              </w:rPr>
            </w:pPr>
            <w:r w:rsidRPr="00362590">
              <w:rPr>
                <w:szCs w:val="24"/>
              </w:rPr>
              <w:t xml:space="preserve">Po rozpisu rozpočtu </w:t>
            </w:r>
            <w:r w:rsidRPr="00362590">
              <w:rPr>
                <w:b/>
                <w:szCs w:val="24"/>
              </w:rPr>
              <w:t>zbývá nerozepsáno</w:t>
            </w:r>
            <w:r w:rsidRPr="00362590">
              <w:rPr>
                <w:szCs w:val="24"/>
              </w:rPr>
              <w:t>:</w:t>
            </w:r>
          </w:p>
        </w:tc>
      </w:tr>
      <w:tr w:rsidR="0070585C" w:rsidRPr="00362590" w14:paraId="40788578" w14:textId="77777777" w:rsidTr="00936F9F">
        <w:trPr>
          <w:trHeight w:val="45"/>
        </w:trPr>
        <w:tc>
          <w:tcPr>
            <w:tcW w:w="1656" w:type="dxa"/>
            <w:gridSpan w:val="2"/>
            <w:shd w:val="clear" w:color="auto" w:fill="auto"/>
          </w:tcPr>
          <w:p w14:paraId="14C147ED" w14:textId="77777777" w:rsidR="0070585C" w:rsidRPr="00362590" w:rsidRDefault="0070585C" w:rsidP="00936F9F">
            <w:pPr>
              <w:outlineLvl w:val="0"/>
              <w:rPr>
                <w:color w:val="000000"/>
              </w:rPr>
            </w:pPr>
            <w:r w:rsidRPr="00362590">
              <w:rPr>
                <w:b/>
              </w:rPr>
              <w:t>NIV celkem</w:t>
            </w:r>
          </w:p>
        </w:tc>
        <w:tc>
          <w:tcPr>
            <w:tcW w:w="4971" w:type="dxa"/>
            <w:shd w:val="clear" w:color="auto" w:fill="auto"/>
          </w:tcPr>
          <w:p w14:paraId="55F10EC9" w14:textId="77777777" w:rsidR="0070585C" w:rsidRPr="00362590" w:rsidRDefault="0070585C" w:rsidP="00936F9F">
            <w:pPr>
              <w:outlineLvl w:val="0"/>
              <w:rPr>
                <w:color w:val="000000"/>
              </w:rPr>
            </w:pPr>
          </w:p>
        </w:tc>
        <w:tc>
          <w:tcPr>
            <w:tcW w:w="2682" w:type="dxa"/>
            <w:shd w:val="clear" w:color="auto" w:fill="auto"/>
          </w:tcPr>
          <w:p w14:paraId="1BD11DFF" w14:textId="77777777" w:rsidR="0070585C" w:rsidRPr="00362590" w:rsidRDefault="0070585C" w:rsidP="00936F9F">
            <w:pPr>
              <w:jc w:val="right"/>
              <w:outlineLvl w:val="0"/>
              <w:rPr>
                <w:b/>
              </w:rPr>
            </w:pPr>
            <w:r>
              <w:rPr>
                <w:b/>
                <w:color w:val="000000"/>
              </w:rPr>
              <w:t>93 045 704</w:t>
            </w:r>
            <w:r w:rsidRPr="00362590">
              <w:rPr>
                <w:b/>
                <w:color w:val="000000"/>
              </w:rPr>
              <w:t xml:space="preserve"> Kč</w:t>
            </w:r>
          </w:p>
        </w:tc>
      </w:tr>
      <w:tr w:rsidR="0070585C" w:rsidRPr="00362590" w14:paraId="65FBDAEE" w14:textId="77777777" w:rsidTr="00936F9F">
        <w:trPr>
          <w:trHeight w:val="45"/>
        </w:trPr>
        <w:tc>
          <w:tcPr>
            <w:tcW w:w="690" w:type="dxa"/>
            <w:shd w:val="clear" w:color="auto" w:fill="auto"/>
          </w:tcPr>
          <w:p w14:paraId="6AA53185" w14:textId="77777777" w:rsidR="0070585C" w:rsidRPr="00362590" w:rsidRDefault="0070585C" w:rsidP="00936F9F">
            <w:pPr>
              <w:outlineLvl w:val="0"/>
            </w:pPr>
          </w:p>
        </w:tc>
        <w:tc>
          <w:tcPr>
            <w:tcW w:w="966" w:type="dxa"/>
            <w:shd w:val="clear" w:color="auto" w:fill="auto"/>
          </w:tcPr>
          <w:p w14:paraId="5E69AEDB" w14:textId="77777777" w:rsidR="0070585C" w:rsidRPr="00362590" w:rsidRDefault="0070585C" w:rsidP="00936F9F">
            <w:pPr>
              <w:outlineLvl w:val="0"/>
            </w:pPr>
            <w:r>
              <w:t>z toho</w:t>
            </w:r>
            <w:r w:rsidRPr="00362590">
              <w:t>:</w:t>
            </w:r>
          </w:p>
        </w:tc>
        <w:tc>
          <w:tcPr>
            <w:tcW w:w="4971" w:type="dxa"/>
            <w:shd w:val="clear" w:color="auto" w:fill="auto"/>
          </w:tcPr>
          <w:p w14:paraId="1765E4D9" w14:textId="77777777" w:rsidR="0070585C" w:rsidRPr="00362590" w:rsidRDefault="0070585C" w:rsidP="00936F9F">
            <w:pPr>
              <w:outlineLvl w:val="0"/>
            </w:pPr>
            <w:r w:rsidRPr="00362590">
              <w:rPr>
                <w:color w:val="000000"/>
              </w:rPr>
              <w:t>mzdové prostředky ve výši</w:t>
            </w:r>
          </w:p>
        </w:tc>
        <w:tc>
          <w:tcPr>
            <w:tcW w:w="2682" w:type="dxa"/>
            <w:shd w:val="clear" w:color="auto" w:fill="auto"/>
          </w:tcPr>
          <w:p w14:paraId="3B0911C7" w14:textId="77777777" w:rsidR="0070585C" w:rsidRPr="00362590" w:rsidRDefault="0070585C" w:rsidP="00936F9F">
            <w:pPr>
              <w:jc w:val="right"/>
              <w:outlineLvl w:val="0"/>
            </w:pPr>
            <w:r>
              <w:rPr>
                <w:color w:val="000000"/>
              </w:rPr>
              <w:t>61 520 594</w:t>
            </w:r>
            <w:r w:rsidRPr="00362590">
              <w:rPr>
                <w:color w:val="000000"/>
              </w:rPr>
              <w:t xml:space="preserve"> Kč</w:t>
            </w:r>
          </w:p>
        </w:tc>
      </w:tr>
      <w:tr w:rsidR="0070585C" w:rsidRPr="00362590" w14:paraId="3BAB3750" w14:textId="77777777" w:rsidTr="00936F9F">
        <w:trPr>
          <w:trHeight w:val="45"/>
        </w:trPr>
        <w:tc>
          <w:tcPr>
            <w:tcW w:w="690" w:type="dxa"/>
            <w:shd w:val="clear" w:color="auto" w:fill="auto"/>
          </w:tcPr>
          <w:p w14:paraId="0A0ABBEC" w14:textId="77777777" w:rsidR="0070585C" w:rsidRPr="00362590" w:rsidRDefault="0070585C" w:rsidP="00936F9F">
            <w:pPr>
              <w:outlineLvl w:val="0"/>
            </w:pPr>
          </w:p>
        </w:tc>
        <w:tc>
          <w:tcPr>
            <w:tcW w:w="966" w:type="dxa"/>
            <w:shd w:val="clear" w:color="auto" w:fill="auto"/>
          </w:tcPr>
          <w:p w14:paraId="58D80FF2" w14:textId="77777777" w:rsidR="0070585C" w:rsidRPr="00362590" w:rsidRDefault="0070585C" w:rsidP="00936F9F">
            <w:pPr>
              <w:outlineLvl w:val="0"/>
            </w:pPr>
          </w:p>
        </w:tc>
        <w:tc>
          <w:tcPr>
            <w:tcW w:w="4971" w:type="dxa"/>
            <w:shd w:val="clear" w:color="auto" w:fill="auto"/>
          </w:tcPr>
          <w:p w14:paraId="73E88E21" w14:textId="77777777" w:rsidR="0070585C" w:rsidRPr="00362590" w:rsidRDefault="0070585C" w:rsidP="00936F9F">
            <w:pPr>
              <w:outlineLvl w:val="0"/>
              <w:rPr>
                <w:color w:val="000000"/>
              </w:rPr>
            </w:pPr>
            <w:r w:rsidRPr="00362590">
              <w:rPr>
                <w:color w:val="000000"/>
              </w:rPr>
              <w:t>v tom: platy</w:t>
            </w:r>
          </w:p>
        </w:tc>
        <w:tc>
          <w:tcPr>
            <w:tcW w:w="2682" w:type="dxa"/>
            <w:shd w:val="clear" w:color="auto" w:fill="auto"/>
          </w:tcPr>
          <w:p w14:paraId="3BA17250" w14:textId="77777777" w:rsidR="0070585C" w:rsidRPr="00362590" w:rsidRDefault="0070585C" w:rsidP="00936F9F">
            <w:pPr>
              <w:jc w:val="right"/>
              <w:outlineLvl w:val="0"/>
            </w:pPr>
            <w:r w:rsidRPr="00362590">
              <w:rPr>
                <w:color w:val="000000"/>
              </w:rPr>
              <w:t>6</w:t>
            </w:r>
            <w:r>
              <w:rPr>
                <w:color w:val="000000"/>
              </w:rPr>
              <w:t>0 273 898</w:t>
            </w:r>
            <w:r w:rsidRPr="00362590">
              <w:rPr>
                <w:color w:val="000000"/>
              </w:rPr>
              <w:t xml:space="preserve"> Kč</w:t>
            </w:r>
          </w:p>
        </w:tc>
      </w:tr>
      <w:tr w:rsidR="0070585C" w:rsidRPr="00362590" w14:paraId="6F713AE8" w14:textId="77777777" w:rsidTr="00936F9F">
        <w:trPr>
          <w:trHeight w:val="45"/>
        </w:trPr>
        <w:tc>
          <w:tcPr>
            <w:tcW w:w="690" w:type="dxa"/>
            <w:shd w:val="clear" w:color="auto" w:fill="auto"/>
          </w:tcPr>
          <w:p w14:paraId="3275C025" w14:textId="77777777" w:rsidR="0070585C" w:rsidRPr="00362590" w:rsidRDefault="0070585C" w:rsidP="00936F9F">
            <w:pPr>
              <w:outlineLvl w:val="0"/>
            </w:pPr>
          </w:p>
        </w:tc>
        <w:tc>
          <w:tcPr>
            <w:tcW w:w="966" w:type="dxa"/>
            <w:shd w:val="clear" w:color="auto" w:fill="auto"/>
          </w:tcPr>
          <w:p w14:paraId="6A591B3D" w14:textId="77777777" w:rsidR="0070585C" w:rsidRPr="00362590" w:rsidRDefault="0070585C" w:rsidP="00936F9F">
            <w:pPr>
              <w:outlineLvl w:val="0"/>
            </w:pPr>
          </w:p>
        </w:tc>
        <w:tc>
          <w:tcPr>
            <w:tcW w:w="4971" w:type="dxa"/>
            <w:shd w:val="clear" w:color="auto" w:fill="auto"/>
          </w:tcPr>
          <w:p w14:paraId="7776DE28" w14:textId="77777777" w:rsidR="0070585C" w:rsidRPr="00362590" w:rsidRDefault="0070585C" w:rsidP="00936F9F">
            <w:pPr>
              <w:ind w:left="33" w:firstLine="709"/>
              <w:outlineLvl w:val="0"/>
              <w:rPr>
                <w:color w:val="000000"/>
              </w:rPr>
            </w:pPr>
            <w:r w:rsidRPr="00362590">
              <w:rPr>
                <w:color w:val="000000"/>
              </w:rPr>
              <w:t>OON (obojí po korekci rozpočtu)</w:t>
            </w:r>
          </w:p>
        </w:tc>
        <w:tc>
          <w:tcPr>
            <w:tcW w:w="2682" w:type="dxa"/>
            <w:shd w:val="clear" w:color="auto" w:fill="auto"/>
          </w:tcPr>
          <w:p w14:paraId="26358D0F" w14:textId="77777777" w:rsidR="0070585C" w:rsidRPr="00362590" w:rsidRDefault="0070585C" w:rsidP="00936F9F">
            <w:pPr>
              <w:jc w:val="right"/>
              <w:outlineLvl w:val="0"/>
              <w:rPr>
                <w:color w:val="000000"/>
              </w:rPr>
            </w:pPr>
            <w:r>
              <w:rPr>
                <w:color w:val="000000"/>
              </w:rPr>
              <w:t>1 246 696</w:t>
            </w:r>
            <w:r w:rsidRPr="00362590">
              <w:rPr>
                <w:color w:val="000000"/>
              </w:rPr>
              <w:t xml:space="preserve"> Kč</w:t>
            </w:r>
          </w:p>
        </w:tc>
      </w:tr>
      <w:tr w:rsidR="0070585C" w:rsidRPr="00362590" w14:paraId="43FC50DA" w14:textId="77777777" w:rsidTr="00936F9F">
        <w:trPr>
          <w:trHeight w:val="45"/>
        </w:trPr>
        <w:tc>
          <w:tcPr>
            <w:tcW w:w="690" w:type="dxa"/>
            <w:shd w:val="clear" w:color="auto" w:fill="auto"/>
          </w:tcPr>
          <w:p w14:paraId="65EDDAE7" w14:textId="77777777" w:rsidR="0070585C" w:rsidRPr="00362590" w:rsidRDefault="0070585C" w:rsidP="00936F9F">
            <w:pPr>
              <w:outlineLvl w:val="0"/>
            </w:pPr>
          </w:p>
        </w:tc>
        <w:tc>
          <w:tcPr>
            <w:tcW w:w="966" w:type="dxa"/>
            <w:shd w:val="clear" w:color="auto" w:fill="auto"/>
          </w:tcPr>
          <w:p w14:paraId="70F3BD3C" w14:textId="77777777" w:rsidR="0070585C" w:rsidRPr="00362590" w:rsidRDefault="0070585C" w:rsidP="00936F9F">
            <w:pPr>
              <w:outlineLvl w:val="0"/>
            </w:pPr>
          </w:p>
        </w:tc>
        <w:tc>
          <w:tcPr>
            <w:tcW w:w="4971" w:type="dxa"/>
            <w:shd w:val="clear" w:color="auto" w:fill="auto"/>
          </w:tcPr>
          <w:p w14:paraId="51AFA786" w14:textId="77777777" w:rsidR="0070585C" w:rsidRPr="00362590" w:rsidRDefault="0070585C" w:rsidP="00936F9F">
            <w:pPr>
              <w:outlineLvl w:val="0"/>
            </w:pPr>
          </w:p>
        </w:tc>
        <w:tc>
          <w:tcPr>
            <w:tcW w:w="2682" w:type="dxa"/>
            <w:shd w:val="clear" w:color="auto" w:fill="auto"/>
          </w:tcPr>
          <w:p w14:paraId="5ABA9BEA" w14:textId="77777777" w:rsidR="0070585C" w:rsidRPr="00362590" w:rsidRDefault="0070585C" w:rsidP="00936F9F">
            <w:pPr>
              <w:jc w:val="right"/>
              <w:outlineLvl w:val="0"/>
            </w:pPr>
          </w:p>
        </w:tc>
      </w:tr>
      <w:tr w:rsidR="0070585C" w:rsidRPr="00362590" w14:paraId="45791B2D" w14:textId="77777777" w:rsidTr="00936F9F">
        <w:trPr>
          <w:trHeight w:val="45"/>
        </w:trPr>
        <w:tc>
          <w:tcPr>
            <w:tcW w:w="690" w:type="dxa"/>
            <w:shd w:val="clear" w:color="auto" w:fill="auto"/>
          </w:tcPr>
          <w:p w14:paraId="41B683CD" w14:textId="77777777" w:rsidR="0070585C" w:rsidRPr="00362590" w:rsidRDefault="0070585C" w:rsidP="00936F9F">
            <w:pPr>
              <w:outlineLvl w:val="0"/>
            </w:pPr>
          </w:p>
        </w:tc>
        <w:tc>
          <w:tcPr>
            <w:tcW w:w="966" w:type="dxa"/>
            <w:shd w:val="clear" w:color="auto" w:fill="auto"/>
          </w:tcPr>
          <w:p w14:paraId="11EB29B1" w14:textId="77777777" w:rsidR="0070585C" w:rsidRPr="00362590" w:rsidRDefault="0070585C" w:rsidP="00936F9F">
            <w:pPr>
              <w:outlineLvl w:val="0"/>
            </w:pPr>
          </w:p>
        </w:tc>
        <w:tc>
          <w:tcPr>
            <w:tcW w:w="4971" w:type="dxa"/>
            <w:shd w:val="clear" w:color="auto" w:fill="auto"/>
          </w:tcPr>
          <w:p w14:paraId="05AB1317" w14:textId="77777777" w:rsidR="0070585C" w:rsidRPr="00362590" w:rsidRDefault="0070585C" w:rsidP="00936F9F">
            <w:pPr>
              <w:outlineLvl w:val="0"/>
              <w:rPr>
                <w:color w:val="000000"/>
              </w:rPr>
            </w:pPr>
          </w:p>
        </w:tc>
        <w:tc>
          <w:tcPr>
            <w:tcW w:w="2682" w:type="dxa"/>
            <w:shd w:val="clear" w:color="auto" w:fill="auto"/>
          </w:tcPr>
          <w:p w14:paraId="0F081E25" w14:textId="77777777" w:rsidR="0070585C" w:rsidRPr="00362590" w:rsidRDefault="0070585C" w:rsidP="00936F9F">
            <w:pPr>
              <w:jc w:val="right"/>
              <w:outlineLvl w:val="0"/>
              <w:rPr>
                <w:color w:val="000000"/>
              </w:rPr>
            </w:pPr>
          </w:p>
        </w:tc>
      </w:tr>
      <w:tr w:rsidR="0070585C" w:rsidRPr="002541C7" w14:paraId="24717C78" w14:textId="77777777" w:rsidTr="00936F9F">
        <w:trPr>
          <w:trHeight w:val="45"/>
        </w:trPr>
        <w:tc>
          <w:tcPr>
            <w:tcW w:w="690" w:type="dxa"/>
            <w:shd w:val="clear" w:color="auto" w:fill="auto"/>
          </w:tcPr>
          <w:p w14:paraId="52146DDB" w14:textId="77777777" w:rsidR="0070585C" w:rsidRPr="00362590" w:rsidRDefault="0070585C" w:rsidP="00936F9F">
            <w:pPr>
              <w:outlineLvl w:val="0"/>
            </w:pPr>
          </w:p>
        </w:tc>
        <w:tc>
          <w:tcPr>
            <w:tcW w:w="966" w:type="dxa"/>
            <w:shd w:val="clear" w:color="auto" w:fill="auto"/>
          </w:tcPr>
          <w:p w14:paraId="74C74299" w14:textId="77777777" w:rsidR="0070585C" w:rsidRPr="00362590" w:rsidRDefault="0070585C" w:rsidP="00936F9F">
            <w:pPr>
              <w:outlineLvl w:val="0"/>
            </w:pPr>
          </w:p>
        </w:tc>
        <w:tc>
          <w:tcPr>
            <w:tcW w:w="4971" w:type="dxa"/>
            <w:shd w:val="clear" w:color="auto" w:fill="auto"/>
          </w:tcPr>
          <w:p w14:paraId="1B52D1D5" w14:textId="77777777" w:rsidR="0070585C" w:rsidRPr="002541C7" w:rsidRDefault="0070585C" w:rsidP="00936F9F">
            <w:pPr>
              <w:outlineLvl w:val="0"/>
            </w:pPr>
            <w:r w:rsidRPr="002541C7">
              <w:rPr>
                <w:color w:val="000000"/>
              </w:rPr>
              <w:t xml:space="preserve">ostatní běžné výdaje </w:t>
            </w:r>
          </w:p>
        </w:tc>
        <w:tc>
          <w:tcPr>
            <w:tcW w:w="2682" w:type="dxa"/>
            <w:shd w:val="clear" w:color="auto" w:fill="auto"/>
          </w:tcPr>
          <w:p w14:paraId="5348A1BC" w14:textId="77777777" w:rsidR="0070585C" w:rsidRPr="002541C7" w:rsidRDefault="0070585C" w:rsidP="00936F9F">
            <w:pPr>
              <w:jc w:val="right"/>
              <w:outlineLvl w:val="0"/>
            </w:pPr>
            <w:r w:rsidRPr="002541C7">
              <w:rPr>
                <w:color w:val="000000"/>
              </w:rPr>
              <w:t>9 401 976 Kč</w:t>
            </w:r>
          </w:p>
        </w:tc>
      </w:tr>
    </w:tbl>
    <w:p w14:paraId="30C0D2E6" w14:textId="77777777" w:rsidR="00B15DCC" w:rsidRDefault="00B15DCC" w:rsidP="00B15DCC">
      <w:pPr>
        <w:pStyle w:val="Text"/>
      </w:pPr>
    </w:p>
    <w:p w14:paraId="70678A15" w14:textId="77777777" w:rsidR="00C069EF" w:rsidRPr="002541C7" w:rsidRDefault="00C069EF" w:rsidP="0031482F">
      <w:pPr>
        <w:pStyle w:val="Nadpis4"/>
      </w:pPr>
      <w:bookmarkStart w:id="125" w:name="_Toc5968855"/>
      <w:r w:rsidRPr="002541C7">
        <w:t>Vý</w:t>
      </w:r>
      <w:r w:rsidR="001D57C8" w:rsidRPr="002541C7">
        <w:t>daje na programové financování</w:t>
      </w:r>
      <w:bookmarkEnd w:id="125"/>
      <w:r w:rsidRPr="002541C7">
        <w:t xml:space="preserve">  </w:t>
      </w:r>
    </w:p>
    <w:p w14:paraId="4F29413D" w14:textId="77777777" w:rsidR="00B63D7E" w:rsidRPr="002541C7" w:rsidRDefault="00B63D7E" w:rsidP="00C32B00">
      <w:pPr>
        <w:pStyle w:val="Text"/>
      </w:pPr>
    </w:p>
    <w:p w14:paraId="7CB89381" w14:textId="77777777" w:rsidR="0002148A" w:rsidRPr="0002148A" w:rsidRDefault="0002148A" w:rsidP="0002148A">
      <w:pPr>
        <w:pStyle w:val="Text"/>
      </w:pPr>
      <w:r w:rsidRPr="002541C7">
        <w:t>Celkový rozpočet výdajů PŘO stanovený na programové</w:t>
      </w:r>
      <w:r w:rsidRPr="0002148A">
        <w:t xml:space="preserve"> financování činí </w:t>
      </w:r>
      <w:r w:rsidRPr="0002148A">
        <w:rPr>
          <w:b/>
        </w:rPr>
        <w:t>celkem 65 000 000 Kč</w:t>
      </w:r>
      <w:r w:rsidRPr="0002148A">
        <w:t xml:space="preserve"> kapitálových výdajů. </w:t>
      </w:r>
    </w:p>
    <w:p w14:paraId="4FFFAD9B" w14:textId="2DF0797E" w:rsidR="0002148A" w:rsidRPr="0002148A" w:rsidRDefault="0002148A" w:rsidP="0002148A">
      <w:pPr>
        <w:pStyle w:val="Text"/>
      </w:pPr>
      <w:r w:rsidRPr="0002148A">
        <w:rPr>
          <w:b/>
        </w:rPr>
        <w:t>Program 133 110</w:t>
      </w:r>
      <w:r w:rsidRPr="0002148A">
        <w:t xml:space="preserve"> </w:t>
      </w:r>
      <w:r w:rsidRPr="0002148A">
        <w:rPr>
          <w:i/>
        </w:rPr>
        <w:t>Rozvoj a obnova MTZ speciálních škol a systému náhradní výchovné péče</w:t>
      </w:r>
      <w:r w:rsidRPr="0002148A" w:rsidDel="00A7024E">
        <w:t xml:space="preserve"> </w:t>
      </w:r>
      <w:r w:rsidRPr="0002148A">
        <w:t xml:space="preserve">– v celkové výši </w:t>
      </w:r>
      <w:r w:rsidRPr="0002148A">
        <w:rPr>
          <w:b/>
        </w:rPr>
        <w:t>60 000 000 Kč</w:t>
      </w:r>
      <w:r w:rsidRPr="0002148A">
        <w:t xml:space="preserve"> je určen k výstavbě a obnově budov škol a školských zařízení zřizovaných podle zákona č. 109/2002 Sb., o výkonu ústavní výchovy a ochranné výchovy </w:t>
      </w:r>
      <w:r w:rsidRPr="0002148A">
        <w:br/>
      </w:r>
      <w:r w:rsidRPr="0002148A">
        <w:lastRenderedPageBreak/>
        <w:t>ve školských zařízeních a o preventivně výchovné péči ve školských zařízeních a změně dalších zákonů, ve znění pozdějších předpisů a zákonem č. 359/1999 Sb., o sociálně-právní ochraně dětí, ve znění pozdějších předpisů. Zahrnuje nezbytné prostředky na plnění úkolů vyplývajících z těchto zákonů a dále pak prostředky k realizaci opatření vyplývajících z vyhlášky č. 602/2006 Sb., kterou se mění vyhláška č. 137/2004 Sb., o hygienických požadavcích na stravovací služby a o zásadách osobní a provozní hygieny při činnostech epidemiologicky závažných, kterou se stanoví nové požadavky na stravovací služby, vyhlášky č. 410/2005 Sb. o hygienických požadavcích na prostory a provoz zařízení a provozoven pro výchovu a vzdělávání dětí a mladistvých, ve znění pozdějších předpisů, jíž jsou stanoveny hygienické požadavky na provoz škol</w:t>
      </w:r>
      <w:r w:rsidR="000B323D">
        <w:t xml:space="preserve"> a školských zařízení</w:t>
      </w:r>
      <w:r w:rsidRPr="0002148A">
        <w:t>.</w:t>
      </w:r>
    </w:p>
    <w:p w14:paraId="1EB3E2F6" w14:textId="77777777" w:rsidR="0002148A" w:rsidRPr="0002148A" w:rsidRDefault="0002148A" w:rsidP="0002148A">
      <w:pPr>
        <w:pStyle w:val="Text"/>
        <w:rPr>
          <w:sz w:val="20"/>
        </w:rPr>
      </w:pPr>
      <w:r w:rsidRPr="0002148A">
        <w:t>Pro program byla vyhlášena na konci roku 2018 výzva k předložení žádostí o poskytnutí dotace na odstranění potenciálních „havarijních stavů“ ohrožujících zdraví a život osob; na odstranění důsledků zastarávání technického stavu objektů; pro energeticko-úsporná opatření a nezbytnou obnovu a pořízení interiérového, strojního a přístrojového vybavení pro zajištění výuky, stravování a ubytování klientů investičního charakteru, z nichž výběrová komise navrhla k realizaci 45 akcí v celkové výši dotace 45 804 207 Kč.</w:t>
      </w:r>
    </w:p>
    <w:p w14:paraId="7616AE10" w14:textId="43A0C560" w:rsidR="0002148A" w:rsidRPr="0002148A" w:rsidRDefault="0002148A" w:rsidP="0002148A">
      <w:pPr>
        <w:pStyle w:val="Text"/>
      </w:pPr>
      <w:r w:rsidRPr="0002148A">
        <w:t xml:space="preserve">Do financování programu 133 110 budou v průběhu roku 2019 zapojeny i prostředky nároků z nespotřebovaných profilujících výdajů ve výši 36 378 224,01 Kč. Program končí k 30. 6. 2019. Zbývající prostředky programu 133 110 Rozvoj a obnova materiálně technické základny speciálních škol a systému náhradní výchovné </w:t>
      </w:r>
      <w:r w:rsidR="000B323D">
        <w:t>budou převedeny</w:t>
      </w:r>
      <w:r w:rsidRPr="0002148A">
        <w:t xml:space="preserve"> do navazujícího programu 133 120 Rozvoj a obnova materiálně technické základny speciálních škol a systému náhradní výchovné péče, který je v současné době připravován.</w:t>
      </w:r>
    </w:p>
    <w:p w14:paraId="5F208C94" w14:textId="586FC028" w:rsidR="0002148A" w:rsidRPr="00E95E76" w:rsidRDefault="0002148A" w:rsidP="0002148A">
      <w:pPr>
        <w:pStyle w:val="Text"/>
      </w:pPr>
      <w:r w:rsidRPr="0002148A">
        <w:t xml:space="preserve">Navazující </w:t>
      </w:r>
      <w:r w:rsidRPr="0002148A">
        <w:rPr>
          <w:b/>
        </w:rPr>
        <w:t>program</w:t>
      </w:r>
      <w:r w:rsidRPr="0002148A">
        <w:t xml:space="preserve"> </w:t>
      </w:r>
      <w:r w:rsidRPr="0002148A">
        <w:rPr>
          <w:b/>
        </w:rPr>
        <w:t>133 120</w:t>
      </w:r>
      <w:r w:rsidRPr="0002148A">
        <w:t xml:space="preserve"> </w:t>
      </w:r>
      <w:r w:rsidRPr="0002148A">
        <w:rPr>
          <w:i/>
        </w:rPr>
        <w:t>Rozvoj a obnova materiálně technické základny speciálních škol a systému náhradní výchovné péče</w:t>
      </w:r>
      <w:r w:rsidRPr="0002148A">
        <w:t xml:space="preserve"> není zat</w:t>
      </w:r>
      <w:r w:rsidR="00691319">
        <w:t>ím schválen a jeho zpracování a </w:t>
      </w:r>
      <w:r w:rsidRPr="0002148A">
        <w:t xml:space="preserve">předložení Ministerstvu financí ke schválení se očekává v druhé polovině roku, kdy dojde k ukončení programu 133 110. Proto je pro něj již pro tento rok rozpočtováno </w:t>
      </w:r>
      <w:r w:rsidRPr="0002148A">
        <w:rPr>
          <w:b/>
        </w:rPr>
        <w:t>5 000 000 Kč</w:t>
      </w:r>
      <w:r w:rsidRPr="0002148A">
        <w:t xml:space="preserve">, případně s posílením z programu 133 110. Následně budou pro program </w:t>
      </w:r>
      <w:r w:rsidR="000B323D">
        <w:t>zveřejněny</w:t>
      </w:r>
      <w:r w:rsidR="000B323D" w:rsidRPr="0002148A">
        <w:t xml:space="preserve"> </w:t>
      </w:r>
      <w:r w:rsidRPr="0002148A">
        <w:t>nové výzvy.</w:t>
      </w:r>
    </w:p>
    <w:p w14:paraId="7EBDF1D6" w14:textId="77777777" w:rsidR="00947447" w:rsidRPr="002764E5" w:rsidRDefault="00947447" w:rsidP="00DA5A48">
      <w:pPr>
        <w:pStyle w:val="Text"/>
      </w:pPr>
    </w:p>
    <w:p w14:paraId="57F3AA68" w14:textId="77777777" w:rsidR="003C047A" w:rsidRPr="002764E5" w:rsidRDefault="003C047A" w:rsidP="003C047A">
      <w:pPr>
        <w:pStyle w:val="Zkladntext"/>
        <w:rPr>
          <w:b/>
          <w:i/>
          <w:sz w:val="20"/>
        </w:rPr>
      </w:pPr>
      <w:r w:rsidRPr="002764E5">
        <w:rPr>
          <w:b/>
          <w:i/>
          <w:sz w:val="20"/>
        </w:rPr>
        <w:t>Tabulkové přílohy k</w:t>
      </w:r>
      <w:r w:rsidR="00B633F1" w:rsidRPr="002764E5">
        <w:rPr>
          <w:b/>
          <w:i/>
          <w:sz w:val="20"/>
        </w:rPr>
        <w:t>e kapitole C.II.3:</w:t>
      </w:r>
    </w:p>
    <w:p w14:paraId="39DD47CD" w14:textId="77777777" w:rsidR="00A33D15" w:rsidRPr="002764E5" w:rsidRDefault="00A33D15" w:rsidP="00A33D15">
      <w:pPr>
        <w:pStyle w:val="Zkladntext"/>
        <w:spacing w:after="0"/>
        <w:rPr>
          <w:sz w:val="20"/>
        </w:rPr>
      </w:pPr>
      <w:r w:rsidRPr="002764E5">
        <w:rPr>
          <w:sz w:val="20"/>
        </w:rPr>
        <w:t>Tabulka č. 1</w:t>
      </w:r>
      <w:r w:rsidRPr="002764E5">
        <w:rPr>
          <w:sz w:val="20"/>
        </w:rPr>
        <w:tab/>
      </w:r>
      <w:r w:rsidR="00131865" w:rsidRPr="00131865">
        <w:rPr>
          <w:sz w:val="20"/>
        </w:rPr>
        <w:t>Rozpočet RgŠ na rok 2019 -  výdaje PŘO</w:t>
      </w:r>
    </w:p>
    <w:p w14:paraId="79184C26" w14:textId="77777777" w:rsidR="00A33D15" w:rsidRPr="002764E5" w:rsidRDefault="00A33D15" w:rsidP="00A33D15">
      <w:pPr>
        <w:pStyle w:val="Zkladntext"/>
        <w:spacing w:after="0"/>
        <w:rPr>
          <w:sz w:val="20"/>
        </w:rPr>
      </w:pPr>
      <w:r w:rsidRPr="002764E5">
        <w:rPr>
          <w:sz w:val="20"/>
        </w:rPr>
        <w:t>Tabulka č. 2</w:t>
      </w:r>
      <w:r w:rsidRPr="002764E5">
        <w:rPr>
          <w:sz w:val="20"/>
        </w:rPr>
        <w:tab/>
      </w:r>
      <w:r w:rsidR="00131865" w:rsidRPr="00131865">
        <w:rPr>
          <w:sz w:val="20"/>
        </w:rPr>
        <w:t>Závazné ukazatele PŘO v roce 2019</w:t>
      </w:r>
    </w:p>
    <w:p w14:paraId="342E555A" w14:textId="77777777" w:rsidR="003C047A" w:rsidRPr="00853611" w:rsidRDefault="003C047A" w:rsidP="003C047A">
      <w:pPr>
        <w:pStyle w:val="Zkladntext"/>
        <w:rPr>
          <w:szCs w:val="24"/>
          <w:highlight w:val="yellow"/>
        </w:rPr>
      </w:pPr>
    </w:p>
    <w:p w14:paraId="6145DD5C" w14:textId="77777777" w:rsidR="003F61AA" w:rsidRDefault="003F61AA" w:rsidP="003F61AA">
      <w:pPr>
        <w:pStyle w:val="Nadpis2"/>
        <w:numPr>
          <w:ilvl w:val="0"/>
          <w:numId w:val="0"/>
        </w:numPr>
        <w:ind w:left="576"/>
        <w:rPr>
          <w:highlight w:val="yellow"/>
        </w:rPr>
      </w:pPr>
    </w:p>
    <w:p w14:paraId="42EA8A9E" w14:textId="77777777" w:rsidR="003F61AA" w:rsidRDefault="003F61AA">
      <w:pPr>
        <w:jc w:val="left"/>
        <w:rPr>
          <w:b/>
          <w:sz w:val="28"/>
          <w:highlight w:val="yellow"/>
          <w:lang w:eastAsia="en-US"/>
        </w:rPr>
      </w:pPr>
      <w:r>
        <w:rPr>
          <w:highlight w:val="yellow"/>
        </w:rPr>
        <w:br w:type="page"/>
      </w:r>
    </w:p>
    <w:p w14:paraId="708D27CC" w14:textId="504A068F" w:rsidR="008678CF" w:rsidRDefault="00C069EF" w:rsidP="00F94A17">
      <w:pPr>
        <w:pStyle w:val="Nadpis2"/>
      </w:pPr>
      <w:r w:rsidRPr="00F94A17">
        <w:rPr>
          <w:highlight w:val="yellow"/>
        </w:rPr>
        <w:lastRenderedPageBreak/>
        <w:br w:type="page"/>
      </w:r>
      <w:bookmarkStart w:id="126" w:name="_Toc5968856"/>
      <w:bookmarkStart w:id="127" w:name="_Toc146689787"/>
      <w:bookmarkEnd w:id="8"/>
      <w:r w:rsidR="008678CF" w:rsidRPr="00F94A17">
        <w:lastRenderedPageBreak/>
        <w:t>Podpora činnosti v oblasti mládeže</w:t>
      </w:r>
      <w:bookmarkEnd w:id="126"/>
    </w:p>
    <w:p w14:paraId="723CAF99" w14:textId="77777777" w:rsidR="008678CF" w:rsidRDefault="008678CF" w:rsidP="008678CF">
      <w:pPr>
        <w:rPr>
          <w:lang w:eastAsia="en-US"/>
        </w:rPr>
      </w:pPr>
    </w:p>
    <w:tbl>
      <w:tblPr>
        <w:tblW w:w="0" w:type="auto"/>
        <w:tblInd w:w="108" w:type="dxa"/>
        <w:tblLook w:val="04A0" w:firstRow="1" w:lastRow="0" w:firstColumn="1" w:lastColumn="0" w:noHBand="0" w:noVBand="1"/>
      </w:tblPr>
      <w:tblGrid>
        <w:gridCol w:w="1242"/>
        <w:gridCol w:w="4571"/>
        <w:gridCol w:w="3259"/>
      </w:tblGrid>
      <w:tr w:rsidR="008678CF" w14:paraId="72A8F8ED" w14:textId="77777777" w:rsidTr="008678CF">
        <w:tc>
          <w:tcPr>
            <w:tcW w:w="5813" w:type="dxa"/>
            <w:gridSpan w:val="2"/>
            <w:hideMark/>
          </w:tcPr>
          <w:p w14:paraId="1D296F67" w14:textId="77777777" w:rsidR="008678CF" w:rsidRDefault="008678CF">
            <w:pPr>
              <w:spacing w:before="120" w:line="256" w:lineRule="auto"/>
              <w:rPr>
                <w:b/>
                <w:lang w:eastAsia="en-US"/>
              </w:rPr>
            </w:pPr>
            <w:r>
              <w:rPr>
                <w:b/>
                <w:lang w:eastAsia="en-US"/>
              </w:rPr>
              <w:t>Rozpočet celkem na tento výdajový blok činí</w:t>
            </w:r>
            <w:r>
              <w:rPr>
                <w:rStyle w:val="Znakapoznpodarou"/>
                <w:b/>
                <w:lang w:eastAsia="en-US"/>
              </w:rPr>
              <w:footnoteReference w:id="17"/>
            </w:r>
          </w:p>
        </w:tc>
        <w:tc>
          <w:tcPr>
            <w:tcW w:w="3259" w:type="dxa"/>
            <w:hideMark/>
          </w:tcPr>
          <w:p w14:paraId="59A38EC5" w14:textId="77777777" w:rsidR="008678CF" w:rsidRDefault="005550D3">
            <w:pPr>
              <w:spacing w:before="120" w:line="256" w:lineRule="auto"/>
              <w:jc w:val="right"/>
              <w:rPr>
                <w:b/>
                <w:lang w:eastAsia="en-US"/>
              </w:rPr>
            </w:pPr>
            <w:r>
              <w:rPr>
                <w:lang w:eastAsia="en-US"/>
              </w:rPr>
              <w:t>276 266 938</w:t>
            </w:r>
            <w:r w:rsidR="008678CF">
              <w:rPr>
                <w:lang w:eastAsia="en-US"/>
              </w:rPr>
              <w:t xml:space="preserve"> Kč</w:t>
            </w:r>
          </w:p>
        </w:tc>
      </w:tr>
      <w:tr w:rsidR="008678CF" w14:paraId="7DCF74D6" w14:textId="77777777" w:rsidTr="008678CF">
        <w:tc>
          <w:tcPr>
            <w:tcW w:w="1242" w:type="dxa"/>
            <w:hideMark/>
          </w:tcPr>
          <w:p w14:paraId="57628260" w14:textId="77777777" w:rsidR="008678CF" w:rsidRDefault="008678CF">
            <w:pPr>
              <w:spacing w:before="120" w:line="256" w:lineRule="auto"/>
              <w:rPr>
                <w:b/>
                <w:lang w:eastAsia="en-US"/>
              </w:rPr>
            </w:pPr>
            <w:r>
              <w:rPr>
                <w:lang w:eastAsia="en-US"/>
              </w:rPr>
              <w:t xml:space="preserve">v tom: </w:t>
            </w:r>
          </w:p>
        </w:tc>
        <w:tc>
          <w:tcPr>
            <w:tcW w:w="4571" w:type="dxa"/>
            <w:hideMark/>
          </w:tcPr>
          <w:p w14:paraId="79307477" w14:textId="77777777" w:rsidR="008678CF" w:rsidRDefault="008678CF">
            <w:pPr>
              <w:spacing w:before="120" w:line="256" w:lineRule="auto"/>
              <w:rPr>
                <w:b/>
                <w:lang w:eastAsia="en-US"/>
              </w:rPr>
            </w:pPr>
            <w:r>
              <w:rPr>
                <w:lang w:eastAsia="en-US"/>
              </w:rPr>
              <w:t>běžné výdaje</w:t>
            </w:r>
          </w:p>
        </w:tc>
        <w:tc>
          <w:tcPr>
            <w:tcW w:w="3259" w:type="dxa"/>
            <w:hideMark/>
          </w:tcPr>
          <w:p w14:paraId="52F0E008" w14:textId="77777777" w:rsidR="008678CF" w:rsidRDefault="005550D3">
            <w:pPr>
              <w:spacing w:before="120" w:line="256" w:lineRule="auto"/>
              <w:jc w:val="right"/>
              <w:rPr>
                <w:lang w:eastAsia="en-US"/>
              </w:rPr>
            </w:pPr>
            <w:r>
              <w:rPr>
                <w:lang w:eastAsia="en-US"/>
              </w:rPr>
              <w:t>251 072 838</w:t>
            </w:r>
            <w:r w:rsidR="008678CF">
              <w:rPr>
                <w:lang w:eastAsia="en-US"/>
              </w:rPr>
              <w:t xml:space="preserve"> Kč</w:t>
            </w:r>
          </w:p>
        </w:tc>
      </w:tr>
      <w:tr w:rsidR="008678CF" w14:paraId="53349F43" w14:textId="77777777" w:rsidTr="008678CF">
        <w:tc>
          <w:tcPr>
            <w:tcW w:w="1242" w:type="dxa"/>
          </w:tcPr>
          <w:p w14:paraId="1AC21F18" w14:textId="77777777" w:rsidR="008678CF" w:rsidRDefault="008678CF">
            <w:pPr>
              <w:spacing w:before="120" w:line="256" w:lineRule="auto"/>
              <w:rPr>
                <w:b/>
                <w:lang w:eastAsia="en-US"/>
              </w:rPr>
            </w:pPr>
          </w:p>
        </w:tc>
        <w:tc>
          <w:tcPr>
            <w:tcW w:w="4571" w:type="dxa"/>
            <w:hideMark/>
          </w:tcPr>
          <w:p w14:paraId="242F9E2F" w14:textId="77777777" w:rsidR="008678CF" w:rsidRDefault="008678CF">
            <w:pPr>
              <w:spacing w:line="256" w:lineRule="auto"/>
              <w:rPr>
                <w:b/>
                <w:lang w:eastAsia="en-US"/>
              </w:rPr>
            </w:pPr>
            <w:r>
              <w:rPr>
                <w:lang w:eastAsia="en-US"/>
              </w:rPr>
              <w:t>kapitálové výdaje na programové financování</w:t>
            </w:r>
          </w:p>
        </w:tc>
        <w:tc>
          <w:tcPr>
            <w:tcW w:w="3259" w:type="dxa"/>
            <w:hideMark/>
          </w:tcPr>
          <w:p w14:paraId="51D428F8" w14:textId="77777777" w:rsidR="008678CF" w:rsidRDefault="008678CF">
            <w:pPr>
              <w:spacing w:line="256" w:lineRule="auto"/>
              <w:jc w:val="right"/>
              <w:rPr>
                <w:b/>
                <w:lang w:eastAsia="en-US"/>
              </w:rPr>
            </w:pPr>
            <w:r>
              <w:rPr>
                <w:lang w:eastAsia="en-US"/>
              </w:rPr>
              <w:t>25 194 100 Kč</w:t>
            </w:r>
          </w:p>
        </w:tc>
      </w:tr>
    </w:tbl>
    <w:p w14:paraId="24CEC022" w14:textId="77777777" w:rsidR="008678CF" w:rsidRDefault="008678CF" w:rsidP="008678CF">
      <w:pPr>
        <w:spacing w:before="120" w:after="120"/>
        <w:ind w:left="1276" w:hanging="1276"/>
      </w:pPr>
      <w:r>
        <w:t>Finanční prostředky jsou určeny pro:</w:t>
      </w:r>
    </w:p>
    <w:p w14:paraId="2AAD9652" w14:textId="4A2104A6" w:rsidR="008678CF" w:rsidRDefault="008678CF" w:rsidP="005B6E93">
      <w:pPr>
        <w:numPr>
          <w:ilvl w:val="0"/>
          <w:numId w:val="58"/>
        </w:numPr>
        <w:tabs>
          <w:tab w:val="num" w:pos="1068"/>
        </w:tabs>
        <w:ind w:left="1066" w:hanging="357"/>
      </w:pPr>
      <w:r>
        <w:t xml:space="preserve">neinvestiční dotace </w:t>
      </w:r>
      <w:r w:rsidR="00E01FDB">
        <w:t>nestátním neziskovým organizacím (dále jen „</w:t>
      </w:r>
      <w:r>
        <w:t>NNO</w:t>
      </w:r>
      <w:r w:rsidR="00E01FDB">
        <w:t>“)</w:t>
      </w:r>
    </w:p>
    <w:p w14:paraId="606C8395" w14:textId="77777777" w:rsidR="008678CF" w:rsidRDefault="008678CF" w:rsidP="005B6E93">
      <w:pPr>
        <w:numPr>
          <w:ilvl w:val="0"/>
          <w:numId w:val="58"/>
        </w:numPr>
        <w:tabs>
          <w:tab w:val="num" w:pos="1068"/>
        </w:tabs>
        <w:ind w:left="1066" w:hanging="357"/>
      </w:pPr>
      <w:r>
        <w:t>dotace na podporu česko-německé spolupráce v oblasti mládeže</w:t>
      </w:r>
    </w:p>
    <w:p w14:paraId="3E00C305" w14:textId="77777777" w:rsidR="008678CF" w:rsidRDefault="008678CF" w:rsidP="005B6E93">
      <w:pPr>
        <w:numPr>
          <w:ilvl w:val="0"/>
          <w:numId w:val="58"/>
        </w:numPr>
        <w:tabs>
          <w:tab w:val="num" w:pos="1068"/>
        </w:tabs>
        <w:ind w:left="1066" w:hanging="357"/>
      </w:pPr>
      <w:r>
        <w:t>dotace na podporu mládeže na krajské úrovni</w:t>
      </w:r>
    </w:p>
    <w:p w14:paraId="3E467321" w14:textId="77777777" w:rsidR="008678CF" w:rsidRDefault="008678CF" w:rsidP="005B6E93">
      <w:pPr>
        <w:numPr>
          <w:ilvl w:val="0"/>
          <w:numId w:val="58"/>
        </w:numPr>
        <w:tabs>
          <w:tab w:val="num" w:pos="1068"/>
        </w:tabs>
        <w:ind w:left="1066" w:hanging="357"/>
      </w:pPr>
      <w:r>
        <w:t>dotace na zabezpečení ostatních soutěží mimo OPŘO</w:t>
      </w:r>
    </w:p>
    <w:p w14:paraId="2FBB8A70" w14:textId="77777777" w:rsidR="008678CF" w:rsidRDefault="008678CF" w:rsidP="005B6E93">
      <w:pPr>
        <w:numPr>
          <w:ilvl w:val="0"/>
          <w:numId w:val="58"/>
        </w:numPr>
        <w:tabs>
          <w:tab w:val="num" w:pos="1068"/>
        </w:tabs>
        <w:ind w:left="1066" w:hanging="357"/>
      </w:pPr>
      <w:r>
        <w:t>kapitálové výdaje na programové financování.</w:t>
      </w:r>
    </w:p>
    <w:p w14:paraId="48BAAF2C" w14:textId="77777777" w:rsidR="008678CF" w:rsidRDefault="008678CF" w:rsidP="008678CF">
      <w:pPr>
        <w:ind w:left="1066"/>
      </w:pPr>
    </w:p>
    <w:p w14:paraId="3CDF0593" w14:textId="77777777" w:rsidR="008678CF" w:rsidRDefault="008678CF" w:rsidP="00524496">
      <w:pPr>
        <w:pStyle w:val="Nadpis3"/>
      </w:pPr>
      <w:r>
        <w:t xml:space="preserve"> </w:t>
      </w:r>
      <w:bookmarkStart w:id="128" w:name="_Toc478632276"/>
      <w:bookmarkStart w:id="129" w:name="_Toc5968857"/>
      <w:r>
        <w:t>Neinvestiční dotace neziskovým a podobným organizacím</w:t>
      </w:r>
      <w:bookmarkEnd w:id="128"/>
      <w:bookmarkEnd w:id="129"/>
    </w:p>
    <w:p w14:paraId="52E5A308" w14:textId="77777777" w:rsidR="000C3BFF" w:rsidRDefault="000C3BFF" w:rsidP="008678CF">
      <w:pPr>
        <w:pStyle w:val="Text"/>
      </w:pPr>
    </w:p>
    <w:p w14:paraId="4EAC4073" w14:textId="6F9A34AA" w:rsidR="008678CF" w:rsidRDefault="008678CF" w:rsidP="008678CF">
      <w:pPr>
        <w:pStyle w:val="Text"/>
        <w:rPr>
          <w:rFonts w:cs="Times New Roman"/>
        </w:rPr>
      </w:pPr>
      <w:r>
        <w:t>Neinvestiční dotace NNO na využití volného času dětí a mládeže jsou určeny na zabezpečení úkolů vyplývajících z vyhlášených Programů</w:t>
      </w:r>
      <w:r w:rsidR="00691319">
        <w:t xml:space="preserve"> státní podpory práce s dětmi a </w:t>
      </w:r>
      <w:r>
        <w:t>mládeží pro NNO na léta 2017 – 2020. MŠMT vyhlášením těchto Programů podporuje rozvoj nestátního neziskového sektoru v oblasti práce s dětmi a mládeží mimo školu a rodinu. Dalším cílem Programů je především podpora:</w:t>
      </w:r>
    </w:p>
    <w:p w14:paraId="41314DC0" w14:textId="77777777" w:rsidR="008678CF" w:rsidRDefault="008678CF" w:rsidP="005B6E93">
      <w:pPr>
        <w:numPr>
          <w:ilvl w:val="0"/>
          <w:numId w:val="59"/>
        </w:numPr>
        <w:tabs>
          <w:tab w:val="left" w:pos="720"/>
        </w:tabs>
        <w:suppressAutoHyphens/>
        <w:rPr>
          <w:szCs w:val="24"/>
        </w:rPr>
      </w:pPr>
      <w:r>
        <w:rPr>
          <w:szCs w:val="24"/>
        </w:rPr>
        <w:t xml:space="preserve">vytváření nabídky volnočasových a dalších vybraných aktivit v rámci členské základny jednotlivých NNO, </w:t>
      </w:r>
    </w:p>
    <w:p w14:paraId="1B808DA7" w14:textId="77777777" w:rsidR="008678CF" w:rsidRDefault="008678CF" w:rsidP="005B6E93">
      <w:pPr>
        <w:numPr>
          <w:ilvl w:val="0"/>
          <w:numId w:val="59"/>
        </w:numPr>
        <w:tabs>
          <w:tab w:val="left" w:pos="720"/>
        </w:tabs>
        <w:suppressAutoHyphens/>
        <w:rPr>
          <w:szCs w:val="24"/>
        </w:rPr>
      </w:pPr>
      <w:r>
        <w:rPr>
          <w:szCs w:val="24"/>
        </w:rPr>
        <w:t xml:space="preserve">vytváření nabídky volnočasových a vybraných cílených aktivit NNO určených pro neorganizované děti a mládež,  </w:t>
      </w:r>
    </w:p>
    <w:p w14:paraId="2DC6FD69" w14:textId="77777777" w:rsidR="008678CF" w:rsidRDefault="008678CF" w:rsidP="005B6E93">
      <w:pPr>
        <w:numPr>
          <w:ilvl w:val="0"/>
          <w:numId w:val="59"/>
        </w:numPr>
        <w:tabs>
          <w:tab w:val="left" w:pos="720"/>
        </w:tabs>
        <w:suppressAutoHyphens/>
        <w:rPr>
          <w:szCs w:val="24"/>
        </w:rPr>
      </w:pPr>
      <w:r>
        <w:rPr>
          <w:szCs w:val="24"/>
        </w:rPr>
        <w:t>významných mezinárodních a celostátních akcí určených dětem a mládeži,</w:t>
      </w:r>
    </w:p>
    <w:p w14:paraId="45F47265" w14:textId="77777777" w:rsidR="008678CF" w:rsidRDefault="008678CF" w:rsidP="005B6E93">
      <w:pPr>
        <w:numPr>
          <w:ilvl w:val="0"/>
          <w:numId w:val="59"/>
        </w:numPr>
        <w:tabs>
          <w:tab w:val="left" w:pos="720"/>
        </w:tabs>
        <w:suppressAutoHyphens/>
        <w:rPr>
          <w:szCs w:val="24"/>
        </w:rPr>
      </w:pPr>
      <w:r>
        <w:rPr>
          <w:szCs w:val="24"/>
        </w:rPr>
        <w:t>odborná příprava a vzdělávání pracovníků s dětmi a mládeží,</w:t>
      </w:r>
    </w:p>
    <w:p w14:paraId="4DD570F2" w14:textId="77777777" w:rsidR="008678CF" w:rsidRDefault="008678CF" w:rsidP="005B6E93">
      <w:pPr>
        <w:numPr>
          <w:ilvl w:val="0"/>
          <w:numId w:val="59"/>
        </w:numPr>
        <w:tabs>
          <w:tab w:val="left" w:pos="720"/>
        </w:tabs>
        <w:suppressAutoHyphens/>
        <w:rPr>
          <w:szCs w:val="24"/>
        </w:rPr>
      </w:pPr>
      <w:r>
        <w:rPr>
          <w:szCs w:val="24"/>
        </w:rPr>
        <w:t>vytváření podmínek pro rozvoj neformálního vzdělávání,</w:t>
      </w:r>
    </w:p>
    <w:p w14:paraId="105ACF1B" w14:textId="77777777" w:rsidR="008678CF" w:rsidRDefault="008678CF" w:rsidP="005B6E93">
      <w:pPr>
        <w:numPr>
          <w:ilvl w:val="0"/>
          <w:numId w:val="59"/>
        </w:numPr>
        <w:tabs>
          <w:tab w:val="left" w:pos="720"/>
        </w:tabs>
        <w:suppressAutoHyphens/>
        <w:rPr>
          <w:szCs w:val="24"/>
        </w:rPr>
      </w:pPr>
      <w:r>
        <w:rPr>
          <w:szCs w:val="24"/>
        </w:rPr>
        <w:t>rozvoje dobrovolnictví a dobrovolné práce s dětmi a mládeží,</w:t>
      </w:r>
    </w:p>
    <w:p w14:paraId="06C7F476" w14:textId="77777777" w:rsidR="008678CF" w:rsidRDefault="008678CF" w:rsidP="005B6E93">
      <w:pPr>
        <w:numPr>
          <w:ilvl w:val="0"/>
          <w:numId w:val="59"/>
        </w:numPr>
        <w:tabs>
          <w:tab w:val="left" w:pos="720"/>
        </w:tabs>
        <w:suppressAutoHyphens/>
        <w:rPr>
          <w:szCs w:val="24"/>
        </w:rPr>
      </w:pPr>
      <w:r>
        <w:rPr>
          <w:szCs w:val="24"/>
        </w:rPr>
        <w:t xml:space="preserve">mezinárodní spolupráce dětí a mládeže, </w:t>
      </w:r>
    </w:p>
    <w:p w14:paraId="3FFA0871" w14:textId="77777777" w:rsidR="008678CF" w:rsidRPr="000C3BFF" w:rsidRDefault="008678CF" w:rsidP="000C3BFF">
      <w:pPr>
        <w:numPr>
          <w:ilvl w:val="0"/>
          <w:numId w:val="59"/>
        </w:numPr>
        <w:tabs>
          <w:tab w:val="left" w:pos="720"/>
        </w:tabs>
        <w:suppressAutoHyphens/>
        <w:rPr>
          <w:szCs w:val="24"/>
        </w:rPr>
      </w:pPr>
      <w:r>
        <w:rPr>
          <w:szCs w:val="24"/>
        </w:rPr>
        <w:t>multikulturní dialog.</w:t>
      </w:r>
    </w:p>
    <w:p w14:paraId="7622AC04" w14:textId="77777777" w:rsidR="008678CF" w:rsidRDefault="008678CF" w:rsidP="008678CF">
      <w:pPr>
        <w:pStyle w:val="Text"/>
      </w:pPr>
      <w:r>
        <w:t xml:space="preserve">V souladu s Koncepcí podpory rozvoje nadání a péče o nadané na období let 2014-2020 budou finančně podpořeni úhrnnou částkou 15 000 000 Kč organizátoři mimoškolních vzdělávacích aktivit pro nadané žáky základních a středních škol ve věkové kategorii 11-19 let (program Podpora nadaných žáků základních a středních škol – cílem je zejména podpora nových mimoškolních vzdělávacích aktivit pro nadané žáky). </w:t>
      </w:r>
    </w:p>
    <w:p w14:paraId="2B2E14E8" w14:textId="34E8DC35" w:rsidR="008678CF" w:rsidRDefault="008678CF" w:rsidP="008678CF">
      <w:pPr>
        <w:pStyle w:val="Text"/>
      </w:pPr>
      <w:r>
        <w:t xml:space="preserve">Finanční prostředky ve výši 7 000 000 Kč jsou určeny dále na Koordinační centrum česko-německých výměn mládeže Tandem (resp. pro Západočeskou univerzitu v Plzni, se kterou byla podepsána smlouva o víceleté spolupráci). Jedná se o vítězný subjekt v rámci programu na systémový rozvoj česko-německé spolupráce v oblasti vzdělávání a mládeže. Tandem realizuje česko-německou spolupráci v oblasti politiky mládeže, včetně zajištění síťování dotčených aktérů, podpory jazykové animace, výměn mládeže a metodického vedení pracovníků s dětmi a mládeží, více než 20 let. MŠMT </w:t>
      </w:r>
      <w:r w:rsidR="000B323D">
        <w:t>poskytuje dotaci</w:t>
      </w:r>
      <w:r>
        <w:t xml:space="preserve"> na provoz Tandemu, finanční prostředky na projekty si Tandem zajišťuje z jiných zdrojů, včetně ESF. </w:t>
      </w:r>
    </w:p>
    <w:p w14:paraId="21E4E113" w14:textId="6D93C7DF" w:rsidR="008678CF" w:rsidRDefault="008678CF" w:rsidP="008678CF">
      <w:pPr>
        <w:pStyle w:val="Text"/>
      </w:pPr>
      <w:r>
        <w:lastRenderedPageBreak/>
        <w:t xml:space="preserve"> Dotační program Podpora mládeže na krajské úrovni je založen na spolupráci MŠMT a krajů v oblasti podpory práce s dětmi a mládeží ve volném čase. Na základě </w:t>
      </w:r>
      <w:r w:rsidR="000B323D">
        <w:t xml:space="preserve">programů </w:t>
      </w:r>
      <w:r>
        <w:t xml:space="preserve">jednotlivých krajů jsou spolufinancovány projekty subjektů, které jinak nemají možnost vedle organizací s nadregionální nebo celostátní působností uspět. Finanční prostředky v úhrnné výši 32 501 915 Kč, z toho 23 851 915 Kč na krajské </w:t>
      </w:r>
      <w:r w:rsidR="000B323D">
        <w:t>programy</w:t>
      </w:r>
      <w:r>
        <w:t xml:space="preserve"> a 8 650 000 Kč na Olympiády dětí a mládeže, jsou určeny pouze krajům, které realizují krajské </w:t>
      </w:r>
      <w:r w:rsidR="000B323D">
        <w:t xml:space="preserve">programy </w:t>
      </w:r>
      <w:r>
        <w:t xml:space="preserve">na základě kritérií uvedených v tomto dotačním programu. Dotace ze strany MŠMT může dosáhnout maximálně 70 % celkových nákladů projektu a minimální spoluúčast kraje je 30 %. </w:t>
      </w:r>
    </w:p>
    <w:p w14:paraId="649B52BE" w14:textId="77777777" w:rsidR="008678CF" w:rsidRDefault="008678CF" w:rsidP="008678CF">
      <w:pPr>
        <w:pStyle w:val="Text"/>
        <w:ind w:firstLine="0"/>
      </w:pPr>
    </w:p>
    <w:p w14:paraId="35C22FBF" w14:textId="77777777" w:rsidR="008678CF" w:rsidRDefault="008678CF" w:rsidP="00524496">
      <w:pPr>
        <w:pStyle w:val="Nadpis3"/>
      </w:pPr>
      <w:r>
        <w:t xml:space="preserve"> </w:t>
      </w:r>
      <w:bookmarkStart w:id="130" w:name="_Toc478632277"/>
      <w:bookmarkStart w:id="131" w:name="_Toc5968858"/>
      <w:r>
        <w:t>Dotace na zabezpečení ostatních soutěží mimo OPŘO</w:t>
      </w:r>
      <w:bookmarkEnd w:id="130"/>
      <w:bookmarkEnd w:id="131"/>
    </w:p>
    <w:p w14:paraId="75AE7B5D" w14:textId="77777777" w:rsidR="008678CF" w:rsidRDefault="008678CF" w:rsidP="008678CF">
      <w:pPr>
        <w:rPr>
          <w:lang w:eastAsia="en-US"/>
        </w:rPr>
      </w:pPr>
    </w:p>
    <w:p w14:paraId="41BF9BD7" w14:textId="1B86B809" w:rsidR="008678CF" w:rsidRDefault="008678CF" w:rsidP="008678CF">
      <w:pPr>
        <w:pStyle w:val="Text"/>
      </w:pPr>
      <w:r>
        <w:t xml:space="preserve">Finanční prostředky v úhrnné výši 69 150 493 Kč (z toho 38 000 000 Kč z výdajového bloku Podpora činnosti v oblasti mládeže a 31 150 493 Kč z výdajového bloku Podpora všeobecné sportovní činnosti/školní sport) jsou určeny na financování soutěží a přehlídek v zájmovém vzdělávání a na rozvoj a financování soutěží v souladu s úkoly výchovně-vzdělávací soustavy. Nově došlo k zařazení a financování sportovních soutěží, dále jsou finanční prostředky určeny na soutěže navazující na rámcové vzdělávací programy s ohledem na celospolečenské požadavky, podporu aktivit pedagogických pracovníků při realizaci soutěží s přihlédnutím k rozvoji motivace žáků. </w:t>
      </w:r>
      <w:r w:rsidR="000B323D">
        <w:t>Žadateli</w:t>
      </w:r>
      <w:r>
        <w:t xml:space="preserve"> jsou právnické osoby vykonávající činnost školy nebo školského zařízení, územní samosprávné </w:t>
      </w:r>
      <w:r w:rsidR="00691319">
        <w:t>celky v samostatné působnosti a </w:t>
      </w:r>
      <w:r>
        <w:t>ostatní právnické osoby. Část finančních prostředků bude převedena na Ministerstvo kultury.</w:t>
      </w:r>
    </w:p>
    <w:p w14:paraId="6ECA6716" w14:textId="77777777" w:rsidR="008678CF" w:rsidRDefault="008678CF" w:rsidP="008678CF">
      <w:pPr>
        <w:pStyle w:val="Text"/>
      </w:pPr>
    </w:p>
    <w:p w14:paraId="65E1AAFB" w14:textId="77777777" w:rsidR="008678CF" w:rsidRDefault="008678CF" w:rsidP="00524496">
      <w:pPr>
        <w:pStyle w:val="Nadpis3"/>
      </w:pPr>
      <w:r>
        <w:t xml:space="preserve"> </w:t>
      </w:r>
      <w:bookmarkStart w:id="132" w:name="_Toc478632278"/>
      <w:bookmarkStart w:id="133" w:name="_Toc5968859"/>
      <w:r>
        <w:t>Výdaje na programové financování</w:t>
      </w:r>
      <w:bookmarkEnd w:id="132"/>
      <w:bookmarkEnd w:id="133"/>
    </w:p>
    <w:p w14:paraId="1D693FEB" w14:textId="77777777" w:rsidR="008678CF" w:rsidRDefault="008678CF" w:rsidP="008678CF">
      <w:pPr>
        <w:pStyle w:val="Text"/>
      </w:pPr>
    </w:p>
    <w:p w14:paraId="69C5E0F4" w14:textId="77777777" w:rsidR="008678CF" w:rsidRDefault="008678CF" w:rsidP="008678CF">
      <w:pPr>
        <w:pStyle w:val="Text"/>
      </w:pPr>
      <w:r>
        <w:t xml:space="preserve">Rozpočet výdajů stanovený na programové financování činí 25 194 100 Kč (jedná se o kapitálové výdaje).  </w:t>
      </w:r>
    </w:p>
    <w:p w14:paraId="6753CE86" w14:textId="77777777" w:rsidR="008678CF" w:rsidRDefault="008678CF" w:rsidP="008678CF">
      <w:pPr>
        <w:pStyle w:val="Text"/>
      </w:pPr>
      <w:r>
        <w:rPr>
          <w:b/>
        </w:rPr>
        <w:t>Program 133710</w:t>
      </w:r>
      <w:r>
        <w:t xml:space="preserve"> – </w:t>
      </w:r>
      <w:r>
        <w:rPr>
          <w:i/>
        </w:rPr>
        <w:t>Rozvoj MTZ mimoškolních aktivit dětí a mládeže</w:t>
      </w:r>
      <w:r>
        <w:t xml:space="preserve"> je součástí naplňování usnesení vlády ze dne 12. května 2014 č. 342 – Koncepce podpory mládeže na období let 2014 – 2021. V rámci tohoto Programu poskytuje MŠMT investiční dotace na udržení a vytváření podmínek pro smysluplné trávení volného času dětí a mládeže. Program je vyjádřením požadavku státu, zastoupeného MŠMT, na zabezpečení péče o volný čas dětí a mládeže prostřednictvím NNO, které mají ve svých zřizovacích listinách zakotvenu práci s dětmi a mládeží a patří k následujícím typům: spolek, ústav, obecně prospěšná společnost. </w:t>
      </w:r>
    </w:p>
    <w:p w14:paraId="1526DB60" w14:textId="77777777" w:rsidR="008678CF" w:rsidRDefault="008678CF" w:rsidP="008678CF">
      <w:pPr>
        <w:pStyle w:val="Odstavecseseznamem"/>
        <w:ind w:left="0"/>
        <w:rPr>
          <w:szCs w:val="24"/>
        </w:rPr>
      </w:pPr>
      <w:r>
        <w:rPr>
          <w:szCs w:val="24"/>
        </w:rPr>
        <w:t>Hlavním cílem programu je:</w:t>
      </w:r>
    </w:p>
    <w:p w14:paraId="0EBAAC8C" w14:textId="77777777" w:rsidR="008678CF" w:rsidRDefault="008678CF" w:rsidP="005B6E93">
      <w:pPr>
        <w:pStyle w:val="Odstavecseseznamem"/>
        <w:numPr>
          <w:ilvl w:val="0"/>
          <w:numId w:val="60"/>
        </w:numPr>
        <w:spacing w:before="120"/>
        <w:ind w:left="714" w:hanging="357"/>
        <w:rPr>
          <w:szCs w:val="24"/>
        </w:rPr>
      </w:pPr>
      <w:r>
        <w:rPr>
          <w:szCs w:val="24"/>
        </w:rPr>
        <w:t>udržovat a obnovovat zařízení pro rozvoj volnočasových aktivit,</w:t>
      </w:r>
    </w:p>
    <w:p w14:paraId="2A7A32F4" w14:textId="77777777" w:rsidR="008678CF" w:rsidRDefault="008678CF" w:rsidP="005B6E93">
      <w:pPr>
        <w:pStyle w:val="Odstavecseseznamem"/>
        <w:numPr>
          <w:ilvl w:val="0"/>
          <w:numId w:val="60"/>
        </w:numPr>
        <w:rPr>
          <w:szCs w:val="24"/>
        </w:rPr>
      </w:pPr>
      <w:r>
        <w:rPr>
          <w:szCs w:val="24"/>
        </w:rPr>
        <w:t>zvyšovat nabídku volnočasových aktivit k podchycení především neorganizovaných dětí a mládeže,</w:t>
      </w:r>
    </w:p>
    <w:p w14:paraId="2D01880B" w14:textId="77777777" w:rsidR="008678CF" w:rsidRDefault="008678CF" w:rsidP="005B6E93">
      <w:pPr>
        <w:pStyle w:val="Odstavecseseznamem"/>
        <w:numPr>
          <w:ilvl w:val="0"/>
          <w:numId w:val="60"/>
        </w:numPr>
        <w:rPr>
          <w:szCs w:val="24"/>
        </w:rPr>
      </w:pPr>
      <w:r>
        <w:rPr>
          <w:szCs w:val="24"/>
        </w:rPr>
        <w:t>udržovat a doplňovat stávající nabídku všech volnočasových aktivit, které sníží vliv sociálně patologických jevů,</w:t>
      </w:r>
    </w:p>
    <w:p w14:paraId="2ECCD9D3" w14:textId="77777777" w:rsidR="008678CF" w:rsidRDefault="008678CF" w:rsidP="005B6E93">
      <w:pPr>
        <w:pStyle w:val="Odstavecseseznamem"/>
        <w:numPr>
          <w:ilvl w:val="0"/>
          <w:numId w:val="60"/>
        </w:numPr>
        <w:rPr>
          <w:szCs w:val="24"/>
        </w:rPr>
      </w:pPr>
      <w:r>
        <w:rPr>
          <w:szCs w:val="24"/>
        </w:rPr>
        <w:t>vytvářet podmínky pro nově vznikající aktivity,</w:t>
      </w:r>
    </w:p>
    <w:p w14:paraId="03CD469A" w14:textId="77777777" w:rsidR="008678CF" w:rsidRDefault="008678CF" w:rsidP="008678CF">
      <w:pPr>
        <w:jc w:val="left"/>
        <w:rPr>
          <w:rFonts w:eastAsiaTheme="minorHAnsi"/>
          <w:szCs w:val="24"/>
        </w:rPr>
      </w:pPr>
      <w:r>
        <w:rPr>
          <w:szCs w:val="24"/>
        </w:rPr>
        <w:t>vytvářet takové technické podmínky, které povedou ke zkvalitnění volnočasových aktivit pro všechny věkové skupiny.</w:t>
      </w:r>
      <w:r>
        <w:rPr>
          <w:rFonts w:eastAsiaTheme="minorHAnsi"/>
          <w:szCs w:val="24"/>
        </w:rPr>
        <w:t xml:space="preserve"> </w:t>
      </w:r>
    </w:p>
    <w:p w14:paraId="751A3857" w14:textId="77777777" w:rsidR="00975C88" w:rsidRDefault="00975C88" w:rsidP="00C069EF">
      <w:pPr>
        <w:rPr>
          <w:b/>
          <w:i/>
          <w:sz w:val="20"/>
          <w:highlight w:val="yellow"/>
        </w:rPr>
      </w:pPr>
    </w:p>
    <w:p w14:paraId="09F05CDE" w14:textId="77777777" w:rsidR="00341ACE" w:rsidRPr="002764E5" w:rsidRDefault="00341ACE" w:rsidP="00C069EF">
      <w:pPr>
        <w:rPr>
          <w:b/>
          <w:i/>
          <w:sz w:val="20"/>
        </w:rPr>
      </w:pPr>
      <w:r w:rsidRPr="002764E5">
        <w:rPr>
          <w:b/>
          <w:i/>
          <w:sz w:val="20"/>
        </w:rPr>
        <w:t>Tabulková příloha ke kapitole C</w:t>
      </w:r>
      <w:r w:rsidR="00654AFF" w:rsidRPr="002764E5">
        <w:rPr>
          <w:b/>
          <w:i/>
          <w:sz w:val="20"/>
        </w:rPr>
        <w:t>.</w:t>
      </w:r>
      <w:r w:rsidRPr="002764E5">
        <w:rPr>
          <w:b/>
          <w:i/>
          <w:sz w:val="20"/>
        </w:rPr>
        <w:t>III:</w:t>
      </w:r>
    </w:p>
    <w:p w14:paraId="65275C7B" w14:textId="77777777" w:rsidR="00A33D15" w:rsidRPr="002764E5" w:rsidRDefault="00A33D15" w:rsidP="00A33D15">
      <w:pPr>
        <w:rPr>
          <w:sz w:val="20"/>
        </w:rPr>
      </w:pPr>
      <w:r w:rsidRPr="002764E5">
        <w:rPr>
          <w:sz w:val="20"/>
        </w:rPr>
        <w:t>Tabulka č. 1</w:t>
      </w:r>
      <w:r w:rsidRPr="002764E5">
        <w:rPr>
          <w:sz w:val="20"/>
        </w:rPr>
        <w:tab/>
        <w:t>Rozpočet pro oblast mládeže na rok 201</w:t>
      </w:r>
      <w:r w:rsidR="002764E5" w:rsidRPr="002764E5">
        <w:rPr>
          <w:sz w:val="20"/>
        </w:rPr>
        <w:t>9</w:t>
      </w:r>
    </w:p>
    <w:p w14:paraId="3213BE7D" w14:textId="77777777" w:rsidR="00C069EF" w:rsidRPr="002541C7" w:rsidRDefault="00C069EF" w:rsidP="00F94A17">
      <w:pPr>
        <w:pStyle w:val="Nadpis2"/>
      </w:pPr>
      <w:r w:rsidRPr="002764E5">
        <w:br w:type="page"/>
      </w:r>
      <w:bookmarkStart w:id="134" w:name="_Toc146689791"/>
      <w:bookmarkStart w:id="135" w:name="_Toc5968860"/>
      <w:r w:rsidRPr="002541C7">
        <w:lastRenderedPageBreak/>
        <w:t>Podpora činnosti v oblasti sportu</w:t>
      </w:r>
      <w:bookmarkEnd w:id="134"/>
      <w:bookmarkEnd w:id="135"/>
    </w:p>
    <w:p w14:paraId="3A7F9927" w14:textId="77777777" w:rsidR="00C069EF" w:rsidRPr="00853611" w:rsidRDefault="00C069EF" w:rsidP="00C069EF">
      <w:pPr>
        <w:rPr>
          <w:highlight w:val="yellow"/>
        </w:rPr>
      </w:pPr>
      <w:bookmarkStart w:id="136" w:name="_Toc146689792"/>
    </w:p>
    <w:tbl>
      <w:tblPr>
        <w:tblW w:w="9072" w:type="dxa"/>
        <w:tblLook w:val="04A0" w:firstRow="1" w:lastRow="0" w:firstColumn="1" w:lastColumn="0" w:noHBand="0" w:noVBand="1"/>
      </w:tblPr>
      <w:tblGrid>
        <w:gridCol w:w="1242"/>
        <w:gridCol w:w="4899"/>
        <w:gridCol w:w="663"/>
        <w:gridCol w:w="2268"/>
      </w:tblGrid>
      <w:tr w:rsidR="00975C88" w:rsidRPr="00123C03" w14:paraId="455C7E2C" w14:textId="77777777" w:rsidTr="00936F9F">
        <w:tc>
          <w:tcPr>
            <w:tcW w:w="6141" w:type="dxa"/>
            <w:gridSpan w:val="2"/>
            <w:shd w:val="clear" w:color="auto" w:fill="auto"/>
          </w:tcPr>
          <w:p w14:paraId="4C233B8B" w14:textId="77777777" w:rsidR="00975C88" w:rsidRPr="00123C03" w:rsidRDefault="00975C88" w:rsidP="00CF5396">
            <w:r w:rsidRPr="00123C03">
              <w:rPr>
                <w:b/>
              </w:rPr>
              <w:t xml:space="preserve">Rozpočet celkem (včetně </w:t>
            </w:r>
            <w:r w:rsidR="00CF5396">
              <w:rPr>
                <w:b/>
              </w:rPr>
              <w:t>programového financování</w:t>
            </w:r>
            <w:r w:rsidRPr="00123C03">
              <w:rPr>
                <w:b/>
              </w:rPr>
              <w:t xml:space="preserve">) činí     </w:t>
            </w:r>
          </w:p>
        </w:tc>
        <w:tc>
          <w:tcPr>
            <w:tcW w:w="2931" w:type="dxa"/>
            <w:gridSpan w:val="2"/>
            <w:shd w:val="clear" w:color="auto" w:fill="auto"/>
          </w:tcPr>
          <w:p w14:paraId="7EB01D2F" w14:textId="77777777" w:rsidR="00975C88" w:rsidRPr="00123C03" w:rsidRDefault="00975C88" w:rsidP="00936F9F">
            <w:pPr>
              <w:jc w:val="right"/>
            </w:pPr>
            <w:r w:rsidRPr="00123C03">
              <w:rPr>
                <w:b/>
              </w:rPr>
              <w:t xml:space="preserve">     </w:t>
            </w:r>
            <w:r>
              <w:rPr>
                <w:b/>
              </w:rPr>
              <w:t xml:space="preserve">7 000 000 000 </w:t>
            </w:r>
            <w:r w:rsidRPr="00123C03">
              <w:rPr>
                <w:b/>
              </w:rPr>
              <w:t>Kč</w:t>
            </w:r>
          </w:p>
        </w:tc>
      </w:tr>
      <w:tr w:rsidR="00975C88" w:rsidRPr="00123C03" w14:paraId="3199BFCF" w14:textId="77777777" w:rsidTr="00936F9F">
        <w:tc>
          <w:tcPr>
            <w:tcW w:w="1242" w:type="dxa"/>
            <w:shd w:val="clear" w:color="auto" w:fill="auto"/>
          </w:tcPr>
          <w:p w14:paraId="08613F9F" w14:textId="77777777" w:rsidR="00975C88" w:rsidRPr="00123C03" w:rsidRDefault="00975C88" w:rsidP="00936F9F">
            <w:r w:rsidRPr="00123C03">
              <w:t>v tom:</w:t>
            </w:r>
          </w:p>
        </w:tc>
        <w:tc>
          <w:tcPr>
            <w:tcW w:w="4899" w:type="dxa"/>
            <w:shd w:val="clear" w:color="auto" w:fill="auto"/>
          </w:tcPr>
          <w:p w14:paraId="15D25DE1" w14:textId="77777777" w:rsidR="00975C88" w:rsidRPr="00123C03" w:rsidRDefault="00975C88" w:rsidP="00936F9F">
            <w:r w:rsidRPr="00123C03">
              <w:t>běžné výdaje</w:t>
            </w:r>
          </w:p>
        </w:tc>
        <w:tc>
          <w:tcPr>
            <w:tcW w:w="2931" w:type="dxa"/>
            <w:gridSpan w:val="2"/>
            <w:shd w:val="clear" w:color="auto" w:fill="auto"/>
          </w:tcPr>
          <w:p w14:paraId="42682D2C" w14:textId="77777777" w:rsidR="00975C88" w:rsidRPr="00123C03" w:rsidRDefault="00975C88" w:rsidP="00936F9F">
            <w:pPr>
              <w:jc w:val="right"/>
            </w:pPr>
            <w:r>
              <w:t xml:space="preserve"> 5 000 000 000 </w:t>
            </w:r>
            <w:r w:rsidRPr="00123C03">
              <w:t>Kč</w:t>
            </w:r>
          </w:p>
        </w:tc>
      </w:tr>
      <w:tr w:rsidR="00975C88" w:rsidRPr="00123C03" w14:paraId="3D07DE89" w14:textId="77777777" w:rsidTr="00936F9F">
        <w:tc>
          <w:tcPr>
            <w:tcW w:w="1242" w:type="dxa"/>
            <w:shd w:val="clear" w:color="auto" w:fill="auto"/>
          </w:tcPr>
          <w:p w14:paraId="72604555" w14:textId="77777777" w:rsidR="00975C88" w:rsidRPr="00123C03" w:rsidRDefault="00975C88" w:rsidP="00936F9F">
            <w:pPr>
              <w:rPr>
                <w:highlight w:val="yellow"/>
              </w:rPr>
            </w:pPr>
          </w:p>
        </w:tc>
        <w:tc>
          <w:tcPr>
            <w:tcW w:w="4899" w:type="dxa"/>
            <w:shd w:val="clear" w:color="auto" w:fill="auto"/>
          </w:tcPr>
          <w:p w14:paraId="7250C59D" w14:textId="77777777" w:rsidR="00975C88" w:rsidRPr="00123C03" w:rsidRDefault="00975C88" w:rsidP="00CF5396">
            <w:r w:rsidRPr="00123C03">
              <w:t xml:space="preserve">kapitálové výdaje na </w:t>
            </w:r>
            <w:r w:rsidR="00CF5396">
              <w:t>programové financování</w:t>
            </w:r>
          </w:p>
        </w:tc>
        <w:tc>
          <w:tcPr>
            <w:tcW w:w="2931" w:type="dxa"/>
            <w:gridSpan w:val="2"/>
            <w:shd w:val="clear" w:color="auto" w:fill="auto"/>
          </w:tcPr>
          <w:p w14:paraId="1FB9FC11" w14:textId="77777777" w:rsidR="00975C88" w:rsidRPr="00123C03" w:rsidRDefault="00975C88" w:rsidP="00936F9F">
            <w:pPr>
              <w:jc w:val="right"/>
            </w:pPr>
            <w:r w:rsidRPr="00123C03">
              <w:t> </w:t>
            </w:r>
            <w:r>
              <w:t xml:space="preserve"> 2 000 000 000 </w:t>
            </w:r>
            <w:r w:rsidRPr="00123C03">
              <w:t>Kč</w:t>
            </w:r>
          </w:p>
        </w:tc>
      </w:tr>
      <w:tr w:rsidR="00975C88" w:rsidRPr="00123C03" w14:paraId="0D58A3E6" w14:textId="77777777" w:rsidTr="00936F9F">
        <w:tblPrEx>
          <w:tblCellMar>
            <w:left w:w="70" w:type="dxa"/>
            <w:right w:w="70" w:type="dxa"/>
          </w:tblCellMar>
        </w:tblPrEx>
        <w:trPr>
          <w:trHeight w:val="287"/>
        </w:trPr>
        <w:tc>
          <w:tcPr>
            <w:tcW w:w="6804" w:type="dxa"/>
            <w:gridSpan w:val="3"/>
            <w:shd w:val="clear" w:color="auto" w:fill="auto"/>
            <w:vAlign w:val="bottom"/>
          </w:tcPr>
          <w:p w14:paraId="71F0F6BF" w14:textId="77777777" w:rsidR="00975C88" w:rsidRPr="00123C03" w:rsidRDefault="00975C88" w:rsidP="00936F9F">
            <w:pPr>
              <w:rPr>
                <w:szCs w:val="24"/>
              </w:rPr>
            </w:pPr>
            <w:r w:rsidRPr="00123C03">
              <w:rPr>
                <w:szCs w:val="24"/>
              </w:rPr>
              <w:t>z toho:</w:t>
            </w:r>
          </w:p>
          <w:p w14:paraId="4436FA71" w14:textId="77777777" w:rsidR="00975C88" w:rsidRPr="00123C03" w:rsidRDefault="00975C88" w:rsidP="00936F9F">
            <w:pPr>
              <w:rPr>
                <w:szCs w:val="24"/>
              </w:rPr>
            </w:pPr>
            <w:r w:rsidRPr="00123C03">
              <w:rPr>
                <w:szCs w:val="24"/>
              </w:rPr>
              <w:t>sportovní reprezentace</w:t>
            </w:r>
          </w:p>
        </w:tc>
        <w:tc>
          <w:tcPr>
            <w:tcW w:w="2268" w:type="dxa"/>
            <w:vAlign w:val="bottom"/>
          </w:tcPr>
          <w:p w14:paraId="0C32A10A" w14:textId="77777777" w:rsidR="00975C88" w:rsidRPr="00123C03" w:rsidRDefault="00975C88" w:rsidP="00936F9F">
            <w:pPr>
              <w:jc w:val="right"/>
              <w:rPr>
                <w:szCs w:val="24"/>
              </w:rPr>
            </w:pPr>
            <w:r>
              <w:rPr>
                <w:szCs w:val="24"/>
              </w:rPr>
              <w:t xml:space="preserve"> 2 401 101 600 </w:t>
            </w:r>
            <w:r w:rsidRPr="00123C03">
              <w:rPr>
                <w:szCs w:val="24"/>
              </w:rPr>
              <w:t>Kč</w:t>
            </w:r>
          </w:p>
        </w:tc>
      </w:tr>
      <w:tr w:rsidR="00975C88" w:rsidRPr="00123C03" w14:paraId="3FFB7B19" w14:textId="77777777" w:rsidTr="00936F9F">
        <w:tblPrEx>
          <w:tblCellMar>
            <w:left w:w="70" w:type="dxa"/>
            <w:right w:w="70" w:type="dxa"/>
          </w:tblCellMar>
        </w:tblPrEx>
        <w:trPr>
          <w:trHeight w:val="287"/>
        </w:trPr>
        <w:tc>
          <w:tcPr>
            <w:tcW w:w="6804" w:type="dxa"/>
            <w:gridSpan w:val="3"/>
            <w:shd w:val="clear" w:color="auto" w:fill="auto"/>
            <w:vAlign w:val="bottom"/>
            <w:hideMark/>
          </w:tcPr>
          <w:p w14:paraId="1C9468ED" w14:textId="77777777" w:rsidR="00975C88" w:rsidRPr="00123C03" w:rsidRDefault="00975C88" w:rsidP="00CF5396">
            <w:pPr>
              <w:rPr>
                <w:szCs w:val="24"/>
              </w:rPr>
            </w:pPr>
            <w:r w:rsidRPr="00123C03">
              <w:rPr>
                <w:szCs w:val="24"/>
              </w:rPr>
              <w:t xml:space="preserve">           sportovní reprezentace – dotace</w:t>
            </w:r>
          </w:p>
        </w:tc>
        <w:tc>
          <w:tcPr>
            <w:tcW w:w="2268" w:type="dxa"/>
            <w:vAlign w:val="bottom"/>
          </w:tcPr>
          <w:p w14:paraId="048A12AF" w14:textId="77777777" w:rsidR="00975C88" w:rsidRPr="00123C03" w:rsidRDefault="00975C88" w:rsidP="00936F9F">
            <w:pPr>
              <w:jc w:val="right"/>
              <w:rPr>
                <w:szCs w:val="24"/>
              </w:rPr>
            </w:pPr>
            <w:r>
              <w:rPr>
                <w:szCs w:val="24"/>
              </w:rPr>
              <w:t xml:space="preserve">2 191 270 897 </w:t>
            </w:r>
            <w:r w:rsidRPr="00123C03">
              <w:rPr>
                <w:szCs w:val="24"/>
              </w:rPr>
              <w:t>Kč</w:t>
            </w:r>
          </w:p>
        </w:tc>
      </w:tr>
      <w:tr w:rsidR="00975C88" w:rsidRPr="00123C03" w14:paraId="78E8A1CD" w14:textId="77777777" w:rsidTr="00936F9F">
        <w:tblPrEx>
          <w:tblCellMar>
            <w:left w:w="70" w:type="dxa"/>
            <w:right w:w="70" w:type="dxa"/>
          </w:tblCellMar>
        </w:tblPrEx>
        <w:trPr>
          <w:trHeight w:val="287"/>
        </w:trPr>
        <w:tc>
          <w:tcPr>
            <w:tcW w:w="6804" w:type="dxa"/>
            <w:gridSpan w:val="3"/>
            <w:shd w:val="clear" w:color="auto" w:fill="auto"/>
            <w:vAlign w:val="bottom"/>
            <w:hideMark/>
          </w:tcPr>
          <w:p w14:paraId="2DAE386A" w14:textId="6C720A8E" w:rsidR="00975C88" w:rsidRPr="00123C03" w:rsidRDefault="00975C88" w:rsidP="00B57B3C">
            <w:pPr>
              <w:rPr>
                <w:szCs w:val="24"/>
              </w:rPr>
            </w:pPr>
            <w:r w:rsidRPr="00123C03">
              <w:rPr>
                <w:szCs w:val="24"/>
              </w:rPr>
              <w:t xml:space="preserve">           sportovní reprezentace</w:t>
            </w:r>
            <w:r>
              <w:rPr>
                <w:szCs w:val="24"/>
              </w:rPr>
              <w:t xml:space="preserve"> – </w:t>
            </w:r>
            <w:r w:rsidRPr="00123C03">
              <w:rPr>
                <w:szCs w:val="24"/>
              </w:rPr>
              <w:t>příspěvek</w:t>
            </w:r>
            <w:r>
              <w:rPr>
                <w:szCs w:val="24"/>
              </w:rPr>
              <w:t xml:space="preserve"> </w:t>
            </w:r>
            <w:r w:rsidRPr="00123C03">
              <w:rPr>
                <w:szCs w:val="24"/>
              </w:rPr>
              <w:t>(</w:t>
            </w:r>
            <w:r w:rsidR="00CF5396">
              <w:rPr>
                <w:szCs w:val="24"/>
              </w:rPr>
              <w:t>resortní centra</w:t>
            </w:r>
            <w:r w:rsidRPr="00123C03">
              <w:rPr>
                <w:szCs w:val="24"/>
              </w:rPr>
              <w:t>, ADV)</w:t>
            </w:r>
          </w:p>
        </w:tc>
        <w:tc>
          <w:tcPr>
            <w:tcW w:w="2268" w:type="dxa"/>
            <w:vAlign w:val="bottom"/>
          </w:tcPr>
          <w:p w14:paraId="0FB6F52E" w14:textId="77777777" w:rsidR="00975C88" w:rsidRPr="00123C03" w:rsidRDefault="00975C88" w:rsidP="00936F9F">
            <w:pPr>
              <w:jc w:val="right"/>
              <w:rPr>
                <w:szCs w:val="24"/>
              </w:rPr>
            </w:pPr>
            <w:r>
              <w:rPr>
                <w:szCs w:val="24"/>
              </w:rPr>
              <w:t xml:space="preserve">209 830 703 </w:t>
            </w:r>
            <w:r w:rsidRPr="00123C03">
              <w:rPr>
                <w:szCs w:val="24"/>
              </w:rPr>
              <w:t>Kč</w:t>
            </w:r>
          </w:p>
        </w:tc>
      </w:tr>
      <w:tr w:rsidR="00975C88" w:rsidRPr="00123C03" w14:paraId="6840A0B9" w14:textId="77777777" w:rsidTr="00936F9F">
        <w:tblPrEx>
          <w:tblCellMar>
            <w:left w:w="70" w:type="dxa"/>
            <w:right w:w="70" w:type="dxa"/>
          </w:tblCellMar>
        </w:tblPrEx>
        <w:trPr>
          <w:trHeight w:val="287"/>
        </w:trPr>
        <w:tc>
          <w:tcPr>
            <w:tcW w:w="6804" w:type="dxa"/>
            <w:gridSpan w:val="3"/>
            <w:shd w:val="clear" w:color="auto" w:fill="auto"/>
            <w:vAlign w:val="bottom"/>
            <w:hideMark/>
          </w:tcPr>
          <w:p w14:paraId="0F94293D" w14:textId="77777777" w:rsidR="00975C88" w:rsidRPr="00123C03" w:rsidRDefault="00975C88" w:rsidP="00936F9F">
            <w:pPr>
              <w:rPr>
                <w:szCs w:val="24"/>
              </w:rPr>
            </w:pPr>
            <w:r w:rsidRPr="00123C03">
              <w:rPr>
                <w:szCs w:val="24"/>
              </w:rPr>
              <w:t>všeobecná sportovní činnost</w:t>
            </w:r>
          </w:p>
        </w:tc>
        <w:tc>
          <w:tcPr>
            <w:tcW w:w="2268" w:type="dxa"/>
            <w:vAlign w:val="bottom"/>
          </w:tcPr>
          <w:p w14:paraId="41FED510" w14:textId="77777777" w:rsidR="00975C88" w:rsidRPr="00123C03" w:rsidRDefault="00975C88" w:rsidP="00936F9F">
            <w:pPr>
              <w:jc w:val="right"/>
              <w:rPr>
                <w:szCs w:val="24"/>
              </w:rPr>
            </w:pPr>
            <w:r>
              <w:rPr>
                <w:szCs w:val="24"/>
              </w:rPr>
              <w:t xml:space="preserve">4 598 898 400 </w:t>
            </w:r>
            <w:r w:rsidRPr="00123C03">
              <w:rPr>
                <w:szCs w:val="24"/>
              </w:rPr>
              <w:t>Kč</w:t>
            </w:r>
          </w:p>
        </w:tc>
      </w:tr>
      <w:tr w:rsidR="00975C88" w:rsidRPr="00123C03" w14:paraId="1DE42711" w14:textId="77777777" w:rsidTr="00936F9F">
        <w:tblPrEx>
          <w:tblCellMar>
            <w:left w:w="70" w:type="dxa"/>
            <w:right w:w="70" w:type="dxa"/>
          </w:tblCellMar>
        </w:tblPrEx>
        <w:trPr>
          <w:trHeight w:val="287"/>
        </w:trPr>
        <w:tc>
          <w:tcPr>
            <w:tcW w:w="6804" w:type="dxa"/>
            <w:gridSpan w:val="3"/>
            <w:shd w:val="clear" w:color="auto" w:fill="auto"/>
            <w:vAlign w:val="bottom"/>
            <w:hideMark/>
          </w:tcPr>
          <w:p w14:paraId="1262D837" w14:textId="77777777" w:rsidR="00975C88" w:rsidRPr="00123C03" w:rsidRDefault="00975C88" w:rsidP="00936F9F">
            <w:pPr>
              <w:rPr>
                <w:szCs w:val="24"/>
              </w:rPr>
            </w:pPr>
            <w:r w:rsidRPr="00123C03">
              <w:rPr>
                <w:szCs w:val="24"/>
              </w:rPr>
              <w:t xml:space="preserve">           </w:t>
            </w:r>
            <w:r>
              <w:rPr>
                <w:szCs w:val="24"/>
              </w:rPr>
              <w:t>všeobecná sportovní činnost</w:t>
            </w:r>
            <w:r w:rsidRPr="00123C03">
              <w:rPr>
                <w:szCs w:val="24"/>
              </w:rPr>
              <w:t xml:space="preserve"> – dotace (včetně EDS/SMVS)</w:t>
            </w:r>
          </w:p>
        </w:tc>
        <w:tc>
          <w:tcPr>
            <w:tcW w:w="2268" w:type="dxa"/>
            <w:vAlign w:val="bottom"/>
          </w:tcPr>
          <w:p w14:paraId="750D64E2" w14:textId="77777777" w:rsidR="00975C88" w:rsidRPr="00123C03" w:rsidRDefault="00975C88" w:rsidP="00936F9F">
            <w:pPr>
              <w:jc w:val="right"/>
              <w:rPr>
                <w:szCs w:val="24"/>
              </w:rPr>
            </w:pPr>
            <w:r>
              <w:rPr>
                <w:szCs w:val="24"/>
              </w:rPr>
              <w:t xml:space="preserve">4 453 898 400 </w:t>
            </w:r>
            <w:r w:rsidRPr="00123C03">
              <w:rPr>
                <w:szCs w:val="24"/>
              </w:rPr>
              <w:t>Kč</w:t>
            </w:r>
          </w:p>
        </w:tc>
      </w:tr>
      <w:tr w:rsidR="00975C88" w:rsidRPr="00123C03" w14:paraId="50C89299" w14:textId="77777777" w:rsidTr="00936F9F">
        <w:tblPrEx>
          <w:tblCellMar>
            <w:left w:w="70" w:type="dxa"/>
            <w:right w:w="70" w:type="dxa"/>
          </w:tblCellMar>
        </w:tblPrEx>
        <w:trPr>
          <w:trHeight w:val="287"/>
        </w:trPr>
        <w:tc>
          <w:tcPr>
            <w:tcW w:w="6804" w:type="dxa"/>
            <w:gridSpan w:val="3"/>
            <w:shd w:val="clear" w:color="auto" w:fill="auto"/>
            <w:vAlign w:val="bottom"/>
          </w:tcPr>
          <w:p w14:paraId="54BB7F7B" w14:textId="77777777" w:rsidR="00975C88" w:rsidRPr="00123C03" w:rsidRDefault="00975C88" w:rsidP="00936F9F">
            <w:pPr>
              <w:rPr>
                <w:szCs w:val="24"/>
              </w:rPr>
            </w:pPr>
            <w:r>
              <w:rPr>
                <w:szCs w:val="24"/>
              </w:rPr>
              <w:t xml:space="preserve">           všeobecná sportovní činnost – školní sport </w:t>
            </w:r>
          </w:p>
        </w:tc>
        <w:tc>
          <w:tcPr>
            <w:tcW w:w="2268" w:type="dxa"/>
            <w:vAlign w:val="bottom"/>
          </w:tcPr>
          <w:p w14:paraId="38167663" w14:textId="77777777" w:rsidR="00975C88" w:rsidRDefault="00975C88" w:rsidP="00936F9F">
            <w:pPr>
              <w:jc w:val="right"/>
              <w:rPr>
                <w:szCs w:val="24"/>
              </w:rPr>
            </w:pPr>
            <w:r>
              <w:rPr>
                <w:szCs w:val="24"/>
              </w:rPr>
              <w:t>145 000 000 Kč</w:t>
            </w:r>
          </w:p>
        </w:tc>
      </w:tr>
    </w:tbl>
    <w:p w14:paraId="39ACE13B" w14:textId="4A1064E3" w:rsidR="00975C88" w:rsidRPr="00123C03" w:rsidRDefault="00975C88" w:rsidP="00975C88">
      <w:pPr>
        <w:pStyle w:val="Text"/>
      </w:pPr>
    </w:p>
    <w:p w14:paraId="3849729F" w14:textId="77777777" w:rsidR="00975C88" w:rsidRPr="00123C03" w:rsidRDefault="00975C88" w:rsidP="00975C88">
      <w:pPr>
        <w:pStyle w:val="Text"/>
      </w:pPr>
      <w:r w:rsidRPr="00123C03">
        <w:t xml:space="preserve">V rámci výdajového bloku </w:t>
      </w:r>
      <w:r w:rsidRPr="00123C03">
        <w:rPr>
          <w:b/>
        </w:rPr>
        <w:t>„Podpora činnosti v oblasti sportu“</w:t>
      </w:r>
      <w:r w:rsidRPr="00123C03">
        <w:t xml:space="preserve"> je zabezpečováno plnění úkolů vyplývajících ze:</w:t>
      </w:r>
    </w:p>
    <w:p w14:paraId="74BEFD99" w14:textId="77777777" w:rsidR="00975C88" w:rsidRPr="00123C03" w:rsidRDefault="00975C88" w:rsidP="00975C88">
      <w:pPr>
        <w:numPr>
          <w:ilvl w:val="0"/>
          <w:numId w:val="9"/>
        </w:numPr>
        <w:tabs>
          <w:tab w:val="left" w:pos="1276"/>
        </w:tabs>
        <w:ind w:left="992" w:hanging="425"/>
        <w:rPr>
          <w:szCs w:val="24"/>
        </w:rPr>
      </w:pPr>
      <w:r w:rsidRPr="00123C03">
        <w:rPr>
          <w:b/>
          <w:szCs w:val="24"/>
        </w:rPr>
        <w:t>zákona č.  2/1969 Sb</w:t>
      </w:r>
      <w:r w:rsidRPr="00123C03">
        <w:rPr>
          <w:szCs w:val="24"/>
        </w:rPr>
        <w:t>., o zřízení ministerstev a jiných ústředních orgánů státní správy ČR, ve znění pozdějších předpisů,</w:t>
      </w:r>
    </w:p>
    <w:p w14:paraId="5E13CD7E" w14:textId="77777777" w:rsidR="00975C88" w:rsidRPr="00123C03" w:rsidRDefault="00975C88" w:rsidP="00975C88">
      <w:pPr>
        <w:numPr>
          <w:ilvl w:val="0"/>
          <w:numId w:val="9"/>
        </w:numPr>
        <w:tabs>
          <w:tab w:val="left" w:pos="1276"/>
        </w:tabs>
        <w:ind w:left="992" w:hanging="425"/>
        <w:rPr>
          <w:szCs w:val="24"/>
        </w:rPr>
      </w:pPr>
      <w:r w:rsidRPr="00123C03">
        <w:rPr>
          <w:b/>
          <w:szCs w:val="24"/>
        </w:rPr>
        <w:t>zákona č. 115/2001 Sb</w:t>
      </w:r>
      <w:r w:rsidRPr="00123C03">
        <w:rPr>
          <w:szCs w:val="24"/>
        </w:rPr>
        <w:t>., o podpoře sportu, ve znění pozdějších předpisů,</w:t>
      </w:r>
    </w:p>
    <w:p w14:paraId="38BF3ECE" w14:textId="77777777" w:rsidR="00975C88" w:rsidRPr="00123C03" w:rsidRDefault="00975C88" w:rsidP="00975C88">
      <w:pPr>
        <w:numPr>
          <w:ilvl w:val="0"/>
          <w:numId w:val="9"/>
        </w:numPr>
        <w:tabs>
          <w:tab w:val="left" w:pos="1276"/>
        </w:tabs>
        <w:ind w:left="992" w:hanging="425"/>
        <w:rPr>
          <w:szCs w:val="24"/>
        </w:rPr>
      </w:pPr>
      <w:r w:rsidRPr="00123C03">
        <w:rPr>
          <w:b/>
          <w:szCs w:val="24"/>
        </w:rPr>
        <w:t xml:space="preserve">usnesení vlády </w:t>
      </w:r>
      <w:r w:rsidRPr="00123C03">
        <w:rPr>
          <w:szCs w:val="24"/>
        </w:rPr>
        <w:t xml:space="preserve">č. </w:t>
      </w:r>
      <w:r>
        <w:rPr>
          <w:szCs w:val="24"/>
        </w:rPr>
        <w:t>591</w:t>
      </w:r>
      <w:r w:rsidRPr="00123C03">
        <w:rPr>
          <w:szCs w:val="24"/>
        </w:rPr>
        <w:t xml:space="preserve"> ze dne </w:t>
      </w:r>
      <w:r>
        <w:rPr>
          <w:szCs w:val="24"/>
        </w:rPr>
        <w:t>27. 6. 2016</w:t>
      </w:r>
      <w:r w:rsidRPr="00123C03">
        <w:rPr>
          <w:szCs w:val="24"/>
        </w:rPr>
        <w:t xml:space="preserve"> </w:t>
      </w:r>
      <w:r>
        <w:rPr>
          <w:szCs w:val="24"/>
        </w:rPr>
        <w:t>ke</w:t>
      </w:r>
      <w:r w:rsidRPr="00123C03">
        <w:rPr>
          <w:szCs w:val="24"/>
        </w:rPr>
        <w:t xml:space="preserve"> Koncepci státní podpory sportu </w:t>
      </w:r>
      <w:r>
        <w:rPr>
          <w:szCs w:val="24"/>
        </w:rPr>
        <w:t>2016 – 2025 – SPORT 2025</w:t>
      </w:r>
      <w:r w:rsidRPr="00123C03">
        <w:rPr>
          <w:szCs w:val="24"/>
        </w:rPr>
        <w:t>.</w:t>
      </w:r>
    </w:p>
    <w:p w14:paraId="1BD92B1F" w14:textId="71FB33BA" w:rsidR="00975C88" w:rsidRPr="00123C03" w:rsidRDefault="00975C88" w:rsidP="00975C88">
      <w:pPr>
        <w:pStyle w:val="Text"/>
      </w:pPr>
      <w:r w:rsidRPr="00123C03">
        <w:t>Současně jsou v rámci tohoto rozpočtu financován</w:t>
      </w:r>
      <w:r w:rsidR="000C3BFF">
        <w:t>y</w:t>
      </w:r>
      <w:r w:rsidRPr="00123C03">
        <w:rPr>
          <w:b/>
        </w:rPr>
        <w:t xml:space="preserve"> </w:t>
      </w:r>
      <w:r>
        <w:t xml:space="preserve"> VSC – OSS MŠMT </w:t>
      </w:r>
      <w:r w:rsidRPr="00123C03">
        <w:t>a</w:t>
      </w:r>
      <w:r>
        <w:t> </w:t>
      </w:r>
      <w:r w:rsidRPr="00123C03">
        <w:t xml:space="preserve"> Antidopingový výbor (dále jen „ADV“) – </w:t>
      </w:r>
      <w:r w:rsidR="00353705">
        <w:t>příspěvková organizace</w:t>
      </w:r>
      <w:r w:rsidR="00353705" w:rsidRPr="00123C03">
        <w:t xml:space="preserve"> </w:t>
      </w:r>
      <w:r w:rsidRPr="00123C03">
        <w:t xml:space="preserve">MŠMT, zajišťující antidopingový program v ČR. </w:t>
      </w:r>
    </w:p>
    <w:p w14:paraId="75580645" w14:textId="77777777" w:rsidR="00975C88" w:rsidRPr="00123C03" w:rsidRDefault="00975C88" w:rsidP="00975C88">
      <w:pPr>
        <w:rPr>
          <w:highlight w:val="yellow"/>
        </w:rPr>
      </w:pPr>
    </w:p>
    <w:p w14:paraId="4CF5863E" w14:textId="77777777" w:rsidR="00975C88" w:rsidRPr="00123C03" w:rsidRDefault="00975C88" w:rsidP="00B26388">
      <w:pPr>
        <w:pStyle w:val="Nadpis3"/>
      </w:pPr>
      <w:bookmarkStart w:id="137" w:name="_Toc431815412"/>
      <w:bookmarkStart w:id="138" w:name="_Toc5968861"/>
      <w:r w:rsidRPr="00123C03">
        <w:t>Sportovní reprezentace</w:t>
      </w:r>
      <w:bookmarkEnd w:id="137"/>
      <w:bookmarkEnd w:id="138"/>
      <w:r w:rsidRPr="00123C03">
        <w:t xml:space="preserve"> </w:t>
      </w:r>
    </w:p>
    <w:p w14:paraId="022BD810" w14:textId="77777777" w:rsidR="00975C88" w:rsidRPr="00123C03" w:rsidRDefault="00975C88" w:rsidP="00975C88">
      <w:pPr>
        <w:pStyle w:val="KS5"/>
        <w:numPr>
          <w:ilvl w:val="0"/>
          <w:numId w:val="0"/>
        </w:numPr>
        <w:ind w:left="1134"/>
        <w:rPr>
          <w:highlight w:val="yellow"/>
        </w:rPr>
      </w:pPr>
    </w:p>
    <w:p w14:paraId="670C81A0" w14:textId="77777777" w:rsidR="00975C88" w:rsidRPr="00123C03" w:rsidRDefault="00975C88" w:rsidP="00975C88">
      <w:pPr>
        <w:ind w:firstLine="567"/>
      </w:pPr>
      <w:r w:rsidRPr="00123C03">
        <w:rPr>
          <w:szCs w:val="24"/>
        </w:rPr>
        <w:t xml:space="preserve">Z rozpočtu „Sportovní reprezentace“ ve výši </w:t>
      </w:r>
      <w:r w:rsidRPr="0083530F">
        <w:rPr>
          <w:b/>
          <w:szCs w:val="24"/>
        </w:rPr>
        <w:t>2 401 101 600</w:t>
      </w:r>
      <w:r>
        <w:rPr>
          <w:szCs w:val="24"/>
        </w:rPr>
        <w:t xml:space="preserve"> </w:t>
      </w:r>
      <w:r w:rsidRPr="00123C03">
        <w:rPr>
          <w:b/>
          <w:szCs w:val="24"/>
        </w:rPr>
        <w:t>Kč</w:t>
      </w:r>
      <w:r w:rsidRPr="00123C03">
        <w:rPr>
          <w:szCs w:val="24"/>
        </w:rPr>
        <w:t xml:space="preserve"> jsou vyčleněny finanční prostředky na:</w:t>
      </w:r>
    </w:p>
    <w:p w14:paraId="65D5D096" w14:textId="77777777" w:rsidR="00975C88" w:rsidRPr="00123C03" w:rsidRDefault="00975C88" w:rsidP="00975C88">
      <w:pPr>
        <w:ind w:firstLine="567"/>
        <w:rPr>
          <w:b/>
          <w:i/>
          <w:sz w:val="16"/>
          <w:szCs w:val="16"/>
        </w:rPr>
      </w:pPr>
      <w:r w:rsidRPr="00123C03">
        <w:rPr>
          <w:b/>
          <w:i/>
        </w:rPr>
        <w:tab/>
      </w:r>
    </w:p>
    <w:p w14:paraId="56AFE5D4" w14:textId="77777777" w:rsidR="00975C88" w:rsidRDefault="00975C88" w:rsidP="005B6E93">
      <w:pPr>
        <w:pStyle w:val="Odstavecseseznamem"/>
        <w:numPr>
          <w:ilvl w:val="0"/>
          <w:numId w:val="68"/>
        </w:numPr>
        <w:ind w:left="566" w:hanging="283"/>
        <w:contextualSpacing/>
        <w:jc w:val="left"/>
        <w:rPr>
          <w:szCs w:val="24"/>
        </w:rPr>
      </w:pPr>
      <w:r w:rsidRPr="00123C03">
        <w:rPr>
          <w:szCs w:val="24"/>
        </w:rPr>
        <w:t xml:space="preserve">Sportovní reprezentaci </w:t>
      </w:r>
      <w:r>
        <w:rPr>
          <w:szCs w:val="24"/>
        </w:rPr>
        <w:t>– neinvestiční dotace</w:t>
      </w:r>
      <w:r w:rsidRPr="00123C03">
        <w:rPr>
          <w:szCs w:val="24"/>
        </w:rPr>
        <w:tab/>
      </w:r>
      <w:r w:rsidRPr="00123C03">
        <w:rPr>
          <w:szCs w:val="24"/>
        </w:rPr>
        <w:tab/>
      </w:r>
      <w:r>
        <w:rPr>
          <w:szCs w:val="24"/>
        </w:rPr>
        <w:t xml:space="preserve">                </w:t>
      </w:r>
      <w:r>
        <w:rPr>
          <w:szCs w:val="24"/>
        </w:rPr>
        <w:tab/>
        <w:t xml:space="preserve">    1 741 270 897 </w:t>
      </w:r>
      <w:r w:rsidR="00636DE9">
        <w:rPr>
          <w:szCs w:val="24"/>
        </w:rPr>
        <w:t>Kč</w:t>
      </w:r>
    </w:p>
    <w:p w14:paraId="3510DFF7" w14:textId="77777777" w:rsidR="00975C88" w:rsidRPr="00123C03" w:rsidRDefault="00975C88" w:rsidP="005B6E93">
      <w:pPr>
        <w:pStyle w:val="Odstavecseseznamem"/>
        <w:numPr>
          <w:ilvl w:val="0"/>
          <w:numId w:val="68"/>
        </w:numPr>
        <w:ind w:left="566" w:hanging="283"/>
        <w:contextualSpacing/>
        <w:jc w:val="left"/>
        <w:rPr>
          <w:szCs w:val="24"/>
        </w:rPr>
      </w:pPr>
      <w:r>
        <w:rPr>
          <w:szCs w:val="24"/>
        </w:rPr>
        <w:t>Sportovní reprezentace – programové financování</w:t>
      </w:r>
      <w:r>
        <w:rPr>
          <w:szCs w:val="24"/>
        </w:rPr>
        <w:tab/>
      </w:r>
      <w:r>
        <w:rPr>
          <w:szCs w:val="24"/>
        </w:rPr>
        <w:tab/>
      </w:r>
      <w:r>
        <w:rPr>
          <w:szCs w:val="24"/>
        </w:rPr>
        <w:tab/>
        <w:t xml:space="preserve">       450 000 000 Kč</w:t>
      </w:r>
    </w:p>
    <w:p w14:paraId="636CDA6C" w14:textId="77777777" w:rsidR="00975C88" w:rsidRPr="00123C03" w:rsidRDefault="00975C88" w:rsidP="005B6E93">
      <w:pPr>
        <w:numPr>
          <w:ilvl w:val="0"/>
          <w:numId w:val="67"/>
        </w:numPr>
        <w:ind w:left="577" w:hanging="294"/>
        <w:jc w:val="left"/>
        <w:rPr>
          <w:szCs w:val="24"/>
        </w:rPr>
      </w:pPr>
      <w:r w:rsidRPr="00123C03">
        <w:rPr>
          <w:szCs w:val="24"/>
        </w:rPr>
        <w:t>VSC a ADV</w:t>
      </w:r>
      <w:r w:rsidRPr="00123C03">
        <w:rPr>
          <w:szCs w:val="24"/>
        </w:rPr>
        <w:tab/>
        <w:t xml:space="preserve">                                                                                      </w:t>
      </w:r>
      <w:r>
        <w:rPr>
          <w:szCs w:val="24"/>
        </w:rPr>
        <w:t xml:space="preserve">    209 830 703 </w:t>
      </w:r>
      <w:r w:rsidRPr="00123C03">
        <w:rPr>
          <w:szCs w:val="24"/>
        </w:rPr>
        <w:t>Kč</w:t>
      </w:r>
      <w:r w:rsidRPr="00123C03">
        <w:rPr>
          <w:szCs w:val="24"/>
        </w:rPr>
        <w:tab/>
      </w:r>
      <w:r w:rsidRPr="00123C03">
        <w:rPr>
          <w:szCs w:val="24"/>
        </w:rPr>
        <w:tab/>
      </w:r>
      <w:r w:rsidRPr="00123C03">
        <w:rPr>
          <w:szCs w:val="24"/>
        </w:rPr>
        <w:tab/>
      </w:r>
      <w:r w:rsidRPr="00123C03">
        <w:rPr>
          <w:szCs w:val="24"/>
        </w:rPr>
        <w:tab/>
      </w:r>
    </w:p>
    <w:p w14:paraId="62045D50" w14:textId="77777777" w:rsidR="00975C88" w:rsidRDefault="00975C88" w:rsidP="008E014F">
      <w:pPr>
        <w:pStyle w:val="Text"/>
      </w:pPr>
      <w:r w:rsidRPr="00E12520">
        <w:t>Neinvestiční dotace v ukazateli Sportovní reprezentace směřují především na posílení systematické a koncepční práce se sportovně talentovanou mládeží</w:t>
      </w:r>
      <w:r>
        <w:t xml:space="preserve"> prostřednictvím Výzvy TALENT</w:t>
      </w:r>
      <w:r w:rsidRPr="00E12520">
        <w:t>, a to s důrazem na zlepšení financování sportovních her a zimních</w:t>
      </w:r>
      <w:r>
        <w:t xml:space="preserve"> sportů,</w:t>
      </w:r>
      <w:r w:rsidRPr="00E12520">
        <w:t xml:space="preserve"> a</w:t>
      </w:r>
      <w:r>
        <w:t> </w:t>
      </w:r>
      <w:r w:rsidRPr="00E12520">
        <w:t xml:space="preserve">s přihlédnutím k hlavnímu úkolu sportovních svazů, kterým je inovace systému práce s talentovanou mládeží prostřednictvím Sportovních středisek a Sportovních center mládeže pro zvýšení konkurenceschopnosti budoucích reprezentantů. </w:t>
      </w:r>
    </w:p>
    <w:p w14:paraId="5C7CBE79" w14:textId="77777777" w:rsidR="00975C88" w:rsidRDefault="00975C88" w:rsidP="008E014F">
      <w:pPr>
        <w:pStyle w:val="Text"/>
      </w:pPr>
      <w:r>
        <w:t>Finanční</w:t>
      </w:r>
      <w:r w:rsidRPr="00E12520">
        <w:t xml:space="preserve"> prostředky směřují </w:t>
      </w:r>
      <w:r>
        <w:t xml:space="preserve">také </w:t>
      </w:r>
      <w:r w:rsidRPr="00E12520">
        <w:t>k podpoře sportovní reprezentace České republiky prostřednictvím Výzvy REPRE, a to s akcentem na posílení sportovních odvětví, které potřebují v roce 2019 získat kvalifikační místa na Letní olympijské hry v Tokiu 2020.</w:t>
      </w:r>
      <w:r>
        <w:t xml:space="preserve"> S tímto souvisí také rozvoj podmínek pro přípravu reprezentantů zařazených do VSC, které akcentují posílení metodického úseku, tedy přenos nových odborných poznatků do přípravy reprezentantů, a dále pak na posilování materiálního a zdravotního zabezpečení.</w:t>
      </w:r>
    </w:p>
    <w:p w14:paraId="38A3FDD3" w14:textId="77777777" w:rsidR="00975C88" w:rsidRPr="00E12520" w:rsidRDefault="00975C88" w:rsidP="008E014F">
      <w:pPr>
        <w:pStyle w:val="Text"/>
      </w:pPr>
      <w:r>
        <w:t>Prostředky programového financování budou směřovány k modernímu sportovnímu vybavení a nákupu technologií či k plnění technických předpisů sportovních zařízení zejména při pořádání významných sportovních akcí. Více viz programové financování.</w:t>
      </w:r>
    </w:p>
    <w:p w14:paraId="628DA5D7" w14:textId="77777777" w:rsidR="00975C88" w:rsidRPr="00123C03" w:rsidRDefault="00975C88" w:rsidP="00B26388">
      <w:pPr>
        <w:pStyle w:val="Nadpis3"/>
      </w:pPr>
      <w:bookmarkStart w:id="139" w:name="_Toc431815413"/>
      <w:bookmarkStart w:id="140" w:name="_Toc5968862"/>
      <w:r w:rsidRPr="00123C03">
        <w:lastRenderedPageBreak/>
        <w:t>Všeobecná sportovní činnost</w:t>
      </w:r>
      <w:bookmarkEnd w:id="139"/>
      <w:bookmarkEnd w:id="140"/>
    </w:p>
    <w:p w14:paraId="6F2009D6" w14:textId="77777777" w:rsidR="00975C88" w:rsidRPr="00123C03" w:rsidRDefault="00975C88" w:rsidP="00975C88">
      <w:pPr>
        <w:rPr>
          <w:lang w:eastAsia="en-US"/>
        </w:rPr>
      </w:pPr>
    </w:p>
    <w:p w14:paraId="3B2643B0" w14:textId="77777777" w:rsidR="00975C88" w:rsidRPr="0039211A" w:rsidRDefault="00975C88" w:rsidP="00975C88">
      <w:pPr>
        <w:ind w:firstLine="567"/>
        <w:rPr>
          <w:szCs w:val="24"/>
        </w:rPr>
      </w:pPr>
      <w:r w:rsidRPr="0039211A">
        <w:rPr>
          <w:szCs w:val="24"/>
        </w:rPr>
        <w:t>Z rozpočtu „Všeobecné sportovní činnosti“ ve výši 4 598 898 400 Kč jsou vyčleněny finanční prostředky na:</w:t>
      </w:r>
    </w:p>
    <w:p w14:paraId="45FF94F9" w14:textId="77777777" w:rsidR="00975C88" w:rsidRDefault="00975C88" w:rsidP="005B6E93">
      <w:pPr>
        <w:pStyle w:val="Odstavecseseznamem"/>
        <w:numPr>
          <w:ilvl w:val="0"/>
          <w:numId w:val="68"/>
        </w:numPr>
        <w:ind w:left="566" w:hanging="283"/>
        <w:contextualSpacing/>
        <w:jc w:val="left"/>
        <w:rPr>
          <w:szCs w:val="24"/>
        </w:rPr>
      </w:pPr>
      <w:r w:rsidRPr="0039211A">
        <w:rPr>
          <w:szCs w:val="24"/>
        </w:rPr>
        <w:t>Všeobecná sportovní činnost – neinvestiční dotace</w:t>
      </w:r>
      <w:r>
        <w:rPr>
          <w:szCs w:val="24"/>
        </w:rPr>
        <w:tab/>
      </w:r>
      <w:r>
        <w:rPr>
          <w:szCs w:val="24"/>
        </w:rPr>
        <w:tab/>
      </w:r>
      <w:r>
        <w:rPr>
          <w:szCs w:val="24"/>
        </w:rPr>
        <w:tab/>
        <w:t xml:space="preserve">    3 048 898 400 Kč</w:t>
      </w:r>
    </w:p>
    <w:p w14:paraId="7902ECB8" w14:textId="77777777" w:rsidR="00975C88" w:rsidRPr="0039211A" w:rsidRDefault="00975C88" w:rsidP="00975C88">
      <w:pPr>
        <w:pStyle w:val="Odstavecseseznamem"/>
        <w:ind w:left="566"/>
        <w:rPr>
          <w:szCs w:val="24"/>
        </w:rPr>
      </w:pPr>
      <w:r>
        <w:rPr>
          <w:szCs w:val="24"/>
        </w:rPr>
        <w:tab/>
      </w:r>
      <w:r>
        <w:rPr>
          <w:szCs w:val="24"/>
        </w:rPr>
        <w:tab/>
        <w:t>z toho: školní sport</w:t>
      </w:r>
      <w:r>
        <w:rPr>
          <w:szCs w:val="24"/>
        </w:rPr>
        <w:tab/>
      </w:r>
      <w:r>
        <w:rPr>
          <w:szCs w:val="24"/>
        </w:rPr>
        <w:tab/>
      </w:r>
      <w:r>
        <w:rPr>
          <w:szCs w:val="24"/>
        </w:rPr>
        <w:tab/>
      </w:r>
      <w:r>
        <w:rPr>
          <w:szCs w:val="24"/>
        </w:rPr>
        <w:tab/>
      </w:r>
      <w:r>
        <w:rPr>
          <w:szCs w:val="24"/>
        </w:rPr>
        <w:tab/>
      </w:r>
      <w:r>
        <w:rPr>
          <w:szCs w:val="24"/>
        </w:rPr>
        <w:tab/>
        <w:t xml:space="preserve">       145 000 000 Kč</w:t>
      </w:r>
    </w:p>
    <w:p w14:paraId="00404E00" w14:textId="77777777" w:rsidR="00975C88" w:rsidRDefault="00975C88" w:rsidP="005B6E93">
      <w:pPr>
        <w:pStyle w:val="Odstavecseseznamem"/>
        <w:numPr>
          <w:ilvl w:val="0"/>
          <w:numId w:val="68"/>
        </w:numPr>
        <w:ind w:left="566" w:hanging="283"/>
        <w:contextualSpacing/>
        <w:jc w:val="left"/>
        <w:rPr>
          <w:szCs w:val="24"/>
        </w:rPr>
      </w:pPr>
      <w:r>
        <w:rPr>
          <w:szCs w:val="24"/>
        </w:rPr>
        <w:t>Všeobecná sportovní činnost – programové financování</w:t>
      </w:r>
      <w:r>
        <w:rPr>
          <w:szCs w:val="24"/>
        </w:rPr>
        <w:tab/>
      </w:r>
      <w:r>
        <w:rPr>
          <w:szCs w:val="24"/>
        </w:rPr>
        <w:tab/>
        <w:t xml:space="preserve">    1 550 000 000 Kč</w:t>
      </w:r>
    </w:p>
    <w:p w14:paraId="3DFD12EB" w14:textId="77777777" w:rsidR="00975C88" w:rsidRDefault="00975C88" w:rsidP="00975C88">
      <w:pPr>
        <w:pStyle w:val="Odstavecseseznamem"/>
        <w:ind w:left="566"/>
        <w:rPr>
          <w:szCs w:val="24"/>
        </w:rPr>
      </w:pPr>
      <w:r>
        <w:rPr>
          <w:szCs w:val="24"/>
        </w:rPr>
        <w:tab/>
      </w:r>
      <w:r>
        <w:rPr>
          <w:szCs w:val="24"/>
        </w:rPr>
        <w:tab/>
        <w:t xml:space="preserve">z toho: </w:t>
      </w:r>
    </w:p>
    <w:tbl>
      <w:tblPr>
        <w:tblStyle w:val="Mkatabulky"/>
        <w:tblW w:w="7602" w:type="dxa"/>
        <w:tblInd w:w="1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9"/>
        <w:gridCol w:w="4111"/>
        <w:gridCol w:w="2192"/>
      </w:tblGrid>
      <w:tr w:rsidR="00975C88" w14:paraId="1A106818" w14:textId="77777777" w:rsidTr="00936F9F">
        <w:tc>
          <w:tcPr>
            <w:tcW w:w="1299" w:type="dxa"/>
          </w:tcPr>
          <w:p w14:paraId="30CB8EB3" w14:textId="77777777" w:rsidR="00975C88" w:rsidRPr="0000634C" w:rsidRDefault="00975C88" w:rsidP="00936F9F">
            <w:pPr>
              <w:rPr>
                <w:szCs w:val="24"/>
              </w:rPr>
            </w:pPr>
            <w:r w:rsidRPr="0000634C">
              <w:rPr>
                <w:szCs w:val="24"/>
              </w:rPr>
              <w:t>133D</w:t>
            </w:r>
            <w:r>
              <w:rPr>
                <w:szCs w:val="24"/>
              </w:rPr>
              <w:t xml:space="preserve"> </w:t>
            </w:r>
            <w:r w:rsidRPr="0000634C">
              <w:rPr>
                <w:szCs w:val="24"/>
              </w:rPr>
              <w:t>531</w:t>
            </w:r>
          </w:p>
        </w:tc>
        <w:tc>
          <w:tcPr>
            <w:tcW w:w="4111" w:type="dxa"/>
          </w:tcPr>
          <w:p w14:paraId="0C2E3C47" w14:textId="77777777" w:rsidR="00975C88" w:rsidRDefault="00975C88" w:rsidP="00936F9F">
            <w:pPr>
              <w:pStyle w:val="Odstavecseseznamem"/>
              <w:ind w:left="0"/>
              <w:rPr>
                <w:szCs w:val="24"/>
              </w:rPr>
            </w:pPr>
            <w:r>
              <w:rPr>
                <w:szCs w:val="24"/>
              </w:rPr>
              <w:t>Podpora materiálně technické základny sportu - obce, TJ, SK</w:t>
            </w:r>
          </w:p>
        </w:tc>
        <w:tc>
          <w:tcPr>
            <w:tcW w:w="2192" w:type="dxa"/>
          </w:tcPr>
          <w:p w14:paraId="64CB1BB3" w14:textId="77777777" w:rsidR="00975C88" w:rsidRDefault="00975C88" w:rsidP="00936F9F">
            <w:pPr>
              <w:pStyle w:val="Odstavecseseznamem"/>
              <w:ind w:left="0"/>
              <w:jc w:val="right"/>
              <w:rPr>
                <w:szCs w:val="24"/>
              </w:rPr>
            </w:pPr>
          </w:p>
          <w:p w14:paraId="5EF28CCC" w14:textId="77777777" w:rsidR="00975C88" w:rsidRDefault="00975C88" w:rsidP="00936F9F">
            <w:pPr>
              <w:pStyle w:val="Odstavecseseznamem"/>
              <w:ind w:left="0"/>
              <w:jc w:val="right"/>
              <w:rPr>
                <w:szCs w:val="24"/>
              </w:rPr>
            </w:pPr>
            <w:r>
              <w:rPr>
                <w:szCs w:val="24"/>
              </w:rPr>
              <w:t>1 533 500 000 Kč</w:t>
            </w:r>
          </w:p>
        </w:tc>
      </w:tr>
      <w:tr w:rsidR="00975C88" w14:paraId="643F401E" w14:textId="77777777" w:rsidTr="00936F9F">
        <w:tc>
          <w:tcPr>
            <w:tcW w:w="1299" w:type="dxa"/>
          </w:tcPr>
          <w:p w14:paraId="02762F79" w14:textId="77777777" w:rsidR="00975C88" w:rsidRDefault="00975C88" w:rsidP="00936F9F">
            <w:pPr>
              <w:pStyle w:val="Odstavecseseznamem"/>
              <w:ind w:left="0"/>
              <w:rPr>
                <w:szCs w:val="24"/>
              </w:rPr>
            </w:pPr>
            <w:r>
              <w:rPr>
                <w:szCs w:val="24"/>
              </w:rPr>
              <w:t>133D 620</w:t>
            </w:r>
          </w:p>
        </w:tc>
        <w:tc>
          <w:tcPr>
            <w:tcW w:w="4111" w:type="dxa"/>
          </w:tcPr>
          <w:p w14:paraId="0B07E4C4" w14:textId="77777777" w:rsidR="00975C88" w:rsidRDefault="00975C88" w:rsidP="00936F9F">
            <w:pPr>
              <w:pStyle w:val="Odstavecseseznamem"/>
              <w:ind w:left="0"/>
              <w:rPr>
                <w:szCs w:val="24"/>
              </w:rPr>
            </w:pPr>
            <w:r>
              <w:rPr>
                <w:szCs w:val="24"/>
              </w:rPr>
              <w:t>Rozšíření strategické průmyslové zóny Solnice - Kvasiny</w:t>
            </w:r>
          </w:p>
        </w:tc>
        <w:tc>
          <w:tcPr>
            <w:tcW w:w="2192" w:type="dxa"/>
          </w:tcPr>
          <w:p w14:paraId="48DFE256" w14:textId="77777777" w:rsidR="00975C88" w:rsidRDefault="00975C88" w:rsidP="00936F9F">
            <w:pPr>
              <w:pStyle w:val="Odstavecseseznamem"/>
              <w:ind w:left="0"/>
              <w:rPr>
                <w:szCs w:val="24"/>
              </w:rPr>
            </w:pPr>
          </w:p>
          <w:p w14:paraId="4FFAD160" w14:textId="77777777" w:rsidR="00975C88" w:rsidRDefault="00975C88" w:rsidP="00936F9F">
            <w:pPr>
              <w:pStyle w:val="Odstavecseseznamem"/>
              <w:ind w:left="0"/>
              <w:jc w:val="right"/>
              <w:rPr>
                <w:szCs w:val="24"/>
              </w:rPr>
            </w:pPr>
            <w:r>
              <w:rPr>
                <w:szCs w:val="24"/>
              </w:rPr>
              <w:t>16 500 000 Kč</w:t>
            </w:r>
          </w:p>
        </w:tc>
      </w:tr>
    </w:tbl>
    <w:p w14:paraId="698B9C7B" w14:textId="2F742002" w:rsidR="00975C88" w:rsidRDefault="00975C88" w:rsidP="008E014F">
      <w:pPr>
        <w:pStyle w:val="Text"/>
      </w:pPr>
      <w:r>
        <w:t xml:space="preserve">Neinvestiční dotace v </w:t>
      </w:r>
      <w:r w:rsidRPr="0000634C">
        <w:t>této oblasti s</w:t>
      </w:r>
      <w:r>
        <w:t>měřují</w:t>
      </w:r>
      <w:r w:rsidRPr="0000634C">
        <w:t xml:space="preserve"> nejvíce </w:t>
      </w:r>
      <w:r>
        <w:t>k posílení výdajů</w:t>
      </w:r>
      <w:r w:rsidRPr="0000634C">
        <w:t xml:space="preserve"> na </w:t>
      </w:r>
      <w:r>
        <w:t xml:space="preserve">přímou sportovní činnost ve </w:t>
      </w:r>
      <w:r w:rsidRPr="0000634C">
        <w:t>sportovní</w:t>
      </w:r>
      <w:r>
        <w:t>ch klubech a tělovýchovných</w:t>
      </w:r>
      <w:r w:rsidRPr="0000634C">
        <w:t xml:space="preserve"> jednot</w:t>
      </w:r>
      <w:r>
        <w:t>ách</w:t>
      </w:r>
      <w:r w:rsidRPr="0000634C">
        <w:t xml:space="preserve"> (výzva „</w:t>
      </w:r>
      <w:r>
        <w:t>MŮJ KLUB</w:t>
      </w:r>
      <w:r w:rsidRPr="0000634C">
        <w:t xml:space="preserve">“). </w:t>
      </w:r>
      <w:r w:rsidR="00691319">
        <w:t>Na </w:t>
      </w:r>
      <w:r>
        <w:t xml:space="preserve">podporu rozvoje pohybových aktivit dětí a mládeže tak do SK a TJ doputuje </w:t>
      </w:r>
      <w:r w:rsidR="00353705">
        <w:t xml:space="preserve">cca </w:t>
      </w:r>
      <w:r>
        <w:t>1,5 mld. Kč.</w:t>
      </w:r>
      <w:r w:rsidRPr="0000634C">
        <w:t xml:space="preserve"> Podpora do sportu tak stále více směřuje do místních sportovních organizací. </w:t>
      </w:r>
    </w:p>
    <w:p w14:paraId="2BFF15DE" w14:textId="77777777" w:rsidR="00975C88" w:rsidRPr="0000634C" w:rsidRDefault="00975C88" w:rsidP="008E014F">
      <w:pPr>
        <w:pStyle w:val="Text"/>
      </w:pPr>
      <w:r w:rsidRPr="0000634C">
        <w:t>Na druhou stranu do</w:t>
      </w:r>
      <w:r>
        <w:t>chází</w:t>
      </w:r>
      <w:r w:rsidRPr="0000634C">
        <w:t xml:space="preserve"> k mírnému snížení podpory v programu Organizace sportu, tedy činnosti sportovních svazů. Svazy budou posíleny v prostředcích na talentovanou mládež a reprezentaci, ve všeobecné sportovní činnosti budou výdaje stagnovat či mírně klesat.</w:t>
      </w:r>
    </w:p>
    <w:p w14:paraId="73F6B0CC" w14:textId="061253AA" w:rsidR="00975C88" w:rsidRDefault="00975C88" w:rsidP="008E014F">
      <w:pPr>
        <w:pStyle w:val="Text"/>
      </w:pPr>
      <w:r>
        <w:t>V oblasti školního sportu je podporováno rozšíř</w:t>
      </w:r>
      <w:r w:rsidR="00691319">
        <w:t>ení nabídky sportování přímo na </w:t>
      </w:r>
      <w:r>
        <w:t xml:space="preserve">školách, a to v rámci projektu tzv. „Hodiny pohybu na víc“. </w:t>
      </w:r>
    </w:p>
    <w:p w14:paraId="59E9896E" w14:textId="77777777" w:rsidR="00975C88" w:rsidRPr="00097061" w:rsidRDefault="00975C88" w:rsidP="00975C88">
      <w:pPr>
        <w:rPr>
          <w:szCs w:val="24"/>
        </w:rPr>
      </w:pPr>
    </w:p>
    <w:p w14:paraId="6F4A1C98" w14:textId="77777777" w:rsidR="00975C88" w:rsidRPr="00123C03" w:rsidRDefault="00975C88" w:rsidP="00975C88">
      <w:pPr>
        <w:ind w:left="709"/>
        <w:rPr>
          <w:sz w:val="16"/>
          <w:szCs w:val="16"/>
          <w:highlight w:val="yellow"/>
        </w:rPr>
      </w:pPr>
    </w:p>
    <w:p w14:paraId="0937F90B" w14:textId="77777777" w:rsidR="00975C88" w:rsidRPr="00123C03" w:rsidRDefault="00975C88" w:rsidP="00B26388">
      <w:pPr>
        <w:pStyle w:val="Nadpis3"/>
      </w:pPr>
      <w:bookmarkStart w:id="141" w:name="_Toc431815414"/>
      <w:bookmarkStart w:id="142" w:name="_Toc5968863"/>
      <w:r w:rsidRPr="00123C03">
        <w:t>Výdaje na programové financování</w:t>
      </w:r>
      <w:bookmarkEnd w:id="141"/>
      <w:bookmarkEnd w:id="142"/>
    </w:p>
    <w:p w14:paraId="4359DE5B" w14:textId="77777777" w:rsidR="00975C88" w:rsidRPr="00123C03" w:rsidRDefault="00975C88" w:rsidP="00975C88">
      <w:pPr>
        <w:pStyle w:val="Zkladntext"/>
        <w:ind w:left="426" w:firstLine="567"/>
        <w:rPr>
          <w:sz w:val="16"/>
          <w:szCs w:val="16"/>
          <w:highlight w:val="yellow"/>
        </w:rPr>
      </w:pPr>
    </w:p>
    <w:p w14:paraId="69B42E36" w14:textId="77777777" w:rsidR="00975C88" w:rsidRDefault="00975C88" w:rsidP="008E014F">
      <w:pPr>
        <w:pStyle w:val="Text"/>
      </w:pPr>
      <w:r w:rsidRPr="00097061">
        <w:rPr>
          <w:b/>
        </w:rPr>
        <w:t>Program 133 520</w:t>
      </w:r>
      <w:r w:rsidRPr="00097061">
        <w:t xml:space="preserve"> – mezi základní cíle programu 133 520 patří obnova Národních sportovních center pro přípravu státní reprezentace a talentované mládeže, rozvoj materiálně technické základny Resortních sportovních center a sportovních svazů pro potřeby státní reprezentace a talentované mládeže a vytváření podmínek pro pořádání významných sportovních akcí. </w:t>
      </w:r>
    </w:p>
    <w:p w14:paraId="405DAFB3" w14:textId="77777777" w:rsidR="00975C88" w:rsidRPr="00097061" w:rsidRDefault="00975C88" w:rsidP="00975C88">
      <w:pPr>
        <w:rPr>
          <w:szCs w:val="24"/>
        </w:rPr>
      </w:pPr>
    </w:p>
    <w:p w14:paraId="652A36F3" w14:textId="77777777" w:rsidR="00975C88" w:rsidRPr="00427129" w:rsidRDefault="00975C88" w:rsidP="00975C88">
      <w:pPr>
        <w:rPr>
          <w:szCs w:val="24"/>
        </w:rPr>
      </w:pPr>
      <w:r w:rsidRPr="00427129">
        <w:rPr>
          <w:szCs w:val="24"/>
        </w:rPr>
        <w:t xml:space="preserve">Program: </w:t>
      </w:r>
    </w:p>
    <w:p w14:paraId="1F8AE8B6" w14:textId="77777777" w:rsidR="00975C88" w:rsidRPr="00427129" w:rsidRDefault="00975C88" w:rsidP="00975C88">
      <w:pPr>
        <w:rPr>
          <w:szCs w:val="24"/>
        </w:rPr>
      </w:pPr>
      <w:r w:rsidRPr="00427129">
        <w:rPr>
          <w:szCs w:val="24"/>
        </w:rPr>
        <w:t>133 520   Hlavní směry rozvoje sportovní infrastruktury České republiky 2017 - 2024</w:t>
      </w:r>
    </w:p>
    <w:p w14:paraId="2F0E5F31" w14:textId="77777777" w:rsidR="00975C88" w:rsidRPr="00427129" w:rsidRDefault="00975C88" w:rsidP="00975C88">
      <w:pPr>
        <w:rPr>
          <w:szCs w:val="24"/>
          <w:lang w:eastAsia="en-US"/>
        </w:rPr>
      </w:pPr>
    </w:p>
    <w:p w14:paraId="5566A2CE" w14:textId="77777777" w:rsidR="00975C88" w:rsidRDefault="00975C88" w:rsidP="00975C88">
      <w:pPr>
        <w:rPr>
          <w:szCs w:val="24"/>
        </w:rPr>
      </w:pPr>
      <w:r w:rsidRPr="00427129">
        <w:rPr>
          <w:szCs w:val="24"/>
        </w:rPr>
        <w:t xml:space="preserve">Podprogramy: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975C88" w14:paraId="4088528C" w14:textId="77777777" w:rsidTr="00936F9F">
        <w:tc>
          <w:tcPr>
            <w:tcW w:w="1271" w:type="dxa"/>
          </w:tcPr>
          <w:p w14:paraId="5D80A807" w14:textId="77777777" w:rsidR="00975C88" w:rsidRDefault="00975C88" w:rsidP="00936F9F">
            <w:pPr>
              <w:rPr>
                <w:szCs w:val="24"/>
              </w:rPr>
            </w:pPr>
            <w:r w:rsidRPr="00427129">
              <w:rPr>
                <w:szCs w:val="24"/>
              </w:rPr>
              <w:t>133D 521</w:t>
            </w:r>
          </w:p>
        </w:tc>
        <w:tc>
          <w:tcPr>
            <w:tcW w:w="7791" w:type="dxa"/>
          </w:tcPr>
          <w:p w14:paraId="2BBB03AA" w14:textId="77777777" w:rsidR="00975C88" w:rsidRDefault="00975C88" w:rsidP="00936F9F">
            <w:pPr>
              <w:rPr>
                <w:szCs w:val="24"/>
              </w:rPr>
            </w:pPr>
            <w:r w:rsidRPr="00427129">
              <w:rPr>
                <w:szCs w:val="24"/>
              </w:rPr>
              <w:t>Národní sportovní centra</w:t>
            </w:r>
          </w:p>
        </w:tc>
      </w:tr>
      <w:tr w:rsidR="00975C88" w14:paraId="11894781" w14:textId="77777777" w:rsidTr="00936F9F">
        <w:tc>
          <w:tcPr>
            <w:tcW w:w="1271" w:type="dxa"/>
          </w:tcPr>
          <w:p w14:paraId="48D38AC4" w14:textId="77777777" w:rsidR="00975C88" w:rsidRDefault="00975C88" w:rsidP="00936F9F">
            <w:pPr>
              <w:rPr>
                <w:szCs w:val="24"/>
              </w:rPr>
            </w:pPr>
            <w:r w:rsidRPr="00427129">
              <w:rPr>
                <w:szCs w:val="24"/>
              </w:rPr>
              <w:t>133V 522</w:t>
            </w:r>
          </w:p>
        </w:tc>
        <w:tc>
          <w:tcPr>
            <w:tcW w:w="7791" w:type="dxa"/>
          </w:tcPr>
          <w:p w14:paraId="767F6D19" w14:textId="77777777" w:rsidR="00975C88" w:rsidRDefault="00975C88" w:rsidP="00936F9F">
            <w:pPr>
              <w:rPr>
                <w:szCs w:val="24"/>
              </w:rPr>
            </w:pPr>
            <w:r w:rsidRPr="00427129">
              <w:rPr>
                <w:szCs w:val="24"/>
              </w:rPr>
              <w:t>Resortní sportovní centra</w:t>
            </w:r>
          </w:p>
        </w:tc>
      </w:tr>
      <w:tr w:rsidR="00975C88" w14:paraId="3680397F" w14:textId="77777777" w:rsidTr="00936F9F">
        <w:tc>
          <w:tcPr>
            <w:tcW w:w="1271" w:type="dxa"/>
          </w:tcPr>
          <w:p w14:paraId="5A88D73C" w14:textId="77777777" w:rsidR="00975C88" w:rsidRDefault="00975C88" w:rsidP="00936F9F">
            <w:pPr>
              <w:rPr>
                <w:szCs w:val="24"/>
              </w:rPr>
            </w:pPr>
            <w:r w:rsidRPr="00427129">
              <w:rPr>
                <w:szCs w:val="24"/>
              </w:rPr>
              <w:t>133D 523</w:t>
            </w:r>
          </w:p>
        </w:tc>
        <w:tc>
          <w:tcPr>
            <w:tcW w:w="7791" w:type="dxa"/>
          </w:tcPr>
          <w:p w14:paraId="4EB5FB8D" w14:textId="77777777" w:rsidR="00975C88" w:rsidRDefault="00975C88" w:rsidP="00936F9F">
            <w:pPr>
              <w:rPr>
                <w:szCs w:val="24"/>
              </w:rPr>
            </w:pPr>
            <w:r w:rsidRPr="00427129">
              <w:rPr>
                <w:szCs w:val="24"/>
              </w:rPr>
              <w:t xml:space="preserve">Rozvoj materiálně technické základny sportovních svazů </w:t>
            </w:r>
            <w:r>
              <w:rPr>
                <w:szCs w:val="24"/>
              </w:rPr>
              <w:t xml:space="preserve">pro potřeby </w:t>
            </w:r>
            <w:r w:rsidRPr="00427129">
              <w:rPr>
                <w:szCs w:val="24"/>
              </w:rPr>
              <w:t>reprezentace a talentované mládeže</w:t>
            </w:r>
          </w:p>
        </w:tc>
      </w:tr>
      <w:tr w:rsidR="00975C88" w14:paraId="1A2317C3" w14:textId="77777777" w:rsidTr="00936F9F">
        <w:tc>
          <w:tcPr>
            <w:tcW w:w="1271" w:type="dxa"/>
          </w:tcPr>
          <w:p w14:paraId="702A9ED7" w14:textId="77777777" w:rsidR="00975C88" w:rsidRDefault="00975C88" w:rsidP="00936F9F">
            <w:pPr>
              <w:rPr>
                <w:szCs w:val="24"/>
              </w:rPr>
            </w:pPr>
            <w:r w:rsidRPr="00427129">
              <w:rPr>
                <w:szCs w:val="24"/>
              </w:rPr>
              <w:t>133D 524</w:t>
            </w:r>
          </w:p>
        </w:tc>
        <w:tc>
          <w:tcPr>
            <w:tcW w:w="7791" w:type="dxa"/>
          </w:tcPr>
          <w:p w14:paraId="2E1C98EA" w14:textId="77777777" w:rsidR="00975C88" w:rsidRDefault="00975C88" w:rsidP="00936F9F">
            <w:pPr>
              <w:rPr>
                <w:szCs w:val="24"/>
              </w:rPr>
            </w:pPr>
            <w:r w:rsidRPr="00427129">
              <w:rPr>
                <w:szCs w:val="24"/>
              </w:rPr>
              <w:t>Významné sportovní akce</w:t>
            </w:r>
          </w:p>
        </w:tc>
      </w:tr>
    </w:tbl>
    <w:p w14:paraId="4F5343A5" w14:textId="77777777" w:rsidR="00975C88" w:rsidRPr="00427129" w:rsidRDefault="00975C88" w:rsidP="00975C88">
      <w:pPr>
        <w:rPr>
          <w:szCs w:val="24"/>
        </w:rPr>
      </w:pPr>
    </w:p>
    <w:p w14:paraId="4856E66F" w14:textId="01668B7B" w:rsidR="00975C88" w:rsidRPr="00D90091" w:rsidRDefault="00975C88" w:rsidP="00636DE9">
      <w:pPr>
        <w:pStyle w:val="Text"/>
      </w:pPr>
      <w:r w:rsidRPr="00D90091">
        <w:rPr>
          <w:b/>
        </w:rPr>
        <w:t>Program 133 530</w:t>
      </w:r>
      <w:r w:rsidRPr="00D90091">
        <w:t xml:space="preserve"> – mezi základní cíle programu 133 530 patří podpora sportování organizovaných sportovců s důrazem na sport dětí </w:t>
      </w:r>
      <w:r w:rsidR="00691319">
        <w:t>a mládeže, umožnění přístupu ke </w:t>
      </w:r>
      <w:r w:rsidRPr="00D90091">
        <w:t>sportovištím co nejširšímu počtu zájemců o sportování, rozvíjení sportovně technických parametrů sportovišť s ohledem na bezpečnost a na požadavky národních a mezinárodních sportovních federací, zlepšení hygienické úrovně sportovních z</w:t>
      </w:r>
      <w:r w:rsidR="00691319">
        <w:t>ařízení a odstranění překážek a </w:t>
      </w:r>
      <w:r w:rsidRPr="00D90091">
        <w:t xml:space="preserve">bariér bránících přístupnosti na sportoviště osobám </w:t>
      </w:r>
      <w:r w:rsidR="00691319">
        <w:t>se sníženou schopností pohybu a </w:t>
      </w:r>
      <w:r w:rsidRPr="00D90091">
        <w:t xml:space="preserve">orientace včetně sportovců. </w:t>
      </w:r>
      <w:r>
        <w:t xml:space="preserve">Podpora je směřována do Výzvy pro SK a TJ na obnovu </w:t>
      </w:r>
      <w:r>
        <w:lastRenderedPageBreak/>
        <w:t>sportovních zařízení a dále do Výzvy pro obce na obnovu a výstavbu obecních sportovních hal a stadiónů.</w:t>
      </w:r>
    </w:p>
    <w:p w14:paraId="64AC8E3F" w14:textId="77777777" w:rsidR="00975C88" w:rsidRPr="00427129" w:rsidRDefault="00975C88" w:rsidP="00975C88">
      <w:pPr>
        <w:rPr>
          <w:szCs w:val="24"/>
        </w:rPr>
      </w:pPr>
      <w:r w:rsidRPr="00427129">
        <w:rPr>
          <w:szCs w:val="24"/>
        </w:rPr>
        <w:t>Program:</w:t>
      </w:r>
    </w:p>
    <w:p w14:paraId="4AD9E5BF" w14:textId="77777777" w:rsidR="00975C88" w:rsidRPr="00427129" w:rsidRDefault="00975C88" w:rsidP="00975C88">
      <w:pPr>
        <w:rPr>
          <w:b/>
          <w:bCs/>
          <w:color w:val="000000"/>
        </w:rPr>
      </w:pPr>
      <w:r w:rsidRPr="00427129">
        <w:rPr>
          <w:color w:val="000000"/>
          <w:szCs w:val="24"/>
        </w:rPr>
        <w:t>133 530  Podpora materiálně technické základy sportu - Obce, TJ, SK</w:t>
      </w:r>
    </w:p>
    <w:p w14:paraId="244FA894" w14:textId="77777777" w:rsidR="00975C88" w:rsidRPr="00427129" w:rsidRDefault="00975C88" w:rsidP="00975C88">
      <w:pPr>
        <w:rPr>
          <w:szCs w:val="24"/>
          <w:lang w:eastAsia="en-US"/>
        </w:rPr>
      </w:pPr>
    </w:p>
    <w:p w14:paraId="1F030797" w14:textId="77777777" w:rsidR="00975C88" w:rsidRDefault="00975C88" w:rsidP="00975C88">
      <w:pPr>
        <w:rPr>
          <w:szCs w:val="24"/>
        </w:rPr>
      </w:pPr>
      <w:r w:rsidRPr="00427129">
        <w:rPr>
          <w:szCs w:val="24"/>
        </w:rPr>
        <w:t xml:space="preserve">Podprogramy: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975C88" w14:paraId="15491BEF" w14:textId="77777777" w:rsidTr="00936F9F">
        <w:tc>
          <w:tcPr>
            <w:tcW w:w="1271" w:type="dxa"/>
          </w:tcPr>
          <w:p w14:paraId="5246ECD1" w14:textId="77777777" w:rsidR="00975C88" w:rsidRDefault="00975C88" w:rsidP="00936F9F">
            <w:pPr>
              <w:rPr>
                <w:szCs w:val="24"/>
              </w:rPr>
            </w:pPr>
            <w:r w:rsidRPr="00427129">
              <w:rPr>
                <w:szCs w:val="24"/>
              </w:rPr>
              <w:t>133D 531</w:t>
            </w:r>
          </w:p>
        </w:tc>
        <w:tc>
          <w:tcPr>
            <w:tcW w:w="7791" w:type="dxa"/>
          </w:tcPr>
          <w:p w14:paraId="05F7FA47" w14:textId="77777777" w:rsidR="00975C88" w:rsidRDefault="00975C88" w:rsidP="00936F9F">
            <w:pPr>
              <w:rPr>
                <w:szCs w:val="24"/>
              </w:rPr>
            </w:pPr>
            <w:r w:rsidRPr="00427129">
              <w:rPr>
                <w:szCs w:val="24"/>
              </w:rPr>
              <w:t>Podpora materiálně technické základy sportu - Obce, TJ, SK</w:t>
            </w:r>
          </w:p>
        </w:tc>
      </w:tr>
      <w:tr w:rsidR="00975C88" w14:paraId="5DA82DDB" w14:textId="77777777" w:rsidTr="00936F9F">
        <w:tc>
          <w:tcPr>
            <w:tcW w:w="1271" w:type="dxa"/>
          </w:tcPr>
          <w:p w14:paraId="30C164C2" w14:textId="77777777" w:rsidR="00975C88" w:rsidRDefault="00975C88" w:rsidP="00936F9F">
            <w:pPr>
              <w:rPr>
                <w:szCs w:val="24"/>
              </w:rPr>
            </w:pPr>
            <w:r w:rsidRPr="00427129">
              <w:rPr>
                <w:szCs w:val="24"/>
              </w:rPr>
              <w:t>133D 532</w:t>
            </w:r>
          </w:p>
        </w:tc>
        <w:tc>
          <w:tcPr>
            <w:tcW w:w="7791" w:type="dxa"/>
          </w:tcPr>
          <w:p w14:paraId="06434484" w14:textId="77777777" w:rsidR="00975C88" w:rsidRDefault="00975C88" w:rsidP="00936F9F">
            <w:pPr>
              <w:rPr>
                <w:szCs w:val="24"/>
              </w:rPr>
            </w:pPr>
            <w:r w:rsidRPr="00427129">
              <w:rPr>
                <w:szCs w:val="24"/>
              </w:rPr>
              <w:t>Program mobility</w:t>
            </w:r>
          </w:p>
        </w:tc>
      </w:tr>
    </w:tbl>
    <w:p w14:paraId="17F4035A" w14:textId="77777777" w:rsidR="00975C88" w:rsidRDefault="00975C88" w:rsidP="00975C88">
      <w:pPr>
        <w:rPr>
          <w:szCs w:val="24"/>
        </w:rPr>
      </w:pPr>
    </w:p>
    <w:p w14:paraId="0731508A" w14:textId="77777777" w:rsidR="00975C88" w:rsidRPr="00D90091" w:rsidRDefault="00975C88" w:rsidP="008E014F">
      <w:pPr>
        <w:pStyle w:val="Text"/>
      </w:pPr>
      <w:r w:rsidRPr="00D90091">
        <w:rPr>
          <w:b/>
        </w:rPr>
        <w:t>Program 133 620</w:t>
      </w:r>
      <w:r w:rsidRPr="00D90091">
        <w:t xml:space="preserve"> - Rozšíření strategické průmyslové zóny Solnice - Kvasiny a zlepšení veřejné infrastruktury v Královéhradeckém regionu. V programu bude prostřednictvím definovaných cílů zajištěno plnění usnesení vlády č. 469 ze dne 21. 6. 2017 na podporu jmenovitých projektů vzdělávací a sportovní infrastruktury. </w:t>
      </w:r>
    </w:p>
    <w:p w14:paraId="09EB847E" w14:textId="77777777" w:rsidR="00975C88" w:rsidRDefault="00975C88" w:rsidP="00975C88">
      <w:pPr>
        <w:rPr>
          <w:szCs w:val="24"/>
        </w:rPr>
      </w:pPr>
      <w:r w:rsidRPr="00CF0E2B">
        <w:rPr>
          <w:szCs w:val="24"/>
        </w:rPr>
        <w:t xml:space="preserve">Podprogram: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975C88" w14:paraId="2B3B46BF" w14:textId="77777777" w:rsidTr="00936F9F">
        <w:tc>
          <w:tcPr>
            <w:tcW w:w="1271" w:type="dxa"/>
          </w:tcPr>
          <w:p w14:paraId="2B469EC1" w14:textId="77777777" w:rsidR="00975C88" w:rsidRDefault="00975C88" w:rsidP="00936F9F">
            <w:pPr>
              <w:rPr>
                <w:szCs w:val="24"/>
              </w:rPr>
            </w:pPr>
            <w:r w:rsidRPr="00CF0E2B">
              <w:rPr>
                <w:szCs w:val="24"/>
              </w:rPr>
              <w:t>133D</w:t>
            </w:r>
            <w:r>
              <w:rPr>
                <w:szCs w:val="24"/>
              </w:rPr>
              <w:t xml:space="preserve"> </w:t>
            </w:r>
            <w:r w:rsidRPr="00CF0E2B">
              <w:rPr>
                <w:szCs w:val="24"/>
              </w:rPr>
              <w:t>622</w:t>
            </w:r>
          </w:p>
        </w:tc>
        <w:tc>
          <w:tcPr>
            <w:tcW w:w="7791" w:type="dxa"/>
          </w:tcPr>
          <w:p w14:paraId="4F4528CE" w14:textId="77777777" w:rsidR="00975C88" w:rsidRDefault="00975C88" w:rsidP="00936F9F">
            <w:pPr>
              <w:rPr>
                <w:szCs w:val="24"/>
              </w:rPr>
            </w:pPr>
            <w:r w:rsidRPr="00C95981">
              <w:rPr>
                <w:szCs w:val="24"/>
              </w:rPr>
              <w:t>Rozšíření strategické průmyslové zóny Solnice - Kvasiny a zlepšení veřejné infrastruktury v Královéhradeckém regionu – vzdělá</w:t>
            </w:r>
            <w:r>
              <w:rPr>
                <w:szCs w:val="24"/>
              </w:rPr>
              <w:t>vací a sportovní infrastruktura</w:t>
            </w:r>
          </w:p>
        </w:tc>
      </w:tr>
    </w:tbl>
    <w:p w14:paraId="1C15D40C" w14:textId="77777777" w:rsidR="00331C59" w:rsidRPr="00F674C7" w:rsidRDefault="00331C59" w:rsidP="00331C59">
      <w:pPr>
        <w:ind w:left="709" w:hanging="425"/>
        <w:rPr>
          <w:szCs w:val="24"/>
        </w:rPr>
      </w:pPr>
      <w:r w:rsidRPr="00853611">
        <w:rPr>
          <w:szCs w:val="24"/>
          <w:highlight w:val="yellow"/>
        </w:rPr>
        <w:t xml:space="preserve"> </w:t>
      </w:r>
    </w:p>
    <w:p w14:paraId="0C748EDA" w14:textId="77777777" w:rsidR="00C069EF" w:rsidRPr="00F674C7" w:rsidRDefault="00C069EF" w:rsidP="00C069EF">
      <w:pPr>
        <w:ind w:left="709"/>
        <w:rPr>
          <w:color w:val="548DD4"/>
          <w:sz w:val="16"/>
          <w:szCs w:val="16"/>
        </w:rPr>
      </w:pPr>
    </w:p>
    <w:p w14:paraId="6E990767" w14:textId="77777777" w:rsidR="001B016A" w:rsidRPr="00F674C7" w:rsidRDefault="001B016A" w:rsidP="00F674C7">
      <w:pPr>
        <w:rPr>
          <w:sz w:val="20"/>
        </w:rPr>
      </w:pPr>
      <w:r w:rsidRPr="00F674C7">
        <w:rPr>
          <w:sz w:val="20"/>
        </w:rPr>
        <w:t>Tabulkové přílohy ke kapitole C</w:t>
      </w:r>
      <w:r w:rsidR="000939F5" w:rsidRPr="00F674C7">
        <w:rPr>
          <w:sz w:val="20"/>
        </w:rPr>
        <w:t>.</w:t>
      </w:r>
      <w:r w:rsidRPr="00F674C7">
        <w:rPr>
          <w:sz w:val="20"/>
        </w:rPr>
        <w:t>IV:</w:t>
      </w:r>
    </w:p>
    <w:p w14:paraId="7FBDDBD2" w14:textId="77777777" w:rsidR="001B016A" w:rsidRPr="00F674C7" w:rsidRDefault="001B016A" w:rsidP="001B016A">
      <w:pPr>
        <w:rPr>
          <w:b/>
          <w:i/>
          <w:sz w:val="20"/>
        </w:rPr>
      </w:pPr>
    </w:p>
    <w:bookmarkEnd w:id="136"/>
    <w:p w14:paraId="31A70C96" w14:textId="77777777" w:rsidR="00A33D15" w:rsidRPr="00F674C7" w:rsidRDefault="00A33D15" w:rsidP="00A33D15">
      <w:pPr>
        <w:rPr>
          <w:sz w:val="20"/>
        </w:rPr>
      </w:pPr>
      <w:r w:rsidRPr="00F674C7">
        <w:rPr>
          <w:sz w:val="20"/>
        </w:rPr>
        <w:t>Tabulka č. 1</w:t>
      </w:r>
      <w:r w:rsidRPr="00F674C7">
        <w:rPr>
          <w:sz w:val="20"/>
        </w:rPr>
        <w:tab/>
        <w:t>Rozpoč</w:t>
      </w:r>
      <w:r w:rsidR="00C26F0C" w:rsidRPr="00F674C7">
        <w:rPr>
          <w:sz w:val="20"/>
        </w:rPr>
        <w:t>et pro oblast sportu na rok 201</w:t>
      </w:r>
      <w:r w:rsidR="00F674C7" w:rsidRPr="00F674C7">
        <w:rPr>
          <w:sz w:val="20"/>
        </w:rPr>
        <w:t>9</w:t>
      </w:r>
    </w:p>
    <w:p w14:paraId="709AB5B9" w14:textId="77777777" w:rsidR="00A33D15" w:rsidRPr="00F674C7" w:rsidRDefault="00A33D15" w:rsidP="00A33D15">
      <w:pPr>
        <w:rPr>
          <w:sz w:val="20"/>
        </w:rPr>
      </w:pPr>
      <w:r w:rsidRPr="00F674C7">
        <w:rPr>
          <w:sz w:val="20"/>
        </w:rPr>
        <w:t>Tabulka č. 2</w:t>
      </w:r>
      <w:r w:rsidRPr="00F674C7">
        <w:rPr>
          <w:sz w:val="20"/>
        </w:rPr>
        <w:tab/>
        <w:t>Rozpis rozpočtu běžných výdajů státní sportovní reprezent</w:t>
      </w:r>
      <w:r w:rsidR="00C26F0C" w:rsidRPr="00F674C7">
        <w:rPr>
          <w:sz w:val="20"/>
        </w:rPr>
        <w:t>ace - resortní centra na r. 201</w:t>
      </w:r>
      <w:r w:rsidR="00F674C7" w:rsidRPr="00F674C7">
        <w:rPr>
          <w:sz w:val="20"/>
        </w:rPr>
        <w:t>9</w:t>
      </w:r>
    </w:p>
    <w:p w14:paraId="7A3A753C" w14:textId="732470E9" w:rsidR="003F61AA" w:rsidRDefault="003F61AA">
      <w:pPr>
        <w:jc w:val="left"/>
        <w:rPr>
          <w:b/>
          <w:sz w:val="28"/>
          <w:highlight w:val="yellow"/>
          <w:lang w:eastAsia="en-US"/>
        </w:rPr>
      </w:pPr>
    </w:p>
    <w:p w14:paraId="580C9F31" w14:textId="77777777" w:rsidR="003F61AA" w:rsidRDefault="003F61AA">
      <w:pPr>
        <w:jc w:val="left"/>
        <w:rPr>
          <w:b/>
          <w:sz w:val="28"/>
          <w:highlight w:val="yellow"/>
          <w:lang w:eastAsia="en-US"/>
        </w:rPr>
      </w:pPr>
      <w:r>
        <w:rPr>
          <w:b/>
          <w:sz w:val="28"/>
          <w:highlight w:val="yellow"/>
          <w:lang w:eastAsia="en-US"/>
        </w:rPr>
        <w:br w:type="page"/>
      </w:r>
    </w:p>
    <w:p w14:paraId="0D0E2815" w14:textId="77777777" w:rsidR="006E6AF0" w:rsidRPr="00853611" w:rsidRDefault="006E6AF0">
      <w:pPr>
        <w:jc w:val="left"/>
        <w:rPr>
          <w:b/>
          <w:sz w:val="28"/>
          <w:highlight w:val="yellow"/>
          <w:lang w:eastAsia="en-US"/>
        </w:rPr>
      </w:pPr>
    </w:p>
    <w:p w14:paraId="2FB088E4" w14:textId="77777777" w:rsidR="000E57FF" w:rsidRPr="00853611" w:rsidRDefault="000E57FF">
      <w:pPr>
        <w:jc w:val="left"/>
        <w:rPr>
          <w:b/>
          <w:sz w:val="28"/>
          <w:highlight w:val="yellow"/>
          <w:lang w:eastAsia="en-US"/>
        </w:rPr>
      </w:pPr>
      <w:r w:rsidRPr="00853611">
        <w:rPr>
          <w:highlight w:val="yellow"/>
        </w:rPr>
        <w:br w:type="page"/>
      </w:r>
    </w:p>
    <w:p w14:paraId="228063AE" w14:textId="77777777" w:rsidR="000B606D" w:rsidRPr="009F0FF5" w:rsidRDefault="000B606D" w:rsidP="00F94A17">
      <w:pPr>
        <w:pStyle w:val="Nadpis2"/>
      </w:pPr>
      <w:bookmarkStart w:id="143" w:name="_Toc5968864"/>
      <w:r w:rsidRPr="009F0FF5">
        <w:lastRenderedPageBreak/>
        <w:t>Výdaje na programy spolufinancované z rozpočtu EU a ostatní zahraniční programy mimo VVI</w:t>
      </w:r>
      <w:bookmarkEnd w:id="143"/>
    </w:p>
    <w:p w14:paraId="327CBD50" w14:textId="77777777" w:rsidR="000B606D" w:rsidRPr="009F0FF5" w:rsidRDefault="000B606D" w:rsidP="000B606D">
      <w:pPr>
        <w:rPr>
          <w:lang w:eastAsia="en-US"/>
        </w:rPr>
      </w:pPr>
    </w:p>
    <w:tbl>
      <w:tblPr>
        <w:tblW w:w="0" w:type="auto"/>
        <w:jc w:val="center"/>
        <w:tblLook w:val="04A0" w:firstRow="1" w:lastRow="0" w:firstColumn="1" w:lastColumn="0" w:noHBand="0" w:noVBand="1"/>
      </w:tblPr>
      <w:tblGrid>
        <w:gridCol w:w="1221"/>
        <w:gridCol w:w="1380"/>
        <w:gridCol w:w="3033"/>
        <w:gridCol w:w="3652"/>
      </w:tblGrid>
      <w:tr w:rsidR="009F0FF5" w:rsidRPr="009F0FF5" w14:paraId="7558C68A" w14:textId="77777777" w:rsidTr="00FD3602">
        <w:trPr>
          <w:trHeight w:val="69"/>
          <w:jc w:val="center"/>
        </w:trPr>
        <w:tc>
          <w:tcPr>
            <w:tcW w:w="2602" w:type="dxa"/>
            <w:gridSpan w:val="2"/>
            <w:shd w:val="clear" w:color="auto" w:fill="auto"/>
          </w:tcPr>
          <w:p w14:paraId="76777B41" w14:textId="77777777" w:rsidR="009F0FF5" w:rsidRPr="009F0FF5" w:rsidRDefault="009F0FF5" w:rsidP="009A3734">
            <w:pPr>
              <w:rPr>
                <w:b/>
              </w:rPr>
            </w:pPr>
            <w:r w:rsidRPr="009F0FF5">
              <w:rPr>
                <w:b/>
              </w:rPr>
              <w:t>Rozpočet celkem činí</w:t>
            </w:r>
          </w:p>
        </w:tc>
        <w:tc>
          <w:tcPr>
            <w:tcW w:w="3034" w:type="dxa"/>
            <w:shd w:val="clear" w:color="auto" w:fill="auto"/>
          </w:tcPr>
          <w:p w14:paraId="60C05A9B" w14:textId="77777777" w:rsidR="009F0FF5" w:rsidRPr="009F0FF5" w:rsidRDefault="009F0FF5" w:rsidP="009A3734"/>
        </w:tc>
        <w:tc>
          <w:tcPr>
            <w:tcW w:w="3654" w:type="dxa"/>
            <w:shd w:val="clear" w:color="auto" w:fill="auto"/>
          </w:tcPr>
          <w:p w14:paraId="4E60DF06" w14:textId="77777777" w:rsidR="009F0FF5" w:rsidRPr="009F0FF5" w:rsidRDefault="009F0FF5" w:rsidP="009F0FF5">
            <w:pPr>
              <w:jc w:val="right"/>
            </w:pPr>
            <w:r w:rsidRPr="009F0FF5">
              <w:t>6 257 601 977 Kč</w:t>
            </w:r>
          </w:p>
        </w:tc>
      </w:tr>
      <w:tr w:rsidR="009F0FF5" w:rsidRPr="009F0FF5" w14:paraId="25307D04" w14:textId="77777777" w:rsidTr="005E041F">
        <w:trPr>
          <w:trHeight w:val="125"/>
          <w:jc w:val="center"/>
        </w:trPr>
        <w:tc>
          <w:tcPr>
            <w:tcW w:w="1221" w:type="dxa"/>
            <w:shd w:val="clear" w:color="auto" w:fill="auto"/>
          </w:tcPr>
          <w:p w14:paraId="69C58268" w14:textId="77777777" w:rsidR="009F0FF5" w:rsidRPr="009F0FF5" w:rsidRDefault="009F0FF5" w:rsidP="009A3734">
            <w:r w:rsidRPr="009F0FF5">
              <w:t xml:space="preserve">v tom: </w:t>
            </w:r>
          </w:p>
        </w:tc>
        <w:tc>
          <w:tcPr>
            <w:tcW w:w="4415" w:type="dxa"/>
            <w:gridSpan w:val="2"/>
            <w:shd w:val="clear" w:color="auto" w:fill="auto"/>
          </w:tcPr>
          <w:p w14:paraId="5928CDBC" w14:textId="77777777" w:rsidR="009F0FF5" w:rsidRPr="009F0FF5" w:rsidRDefault="009F0FF5" w:rsidP="009A3734">
            <w:r w:rsidRPr="009F0FF5">
              <w:t>ze státního rozpočtu</w:t>
            </w:r>
          </w:p>
        </w:tc>
        <w:tc>
          <w:tcPr>
            <w:tcW w:w="3654" w:type="dxa"/>
            <w:shd w:val="clear" w:color="auto" w:fill="auto"/>
          </w:tcPr>
          <w:p w14:paraId="0D698C1A" w14:textId="77777777" w:rsidR="009F0FF5" w:rsidRPr="009F0FF5" w:rsidRDefault="009F0FF5" w:rsidP="009F0FF5">
            <w:pPr>
              <w:jc w:val="right"/>
            </w:pPr>
            <w:r w:rsidRPr="009F0FF5">
              <w:t>1 319 580 733 Kč</w:t>
            </w:r>
          </w:p>
        </w:tc>
      </w:tr>
      <w:tr w:rsidR="009F0FF5" w:rsidRPr="009F0FF5" w14:paraId="7B499338" w14:textId="77777777" w:rsidTr="005E041F">
        <w:trPr>
          <w:trHeight w:val="69"/>
          <w:jc w:val="center"/>
        </w:trPr>
        <w:tc>
          <w:tcPr>
            <w:tcW w:w="1221" w:type="dxa"/>
            <w:shd w:val="clear" w:color="auto" w:fill="auto"/>
          </w:tcPr>
          <w:p w14:paraId="5038C570" w14:textId="77777777" w:rsidR="009F0FF5" w:rsidRPr="009F0FF5" w:rsidRDefault="009F0FF5" w:rsidP="009A3734"/>
        </w:tc>
        <w:tc>
          <w:tcPr>
            <w:tcW w:w="4415" w:type="dxa"/>
            <w:gridSpan w:val="2"/>
            <w:shd w:val="clear" w:color="auto" w:fill="auto"/>
          </w:tcPr>
          <w:p w14:paraId="2CFB425D" w14:textId="77777777" w:rsidR="009F0FF5" w:rsidRPr="009F0FF5" w:rsidRDefault="009F0FF5" w:rsidP="009A3734">
            <w:r w:rsidRPr="009F0FF5">
              <w:t>kryté příjmem z rozpočtu EU</w:t>
            </w:r>
          </w:p>
        </w:tc>
        <w:tc>
          <w:tcPr>
            <w:tcW w:w="3654" w:type="dxa"/>
            <w:shd w:val="clear" w:color="auto" w:fill="auto"/>
          </w:tcPr>
          <w:p w14:paraId="3E2DBA1C" w14:textId="77777777" w:rsidR="009F0FF5" w:rsidRPr="009F0FF5" w:rsidRDefault="009F0FF5" w:rsidP="009F0FF5">
            <w:pPr>
              <w:jc w:val="right"/>
            </w:pPr>
            <w:r w:rsidRPr="009F0FF5">
              <w:t>4 938 021 244 Kč</w:t>
            </w:r>
          </w:p>
        </w:tc>
      </w:tr>
    </w:tbl>
    <w:p w14:paraId="50A1BD62" w14:textId="77777777" w:rsidR="00C069EF" w:rsidRPr="009F0FF5" w:rsidRDefault="00C069EF" w:rsidP="00C069EF"/>
    <w:p w14:paraId="67EB441F" w14:textId="77777777" w:rsidR="00C069EF" w:rsidRPr="009F0FF5" w:rsidRDefault="00C069EF" w:rsidP="00DA5A48">
      <w:pPr>
        <w:pStyle w:val="Text"/>
      </w:pPr>
      <w:r w:rsidRPr="009F0FF5">
        <w:t>V rámci rozpočtu běžných a kapitálových výdajů jsou zabezpečeny tyto prostředky v členění podle závazných průřezových ukazatelů:</w:t>
      </w:r>
    </w:p>
    <w:p w14:paraId="47A14C34" w14:textId="77777777" w:rsidR="00C61BAA" w:rsidRPr="009F0FF5" w:rsidRDefault="00C61BAA" w:rsidP="00DA5A48">
      <w:pPr>
        <w:pStyle w:val="Text"/>
      </w:pPr>
    </w:p>
    <w:p w14:paraId="11F532CC" w14:textId="77777777" w:rsidR="00B57754" w:rsidRPr="009F0FF5" w:rsidRDefault="00B57754" w:rsidP="00B57754">
      <w:pPr>
        <w:pStyle w:val="Titulek"/>
        <w:keepNext/>
      </w:pPr>
      <w:bookmarkStart w:id="144" w:name="_Toc398898230"/>
      <w:bookmarkStart w:id="145" w:name="_Toc5965639"/>
      <w:r w:rsidRPr="009F0FF5">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18</w:t>
      </w:r>
      <w:r w:rsidR="005F53B0">
        <w:rPr>
          <w:noProof/>
        </w:rPr>
        <w:fldChar w:fldCharType="end"/>
      </w:r>
      <w:bookmarkEnd w:id="144"/>
      <w:r w:rsidR="0023435F" w:rsidRPr="009F0FF5">
        <w:t>: Výdaje na programy spolufinancované EU mimo VVI</w:t>
      </w:r>
      <w:bookmarkEnd w:id="145"/>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3"/>
        <w:gridCol w:w="1972"/>
      </w:tblGrid>
      <w:tr w:rsidR="009F0FF5" w:rsidRPr="00853611" w14:paraId="0338518B" w14:textId="77777777" w:rsidTr="00FD3602">
        <w:trPr>
          <w:trHeight w:val="298"/>
          <w:jc w:val="center"/>
        </w:trPr>
        <w:tc>
          <w:tcPr>
            <w:tcW w:w="6823" w:type="dxa"/>
            <w:vAlign w:val="center"/>
          </w:tcPr>
          <w:p w14:paraId="06AA6FAA" w14:textId="77777777" w:rsidR="009F0FF5" w:rsidRPr="00A95894" w:rsidRDefault="009F0FF5" w:rsidP="00CB798D">
            <w:pPr>
              <w:rPr>
                <w:b/>
                <w:szCs w:val="24"/>
              </w:rPr>
            </w:pPr>
            <w:r w:rsidRPr="00A95894">
              <w:rPr>
                <w:b/>
                <w:szCs w:val="24"/>
              </w:rPr>
              <w:t>Výdaje celkem (bez VVI) v Kč</w:t>
            </w:r>
          </w:p>
        </w:tc>
        <w:tc>
          <w:tcPr>
            <w:tcW w:w="1972" w:type="dxa"/>
            <w:vAlign w:val="center"/>
          </w:tcPr>
          <w:p w14:paraId="538A7F09" w14:textId="77777777" w:rsidR="009F0FF5" w:rsidRPr="00B87D45" w:rsidRDefault="009F0FF5" w:rsidP="00CB798D">
            <w:pPr>
              <w:jc w:val="right"/>
              <w:rPr>
                <w:b/>
                <w:szCs w:val="24"/>
              </w:rPr>
            </w:pPr>
            <w:r w:rsidRPr="00A95894">
              <w:rPr>
                <w:b/>
                <w:szCs w:val="24"/>
              </w:rPr>
              <w:t>6 257 601 977</w:t>
            </w:r>
          </w:p>
        </w:tc>
      </w:tr>
      <w:tr w:rsidR="009F0FF5" w:rsidRPr="00853611" w14:paraId="6971C4C7" w14:textId="77777777" w:rsidTr="00FD3602">
        <w:trPr>
          <w:trHeight w:val="503"/>
          <w:jc w:val="center"/>
        </w:trPr>
        <w:tc>
          <w:tcPr>
            <w:tcW w:w="6823" w:type="dxa"/>
            <w:vAlign w:val="center"/>
          </w:tcPr>
          <w:p w14:paraId="229CE9BC" w14:textId="77777777" w:rsidR="009F0FF5" w:rsidRPr="0091739E" w:rsidRDefault="009F0FF5" w:rsidP="00CB798D">
            <w:pPr>
              <w:rPr>
                <w:rFonts w:ascii="Arial" w:hAnsi="Arial" w:cs="Arial"/>
                <w:szCs w:val="24"/>
                <w:vertAlign w:val="superscript"/>
              </w:rPr>
            </w:pPr>
            <w:r w:rsidRPr="0091739E">
              <w:rPr>
                <w:szCs w:val="24"/>
              </w:rPr>
              <w:t>Výdaje spolufinancované zcela nebo částečně z rozpočtu EU bez SZP celkem (bez komunitárních programů)</w:t>
            </w:r>
          </w:p>
        </w:tc>
        <w:tc>
          <w:tcPr>
            <w:tcW w:w="1972" w:type="dxa"/>
            <w:vAlign w:val="center"/>
          </w:tcPr>
          <w:p w14:paraId="78BF9987" w14:textId="77777777" w:rsidR="009F0FF5" w:rsidRPr="00B87D45" w:rsidRDefault="009F0FF5" w:rsidP="00CB798D">
            <w:pPr>
              <w:jc w:val="right"/>
              <w:rPr>
                <w:b/>
                <w:szCs w:val="24"/>
              </w:rPr>
            </w:pPr>
            <w:r w:rsidRPr="00B87D45">
              <w:rPr>
                <w:b/>
                <w:szCs w:val="24"/>
              </w:rPr>
              <w:t>6 254 454</w:t>
            </w:r>
            <w:r>
              <w:rPr>
                <w:b/>
                <w:szCs w:val="24"/>
              </w:rPr>
              <w:t> </w:t>
            </w:r>
            <w:r w:rsidRPr="00B87D45">
              <w:rPr>
                <w:b/>
                <w:szCs w:val="24"/>
              </w:rPr>
              <w:t>9</w:t>
            </w:r>
            <w:r>
              <w:rPr>
                <w:b/>
                <w:szCs w:val="24"/>
              </w:rPr>
              <w:t>69</w:t>
            </w:r>
          </w:p>
        </w:tc>
      </w:tr>
      <w:tr w:rsidR="009F0FF5" w:rsidRPr="00853611" w14:paraId="4BF56997" w14:textId="77777777" w:rsidTr="009A3734">
        <w:trPr>
          <w:trHeight w:val="243"/>
          <w:jc w:val="center"/>
        </w:trPr>
        <w:tc>
          <w:tcPr>
            <w:tcW w:w="6823" w:type="dxa"/>
          </w:tcPr>
          <w:p w14:paraId="4C97067F" w14:textId="77777777" w:rsidR="009F0FF5" w:rsidRPr="0091739E" w:rsidRDefault="009F0FF5" w:rsidP="00CB798D">
            <w:pPr>
              <w:ind w:left="726" w:hanging="709"/>
              <w:rPr>
                <w:rFonts w:ascii="Arial" w:hAnsi="Arial" w:cs="Arial"/>
                <w:szCs w:val="24"/>
                <w:vertAlign w:val="superscript"/>
              </w:rPr>
            </w:pPr>
            <w:r w:rsidRPr="0091739E">
              <w:rPr>
                <w:szCs w:val="24"/>
              </w:rPr>
              <w:t>v tom: OP VVV ze státního rozpočtu</w:t>
            </w:r>
          </w:p>
        </w:tc>
        <w:tc>
          <w:tcPr>
            <w:tcW w:w="1972" w:type="dxa"/>
          </w:tcPr>
          <w:p w14:paraId="58E107CF" w14:textId="77777777" w:rsidR="009F0FF5" w:rsidRPr="00BD680B" w:rsidRDefault="009F0FF5" w:rsidP="00CB798D">
            <w:pPr>
              <w:jc w:val="right"/>
              <w:rPr>
                <w:szCs w:val="24"/>
                <w:highlight w:val="yellow"/>
              </w:rPr>
            </w:pPr>
            <w:r w:rsidRPr="00B87D45">
              <w:rPr>
                <w:szCs w:val="24"/>
              </w:rPr>
              <w:t>1 259 161 464</w:t>
            </w:r>
          </w:p>
        </w:tc>
      </w:tr>
      <w:tr w:rsidR="009F0FF5" w:rsidRPr="00853611" w14:paraId="57443C94" w14:textId="77777777" w:rsidTr="009A3734">
        <w:trPr>
          <w:trHeight w:val="261"/>
          <w:jc w:val="center"/>
        </w:trPr>
        <w:tc>
          <w:tcPr>
            <w:tcW w:w="6823" w:type="dxa"/>
          </w:tcPr>
          <w:p w14:paraId="20E09415" w14:textId="77777777" w:rsidR="009F0FF5" w:rsidRPr="0091739E" w:rsidRDefault="009F0FF5" w:rsidP="00CB798D">
            <w:pPr>
              <w:ind w:left="726"/>
              <w:rPr>
                <w:rFonts w:ascii="Arial" w:hAnsi="Arial" w:cs="Arial"/>
                <w:szCs w:val="24"/>
                <w:vertAlign w:val="superscript"/>
              </w:rPr>
            </w:pPr>
            <w:r w:rsidRPr="0091739E">
              <w:rPr>
                <w:szCs w:val="24"/>
              </w:rPr>
              <w:t>OP VVV podíl rozpočtu EU</w:t>
            </w:r>
          </w:p>
        </w:tc>
        <w:tc>
          <w:tcPr>
            <w:tcW w:w="1972" w:type="dxa"/>
            <w:vAlign w:val="center"/>
          </w:tcPr>
          <w:p w14:paraId="629DB561" w14:textId="77777777" w:rsidR="009F0FF5" w:rsidRPr="00BD680B" w:rsidRDefault="009F0FF5" w:rsidP="00CB798D">
            <w:pPr>
              <w:jc w:val="right"/>
              <w:rPr>
                <w:szCs w:val="24"/>
                <w:highlight w:val="yellow"/>
              </w:rPr>
            </w:pPr>
            <w:r w:rsidRPr="00B87D45">
              <w:rPr>
                <w:szCs w:val="24"/>
              </w:rPr>
              <w:t>4 690 000 000</w:t>
            </w:r>
          </w:p>
        </w:tc>
      </w:tr>
      <w:tr w:rsidR="009F0FF5" w:rsidRPr="00853611" w14:paraId="29A8024C" w14:textId="77777777" w:rsidTr="00CB798D">
        <w:trPr>
          <w:trHeight w:val="335"/>
          <w:jc w:val="center"/>
        </w:trPr>
        <w:tc>
          <w:tcPr>
            <w:tcW w:w="6823" w:type="dxa"/>
          </w:tcPr>
          <w:p w14:paraId="6FD4DAA5" w14:textId="77777777" w:rsidR="009F0FF5" w:rsidRPr="0091739E" w:rsidRDefault="009F0FF5" w:rsidP="00CB798D">
            <w:pPr>
              <w:ind w:left="726"/>
              <w:rPr>
                <w:rFonts w:ascii="Arial" w:hAnsi="Arial" w:cs="Arial"/>
                <w:szCs w:val="24"/>
                <w:vertAlign w:val="superscript"/>
              </w:rPr>
            </w:pPr>
            <w:r w:rsidRPr="0091739E">
              <w:rPr>
                <w:szCs w:val="24"/>
              </w:rPr>
              <w:t>OP Zaměstnanost ze státního rozpočtu</w:t>
            </w:r>
          </w:p>
        </w:tc>
        <w:tc>
          <w:tcPr>
            <w:tcW w:w="1972" w:type="dxa"/>
          </w:tcPr>
          <w:p w14:paraId="53D4E6D3" w14:textId="77777777" w:rsidR="009F0FF5" w:rsidRPr="00B87D45" w:rsidRDefault="009F0FF5" w:rsidP="00CB798D">
            <w:pPr>
              <w:jc w:val="right"/>
              <w:rPr>
                <w:szCs w:val="24"/>
              </w:rPr>
            </w:pPr>
            <w:r w:rsidRPr="00B87D45">
              <w:rPr>
                <w:szCs w:val="24"/>
              </w:rPr>
              <w:t>19 372 960</w:t>
            </w:r>
          </w:p>
        </w:tc>
      </w:tr>
      <w:tr w:rsidR="009F0FF5" w:rsidRPr="00853611" w14:paraId="74B040B4" w14:textId="77777777" w:rsidTr="00CB798D">
        <w:trPr>
          <w:trHeight w:val="243"/>
          <w:jc w:val="center"/>
        </w:trPr>
        <w:tc>
          <w:tcPr>
            <w:tcW w:w="6823" w:type="dxa"/>
          </w:tcPr>
          <w:p w14:paraId="2D6CE8B0" w14:textId="77777777" w:rsidR="009F0FF5" w:rsidRPr="0091739E" w:rsidRDefault="009F0FF5" w:rsidP="00CB798D">
            <w:pPr>
              <w:ind w:left="726"/>
              <w:rPr>
                <w:rFonts w:ascii="Arial" w:hAnsi="Arial" w:cs="Arial"/>
                <w:szCs w:val="24"/>
                <w:vertAlign w:val="superscript"/>
              </w:rPr>
            </w:pPr>
            <w:r w:rsidRPr="0091739E">
              <w:rPr>
                <w:szCs w:val="24"/>
              </w:rPr>
              <w:t>OP Zaměstnanost podíl rozpočtu EU</w:t>
            </w:r>
          </w:p>
        </w:tc>
        <w:tc>
          <w:tcPr>
            <w:tcW w:w="1972" w:type="dxa"/>
          </w:tcPr>
          <w:p w14:paraId="462781ED" w14:textId="77777777" w:rsidR="009F0FF5" w:rsidRPr="00B87D45" w:rsidRDefault="009F0FF5" w:rsidP="00CB798D">
            <w:pPr>
              <w:jc w:val="right"/>
              <w:rPr>
                <w:szCs w:val="24"/>
              </w:rPr>
            </w:pPr>
            <w:r w:rsidRPr="00B87D45">
              <w:rPr>
                <w:szCs w:val="24"/>
              </w:rPr>
              <w:t>87 909 567</w:t>
            </w:r>
          </w:p>
        </w:tc>
      </w:tr>
      <w:tr w:rsidR="009F0FF5" w:rsidRPr="00853611" w14:paraId="1D70E1C6" w14:textId="77777777" w:rsidTr="00CB798D">
        <w:trPr>
          <w:trHeight w:val="243"/>
          <w:jc w:val="center"/>
        </w:trPr>
        <w:tc>
          <w:tcPr>
            <w:tcW w:w="6823" w:type="dxa"/>
          </w:tcPr>
          <w:p w14:paraId="28AF30E7" w14:textId="77777777" w:rsidR="009F0FF5" w:rsidRPr="0091739E" w:rsidRDefault="009F0FF5" w:rsidP="00CB798D">
            <w:pPr>
              <w:ind w:left="726"/>
              <w:rPr>
                <w:szCs w:val="24"/>
              </w:rPr>
            </w:pPr>
            <w:r>
              <w:rPr>
                <w:szCs w:val="24"/>
              </w:rPr>
              <w:t>IROP ze SR</w:t>
            </w:r>
          </w:p>
        </w:tc>
        <w:tc>
          <w:tcPr>
            <w:tcW w:w="1972" w:type="dxa"/>
          </w:tcPr>
          <w:p w14:paraId="63F3DCF7" w14:textId="77777777" w:rsidR="009F0FF5" w:rsidRPr="00B87D45" w:rsidRDefault="009F0FF5" w:rsidP="00CB798D">
            <w:pPr>
              <w:jc w:val="right"/>
              <w:rPr>
                <w:szCs w:val="24"/>
              </w:rPr>
            </w:pPr>
            <w:r w:rsidRPr="00B87D45">
              <w:rPr>
                <w:szCs w:val="24"/>
              </w:rPr>
              <w:t>37 899 301</w:t>
            </w:r>
          </w:p>
        </w:tc>
      </w:tr>
      <w:tr w:rsidR="009F0FF5" w:rsidRPr="00853611" w14:paraId="2B7A6CF2" w14:textId="77777777" w:rsidTr="00CB798D">
        <w:trPr>
          <w:trHeight w:val="280"/>
          <w:jc w:val="center"/>
        </w:trPr>
        <w:tc>
          <w:tcPr>
            <w:tcW w:w="6823" w:type="dxa"/>
          </w:tcPr>
          <w:p w14:paraId="0E922DF1" w14:textId="77777777" w:rsidR="009F0FF5" w:rsidRPr="0091739E" w:rsidRDefault="009F0FF5" w:rsidP="00CB798D">
            <w:pPr>
              <w:ind w:left="726"/>
              <w:rPr>
                <w:szCs w:val="24"/>
              </w:rPr>
            </w:pPr>
            <w:r>
              <w:rPr>
                <w:szCs w:val="24"/>
              </w:rPr>
              <w:t>IROP z EU</w:t>
            </w:r>
          </w:p>
        </w:tc>
        <w:tc>
          <w:tcPr>
            <w:tcW w:w="1972" w:type="dxa"/>
          </w:tcPr>
          <w:p w14:paraId="18F93532" w14:textId="77777777" w:rsidR="009F0FF5" w:rsidRPr="00B87D45" w:rsidRDefault="009F0FF5" w:rsidP="00CB798D">
            <w:pPr>
              <w:jc w:val="right"/>
              <w:rPr>
                <w:szCs w:val="24"/>
              </w:rPr>
            </w:pPr>
            <w:r w:rsidRPr="00B87D45">
              <w:rPr>
                <w:szCs w:val="24"/>
              </w:rPr>
              <w:t>160 111 677</w:t>
            </w:r>
          </w:p>
        </w:tc>
      </w:tr>
      <w:tr w:rsidR="009F0FF5" w:rsidRPr="00853611" w14:paraId="0BA5C966" w14:textId="77777777" w:rsidTr="009A3734">
        <w:trPr>
          <w:trHeight w:val="243"/>
          <w:jc w:val="center"/>
        </w:trPr>
        <w:tc>
          <w:tcPr>
            <w:tcW w:w="6823" w:type="dxa"/>
          </w:tcPr>
          <w:p w14:paraId="12B25915" w14:textId="77777777" w:rsidR="009F0FF5" w:rsidRPr="0091739E" w:rsidRDefault="009F0FF5" w:rsidP="00CB798D">
            <w:pPr>
              <w:rPr>
                <w:rFonts w:ascii="Arial" w:hAnsi="Arial" w:cs="Arial"/>
                <w:szCs w:val="24"/>
                <w:vertAlign w:val="superscript"/>
              </w:rPr>
            </w:pPr>
            <w:r w:rsidRPr="0091739E">
              <w:rPr>
                <w:szCs w:val="24"/>
              </w:rPr>
              <w:t>Výdaje na spol. projekty, které jsou zcela nebo částečně financovány z prostředků FM celkem</w:t>
            </w:r>
          </w:p>
        </w:tc>
        <w:tc>
          <w:tcPr>
            <w:tcW w:w="1972" w:type="dxa"/>
            <w:vAlign w:val="center"/>
          </w:tcPr>
          <w:p w14:paraId="5F1033F3" w14:textId="77777777" w:rsidR="009F0FF5" w:rsidRPr="00BD680B" w:rsidRDefault="009F0FF5" w:rsidP="00CB798D">
            <w:pPr>
              <w:jc w:val="right"/>
              <w:rPr>
                <w:b/>
                <w:szCs w:val="24"/>
                <w:highlight w:val="yellow"/>
              </w:rPr>
            </w:pPr>
            <w:r w:rsidRPr="00B87D45">
              <w:rPr>
                <w:b/>
                <w:szCs w:val="24"/>
              </w:rPr>
              <w:t>3 060 208</w:t>
            </w:r>
          </w:p>
        </w:tc>
      </w:tr>
      <w:tr w:rsidR="009F0FF5" w:rsidRPr="00853611" w14:paraId="1CF86EAD" w14:textId="77777777" w:rsidTr="009A3734">
        <w:trPr>
          <w:trHeight w:val="261"/>
          <w:jc w:val="center"/>
        </w:trPr>
        <w:tc>
          <w:tcPr>
            <w:tcW w:w="6823" w:type="dxa"/>
          </w:tcPr>
          <w:p w14:paraId="722BF28B" w14:textId="77777777" w:rsidR="009F0FF5" w:rsidRPr="0091739E" w:rsidRDefault="009F0FF5" w:rsidP="00CB798D">
            <w:pPr>
              <w:rPr>
                <w:rFonts w:ascii="Arial" w:hAnsi="Arial" w:cs="Arial"/>
                <w:szCs w:val="24"/>
                <w:vertAlign w:val="superscript"/>
              </w:rPr>
            </w:pPr>
            <w:r w:rsidRPr="0091739E">
              <w:rPr>
                <w:szCs w:val="24"/>
              </w:rPr>
              <w:t>v tom:  EHP/Norsko ze státního rozpočtu</w:t>
            </w:r>
          </w:p>
        </w:tc>
        <w:tc>
          <w:tcPr>
            <w:tcW w:w="1972" w:type="dxa"/>
            <w:vAlign w:val="center"/>
          </w:tcPr>
          <w:p w14:paraId="1B04A9F2" w14:textId="77777777" w:rsidR="009F0FF5" w:rsidRPr="00B87D45" w:rsidRDefault="009F0FF5" w:rsidP="00CB798D">
            <w:pPr>
              <w:jc w:val="right"/>
              <w:rPr>
                <w:szCs w:val="24"/>
              </w:rPr>
            </w:pPr>
            <w:r w:rsidRPr="00B87D45">
              <w:rPr>
                <w:szCs w:val="24"/>
              </w:rPr>
              <w:t>3 060 208</w:t>
            </w:r>
          </w:p>
        </w:tc>
      </w:tr>
      <w:tr w:rsidR="009F0FF5" w:rsidRPr="00853611" w14:paraId="6A5D9B07" w14:textId="77777777" w:rsidTr="009A3734">
        <w:trPr>
          <w:trHeight w:val="261"/>
          <w:jc w:val="center"/>
        </w:trPr>
        <w:tc>
          <w:tcPr>
            <w:tcW w:w="6823" w:type="dxa"/>
          </w:tcPr>
          <w:p w14:paraId="01BA9A73" w14:textId="77777777" w:rsidR="009F0FF5" w:rsidRPr="0091739E" w:rsidRDefault="009F0FF5" w:rsidP="00CB798D">
            <w:pPr>
              <w:ind w:left="726"/>
              <w:rPr>
                <w:rFonts w:ascii="Arial" w:hAnsi="Arial" w:cs="Arial"/>
                <w:szCs w:val="24"/>
                <w:vertAlign w:val="superscript"/>
              </w:rPr>
            </w:pPr>
            <w:r w:rsidRPr="0091739E">
              <w:rPr>
                <w:szCs w:val="24"/>
              </w:rPr>
              <w:t xml:space="preserve"> EHP/Norsko podíl prostředků FM</w:t>
            </w:r>
          </w:p>
        </w:tc>
        <w:tc>
          <w:tcPr>
            <w:tcW w:w="1972" w:type="dxa"/>
            <w:vAlign w:val="center"/>
          </w:tcPr>
          <w:p w14:paraId="6EC3D8B5" w14:textId="77777777" w:rsidR="009F0FF5" w:rsidRPr="00B87D45" w:rsidRDefault="009F0FF5" w:rsidP="00CB798D">
            <w:pPr>
              <w:jc w:val="right"/>
              <w:rPr>
                <w:szCs w:val="24"/>
              </w:rPr>
            </w:pPr>
            <w:r w:rsidRPr="00B87D45">
              <w:rPr>
                <w:szCs w:val="24"/>
              </w:rPr>
              <w:t>0</w:t>
            </w:r>
          </w:p>
        </w:tc>
      </w:tr>
      <w:tr w:rsidR="009F0FF5" w:rsidRPr="00853611" w14:paraId="7797DA05" w14:textId="77777777" w:rsidTr="009A3734">
        <w:trPr>
          <w:trHeight w:val="261"/>
          <w:jc w:val="center"/>
        </w:trPr>
        <w:tc>
          <w:tcPr>
            <w:tcW w:w="6823" w:type="dxa"/>
          </w:tcPr>
          <w:p w14:paraId="24115574" w14:textId="77777777" w:rsidR="009F0FF5" w:rsidRPr="0091739E" w:rsidRDefault="009F0FF5" w:rsidP="00CB798D">
            <w:pPr>
              <w:ind w:left="34"/>
              <w:rPr>
                <w:szCs w:val="24"/>
              </w:rPr>
            </w:pPr>
            <w:r w:rsidRPr="0091739E">
              <w:rPr>
                <w:szCs w:val="24"/>
              </w:rPr>
              <w:t>Výdaje na komunitární programy (Erasmus+)</w:t>
            </w:r>
          </w:p>
        </w:tc>
        <w:tc>
          <w:tcPr>
            <w:tcW w:w="1972" w:type="dxa"/>
            <w:vAlign w:val="center"/>
          </w:tcPr>
          <w:p w14:paraId="48080AEC" w14:textId="77777777" w:rsidR="009F0FF5" w:rsidRPr="00B87D45" w:rsidRDefault="009F0FF5" w:rsidP="00CB798D">
            <w:pPr>
              <w:jc w:val="right"/>
              <w:rPr>
                <w:b/>
                <w:szCs w:val="24"/>
              </w:rPr>
            </w:pPr>
            <w:r w:rsidRPr="00B87D45">
              <w:rPr>
                <w:b/>
                <w:szCs w:val="24"/>
              </w:rPr>
              <w:t>86 800</w:t>
            </w:r>
          </w:p>
        </w:tc>
      </w:tr>
      <w:tr w:rsidR="009F0FF5" w:rsidRPr="00853611" w14:paraId="1A1234B1" w14:textId="77777777" w:rsidTr="009A3734">
        <w:trPr>
          <w:trHeight w:val="261"/>
          <w:jc w:val="center"/>
        </w:trPr>
        <w:tc>
          <w:tcPr>
            <w:tcW w:w="6823" w:type="dxa"/>
          </w:tcPr>
          <w:p w14:paraId="1793ED4D" w14:textId="77777777" w:rsidR="009F0FF5" w:rsidRPr="0091739E" w:rsidRDefault="009F0FF5" w:rsidP="00CB798D">
            <w:pPr>
              <w:ind w:left="868" w:hanging="851"/>
              <w:rPr>
                <w:szCs w:val="24"/>
              </w:rPr>
            </w:pPr>
            <w:r w:rsidRPr="0091739E">
              <w:rPr>
                <w:szCs w:val="24"/>
              </w:rPr>
              <w:t xml:space="preserve"> v tom: ze státního rozpočtu</w:t>
            </w:r>
          </w:p>
        </w:tc>
        <w:tc>
          <w:tcPr>
            <w:tcW w:w="1972" w:type="dxa"/>
            <w:vAlign w:val="center"/>
          </w:tcPr>
          <w:p w14:paraId="210363A3" w14:textId="77777777" w:rsidR="009F0FF5" w:rsidRPr="00B87D45" w:rsidRDefault="009F0FF5" w:rsidP="00CB798D">
            <w:pPr>
              <w:jc w:val="right"/>
              <w:rPr>
                <w:szCs w:val="24"/>
              </w:rPr>
            </w:pPr>
            <w:r w:rsidRPr="00B87D45">
              <w:rPr>
                <w:szCs w:val="24"/>
              </w:rPr>
              <w:t>86 800</w:t>
            </w:r>
          </w:p>
        </w:tc>
      </w:tr>
      <w:tr w:rsidR="009F0FF5" w:rsidRPr="00853611" w14:paraId="4A4A3887" w14:textId="77777777" w:rsidTr="009A3734">
        <w:trPr>
          <w:trHeight w:val="261"/>
          <w:jc w:val="center"/>
        </w:trPr>
        <w:tc>
          <w:tcPr>
            <w:tcW w:w="6823" w:type="dxa"/>
          </w:tcPr>
          <w:p w14:paraId="477C20EC" w14:textId="77777777" w:rsidR="009F0FF5" w:rsidRPr="0091739E" w:rsidRDefault="009F0FF5" w:rsidP="00CB798D">
            <w:pPr>
              <w:ind w:left="868" w:hanging="851"/>
              <w:rPr>
                <w:szCs w:val="24"/>
              </w:rPr>
            </w:pPr>
            <w:r w:rsidRPr="0091739E">
              <w:rPr>
                <w:rFonts w:ascii="Arial" w:hAnsi="Arial" w:cs="Arial"/>
                <w:szCs w:val="24"/>
                <w:vertAlign w:val="superscript"/>
              </w:rPr>
              <w:t xml:space="preserve">               </w:t>
            </w:r>
            <w:r w:rsidRPr="0091739E">
              <w:rPr>
                <w:szCs w:val="24"/>
              </w:rPr>
              <w:t>podíl rozpočtu EU</w:t>
            </w:r>
          </w:p>
        </w:tc>
        <w:tc>
          <w:tcPr>
            <w:tcW w:w="1972" w:type="dxa"/>
            <w:vAlign w:val="center"/>
          </w:tcPr>
          <w:p w14:paraId="0007E78A" w14:textId="77777777" w:rsidR="009F0FF5" w:rsidRPr="00B87D45" w:rsidRDefault="009F0FF5" w:rsidP="00CB798D">
            <w:pPr>
              <w:jc w:val="right"/>
              <w:rPr>
                <w:szCs w:val="24"/>
              </w:rPr>
            </w:pPr>
            <w:r w:rsidRPr="00B87D45">
              <w:rPr>
                <w:szCs w:val="24"/>
              </w:rPr>
              <w:t>0</w:t>
            </w:r>
          </w:p>
        </w:tc>
      </w:tr>
    </w:tbl>
    <w:p w14:paraId="1C677102" w14:textId="77777777" w:rsidR="00C069EF" w:rsidRDefault="00C069EF" w:rsidP="00C069EF">
      <w:pPr>
        <w:ind w:left="1560" w:hanging="993"/>
        <w:rPr>
          <w:color w:val="548DD4"/>
          <w:szCs w:val="24"/>
          <w:highlight w:val="yellow"/>
        </w:rPr>
      </w:pPr>
    </w:p>
    <w:p w14:paraId="4767124C" w14:textId="77777777" w:rsidR="00B26388" w:rsidRPr="00B932DB" w:rsidRDefault="00B26388" w:rsidP="00B26388">
      <w:pPr>
        <w:pStyle w:val="Text"/>
      </w:pPr>
      <w:r w:rsidRPr="00B932DB">
        <w:t xml:space="preserve">V programu </w:t>
      </w:r>
      <w:r w:rsidRPr="00B932DB">
        <w:rPr>
          <w:b/>
        </w:rPr>
        <w:t>133 010</w:t>
      </w:r>
      <w:r w:rsidRPr="00B932DB">
        <w:t xml:space="preserve"> </w:t>
      </w:r>
      <w:r w:rsidRPr="00B932DB">
        <w:rPr>
          <w:i/>
        </w:rPr>
        <w:t>Rozvoj a obnova technické základny systému řízení MŠMT</w:t>
      </w:r>
      <w:r w:rsidRPr="00B932DB">
        <w:t xml:space="preserve"> jsou vedeny akce IROP</w:t>
      </w:r>
      <w:r>
        <w:rPr>
          <w:rStyle w:val="Znakapoznpodarou"/>
        </w:rPr>
        <w:footnoteReference w:id="18"/>
      </w:r>
      <w:r w:rsidRPr="00B932DB">
        <w:t xml:space="preserve"> spolufinancované z EU. Jedná se o projekty MŠMT - Resortní informační systém MŠMT a MŠMT - Bezpečnostní infrastruktura MŠMT v celkové výši kapitálových výdajů 160 111 677 Kč.</w:t>
      </w:r>
    </w:p>
    <w:p w14:paraId="5835CCC4" w14:textId="77777777" w:rsidR="00B26388" w:rsidRPr="00853611" w:rsidRDefault="00B26388" w:rsidP="00C069EF">
      <w:pPr>
        <w:ind w:left="1560" w:hanging="993"/>
        <w:rPr>
          <w:color w:val="548DD4"/>
          <w:szCs w:val="24"/>
          <w:highlight w:val="yellow"/>
        </w:rPr>
      </w:pPr>
    </w:p>
    <w:p w14:paraId="22FD6F45" w14:textId="77777777" w:rsidR="00C069EF" w:rsidRPr="009F0FF5" w:rsidRDefault="00C069EF" w:rsidP="00FD3602">
      <w:pPr>
        <w:pBdr>
          <w:top w:val="single" w:sz="4" w:space="1" w:color="auto"/>
          <w:left w:val="single" w:sz="4" w:space="4" w:color="auto"/>
          <w:bottom w:val="single" w:sz="4" w:space="1" w:color="auto"/>
          <w:right w:val="single" w:sz="4" w:space="4" w:color="auto"/>
        </w:pBdr>
        <w:jc w:val="center"/>
        <w:rPr>
          <w:b/>
          <w:szCs w:val="24"/>
        </w:rPr>
      </w:pPr>
      <w:r w:rsidRPr="009F0FF5">
        <w:rPr>
          <w:b/>
          <w:szCs w:val="24"/>
        </w:rPr>
        <w:t>Souhrnná rekapitulace veškerých výdajů na spolufinancované programy EU a </w:t>
      </w:r>
      <w:r w:rsidR="00D27F36" w:rsidRPr="009F0FF5">
        <w:rPr>
          <w:b/>
          <w:szCs w:val="24"/>
        </w:rPr>
        <w:t>FM</w:t>
      </w:r>
      <w:r w:rsidRPr="009F0FF5">
        <w:rPr>
          <w:b/>
          <w:szCs w:val="24"/>
        </w:rPr>
        <w:t xml:space="preserve"> včetně </w:t>
      </w:r>
      <w:r w:rsidR="00D27F36" w:rsidRPr="009F0FF5">
        <w:rPr>
          <w:b/>
          <w:szCs w:val="24"/>
        </w:rPr>
        <w:t>VVI</w:t>
      </w:r>
      <w:r w:rsidRPr="009F0FF5">
        <w:rPr>
          <w:b/>
          <w:szCs w:val="24"/>
        </w:rPr>
        <w:t xml:space="preserve"> za všechny výdajové bloky a okruhy je zařazena v samostatné části E.</w:t>
      </w:r>
    </w:p>
    <w:p w14:paraId="6FA26B67" w14:textId="77777777" w:rsidR="00C069EF" w:rsidRPr="00853611" w:rsidRDefault="00C069EF" w:rsidP="00C069EF">
      <w:pPr>
        <w:ind w:left="567"/>
        <w:rPr>
          <w:color w:val="548DD4"/>
          <w:highlight w:val="yellow"/>
        </w:rPr>
      </w:pPr>
    </w:p>
    <w:p w14:paraId="44FF373E" w14:textId="77777777" w:rsidR="008678CF" w:rsidRDefault="008678CF" w:rsidP="00B26388">
      <w:pPr>
        <w:pStyle w:val="Nadpis3"/>
      </w:pPr>
      <w:bookmarkStart w:id="146" w:name="_Toc5968865"/>
      <w:r>
        <w:t xml:space="preserve">OP VVV </w:t>
      </w:r>
      <w:r w:rsidRPr="00B26388">
        <w:t>mimo</w:t>
      </w:r>
      <w:r>
        <w:t xml:space="preserve"> VVI</w:t>
      </w:r>
      <w:bookmarkEnd w:id="146"/>
    </w:p>
    <w:p w14:paraId="0DF723DD" w14:textId="77777777" w:rsidR="008678CF" w:rsidRDefault="008678CF" w:rsidP="008678CF">
      <w:pPr>
        <w:rPr>
          <w:b/>
          <w:color w:val="548DD4"/>
          <w:highlight w:val="yellow"/>
        </w:rPr>
      </w:pPr>
    </w:p>
    <w:p w14:paraId="5D277CB2" w14:textId="0A44FE3E" w:rsidR="008678CF" w:rsidRDefault="008678CF" w:rsidP="008678CF">
      <w:pPr>
        <w:pStyle w:val="Text"/>
      </w:pPr>
      <w:r>
        <w:t>Rozpočet výdajů na OP VVV v roce 2019 činí celkem 5 949 161 464 Kč (v tom nejsou zahrnuty prostředky VVI), z čehož kapitálové</w:t>
      </w:r>
      <w:r w:rsidR="00691319">
        <w:t xml:space="preserve"> výdaje činí 1 322 768 349 Kč a </w:t>
      </w:r>
      <w:r>
        <w:t>4 626 393 115 Kč tvoří běžné výdaje.</w:t>
      </w:r>
    </w:p>
    <w:tbl>
      <w:tblPr>
        <w:tblW w:w="0" w:type="auto"/>
        <w:tblInd w:w="534" w:type="dxa"/>
        <w:tblLook w:val="04A0" w:firstRow="1" w:lastRow="0" w:firstColumn="1" w:lastColumn="0" w:noHBand="0" w:noVBand="1"/>
      </w:tblPr>
      <w:tblGrid>
        <w:gridCol w:w="6095"/>
        <w:gridCol w:w="2268"/>
      </w:tblGrid>
      <w:tr w:rsidR="008678CF" w14:paraId="129EB199" w14:textId="77777777" w:rsidTr="008678CF">
        <w:trPr>
          <w:trHeight w:val="268"/>
        </w:trPr>
        <w:tc>
          <w:tcPr>
            <w:tcW w:w="6095" w:type="dxa"/>
          </w:tcPr>
          <w:p w14:paraId="4EE7A755" w14:textId="77777777" w:rsidR="008678CF" w:rsidRDefault="008678CF">
            <w:pPr>
              <w:spacing w:line="256" w:lineRule="auto"/>
              <w:ind w:left="426" w:hanging="393"/>
              <w:rPr>
                <w:b/>
                <w:lang w:eastAsia="en-US"/>
              </w:rPr>
            </w:pPr>
          </w:p>
          <w:p w14:paraId="280B4C96" w14:textId="77777777" w:rsidR="008678CF" w:rsidRDefault="008678CF">
            <w:pPr>
              <w:spacing w:line="256" w:lineRule="auto"/>
              <w:ind w:left="426" w:hanging="393"/>
              <w:rPr>
                <w:b/>
                <w:lang w:eastAsia="en-US"/>
              </w:rPr>
            </w:pPr>
            <w:r>
              <w:rPr>
                <w:b/>
                <w:lang w:eastAsia="en-US"/>
              </w:rPr>
              <w:t xml:space="preserve">Rozpočet výdajů činí </w:t>
            </w:r>
            <w:r>
              <w:rPr>
                <w:lang w:eastAsia="en-US"/>
              </w:rPr>
              <w:t>(mimo VVI)</w:t>
            </w:r>
          </w:p>
        </w:tc>
        <w:tc>
          <w:tcPr>
            <w:tcW w:w="2268" w:type="dxa"/>
          </w:tcPr>
          <w:p w14:paraId="5485CEC3" w14:textId="77777777" w:rsidR="008678CF" w:rsidRDefault="008678CF">
            <w:pPr>
              <w:spacing w:line="256" w:lineRule="auto"/>
              <w:jc w:val="right"/>
              <w:rPr>
                <w:b/>
                <w:lang w:eastAsia="en-US"/>
              </w:rPr>
            </w:pPr>
          </w:p>
          <w:p w14:paraId="2C59F87E" w14:textId="77777777" w:rsidR="008678CF" w:rsidRDefault="008678CF">
            <w:pPr>
              <w:spacing w:line="256" w:lineRule="auto"/>
              <w:jc w:val="right"/>
              <w:rPr>
                <w:b/>
                <w:lang w:eastAsia="en-US"/>
              </w:rPr>
            </w:pPr>
            <w:r>
              <w:rPr>
                <w:b/>
                <w:lang w:eastAsia="en-US"/>
              </w:rPr>
              <w:t>5 949 161 464 Kč</w:t>
            </w:r>
          </w:p>
        </w:tc>
      </w:tr>
      <w:tr w:rsidR="008678CF" w14:paraId="35AAC9B0" w14:textId="77777777" w:rsidTr="008678CF">
        <w:trPr>
          <w:trHeight w:val="284"/>
        </w:trPr>
        <w:tc>
          <w:tcPr>
            <w:tcW w:w="6095" w:type="dxa"/>
            <w:hideMark/>
          </w:tcPr>
          <w:p w14:paraId="6D0FFA6B" w14:textId="77777777" w:rsidR="008678CF" w:rsidRDefault="008678CF">
            <w:pPr>
              <w:spacing w:line="256" w:lineRule="auto"/>
              <w:ind w:left="426" w:hanging="393"/>
              <w:rPr>
                <w:b/>
                <w:lang w:eastAsia="en-US"/>
              </w:rPr>
            </w:pPr>
            <w:r>
              <w:rPr>
                <w:lang w:eastAsia="en-US"/>
              </w:rPr>
              <w:t>v tom: ze státního rozpočtu</w:t>
            </w:r>
          </w:p>
        </w:tc>
        <w:tc>
          <w:tcPr>
            <w:tcW w:w="2268" w:type="dxa"/>
            <w:hideMark/>
          </w:tcPr>
          <w:p w14:paraId="1906D1C9" w14:textId="77777777" w:rsidR="008678CF" w:rsidRDefault="008678CF">
            <w:pPr>
              <w:spacing w:line="256" w:lineRule="auto"/>
              <w:jc w:val="right"/>
              <w:rPr>
                <w:lang w:eastAsia="en-US"/>
              </w:rPr>
            </w:pPr>
            <w:r>
              <w:rPr>
                <w:lang w:eastAsia="en-US"/>
              </w:rPr>
              <w:t>1 259 161 464 Kč</w:t>
            </w:r>
          </w:p>
        </w:tc>
      </w:tr>
      <w:tr w:rsidR="008678CF" w14:paraId="5255CCBB" w14:textId="77777777" w:rsidTr="008678CF">
        <w:trPr>
          <w:trHeight w:val="268"/>
        </w:trPr>
        <w:tc>
          <w:tcPr>
            <w:tcW w:w="6095" w:type="dxa"/>
            <w:hideMark/>
          </w:tcPr>
          <w:p w14:paraId="74082B38" w14:textId="77777777" w:rsidR="008678CF" w:rsidRDefault="008678CF">
            <w:pPr>
              <w:spacing w:line="256" w:lineRule="auto"/>
              <w:ind w:left="1134" w:hanging="393"/>
              <w:rPr>
                <w:b/>
                <w:lang w:eastAsia="en-US"/>
              </w:rPr>
            </w:pPr>
            <w:r>
              <w:rPr>
                <w:lang w:eastAsia="en-US"/>
              </w:rPr>
              <w:t>kryté příjmem z rozpočtu EU</w:t>
            </w:r>
          </w:p>
        </w:tc>
        <w:tc>
          <w:tcPr>
            <w:tcW w:w="2268" w:type="dxa"/>
            <w:hideMark/>
          </w:tcPr>
          <w:p w14:paraId="786EEBB7" w14:textId="77777777" w:rsidR="008678CF" w:rsidRDefault="008678CF">
            <w:pPr>
              <w:spacing w:line="256" w:lineRule="auto"/>
              <w:jc w:val="right"/>
              <w:rPr>
                <w:lang w:eastAsia="en-US"/>
              </w:rPr>
            </w:pPr>
            <w:r>
              <w:rPr>
                <w:lang w:eastAsia="en-US"/>
              </w:rPr>
              <w:t>4 690 000 000 Kč</w:t>
            </w:r>
          </w:p>
        </w:tc>
      </w:tr>
    </w:tbl>
    <w:p w14:paraId="409C0883" w14:textId="77777777" w:rsidR="00C308CA" w:rsidRDefault="00C308CA" w:rsidP="00C308CA">
      <w:pPr>
        <w:pStyle w:val="Titulek"/>
        <w:keepNext/>
      </w:pPr>
      <w:bookmarkStart w:id="147" w:name="_Toc5965640"/>
      <w:r>
        <w:lastRenderedPageBreak/>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19</w:t>
      </w:r>
      <w:r w:rsidR="005F53B0">
        <w:rPr>
          <w:noProof/>
        </w:rPr>
        <w:fldChar w:fldCharType="end"/>
      </w:r>
      <w:r>
        <w:t xml:space="preserve">: </w:t>
      </w:r>
      <w:r w:rsidRPr="009F0FF5">
        <w:t>Příjmy</w:t>
      </w:r>
      <w:r>
        <w:t xml:space="preserve"> OP VVV mimo VVI</w:t>
      </w:r>
      <w:bookmarkEnd w:id="147"/>
    </w:p>
    <w:tbl>
      <w:tblPr>
        <w:tblW w:w="8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57"/>
        <w:gridCol w:w="1983"/>
      </w:tblGrid>
      <w:tr w:rsidR="008678CF" w14:paraId="72CB18EF" w14:textId="77777777" w:rsidTr="00C308CA">
        <w:trPr>
          <w:trHeight w:val="365"/>
        </w:trPr>
        <w:tc>
          <w:tcPr>
            <w:tcW w:w="6657" w:type="dxa"/>
            <w:tcBorders>
              <w:top w:val="single" w:sz="4" w:space="0" w:color="auto"/>
              <w:left w:val="single" w:sz="4" w:space="0" w:color="auto"/>
              <w:bottom w:val="single" w:sz="4" w:space="0" w:color="auto"/>
              <w:right w:val="single" w:sz="4" w:space="0" w:color="auto"/>
            </w:tcBorders>
            <w:vAlign w:val="center"/>
            <w:hideMark/>
          </w:tcPr>
          <w:p w14:paraId="3CFF569E" w14:textId="77777777" w:rsidR="008678CF" w:rsidRDefault="008678CF">
            <w:pPr>
              <w:spacing w:line="256" w:lineRule="auto"/>
              <w:rPr>
                <w:lang w:eastAsia="en-US"/>
              </w:rPr>
            </w:pPr>
            <w:r>
              <w:rPr>
                <w:b/>
                <w:sz w:val="22"/>
                <w:lang w:eastAsia="en-US"/>
              </w:rPr>
              <w:t xml:space="preserve"> Příjmy celkem (v Kč)</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AAABAC0" w14:textId="77777777" w:rsidR="008678CF" w:rsidRDefault="008678CF">
            <w:pPr>
              <w:spacing w:line="256" w:lineRule="auto"/>
              <w:jc w:val="right"/>
              <w:rPr>
                <w:b/>
                <w:szCs w:val="24"/>
                <w:lang w:eastAsia="en-US"/>
              </w:rPr>
            </w:pPr>
            <w:r>
              <w:rPr>
                <w:b/>
                <w:bCs/>
                <w:szCs w:val="24"/>
                <w:lang w:eastAsia="en-US"/>
              </w:rPr>
              <w:t>4 690 000 000</w:t>
            </w:r>
          </w:p>
        </w:tc>
      </w:tr>
      <w:tr w:rsidR="008678CF" w14:paraId="0947F8CA" w14:textId="77777777" w:rsidTr="00C308CA">
        <w:trPr>
          <w:trHeight w:val="557"/>
        </w:trPr>
        <w:tc>
          <w:tcPr>
            <w:tcW w:w="6657" w:type="dxa"/>
            <w:tcBorders>
              <w:top w:val="single" w:sz="4" w:space="0" w:color="auto"/>
              <w:left w:val="single" w:sz="4" w:space="0" w:color="auto"/>
              <w:bottom w:val="single" w:sz="4" w:space="0" w:color="auto"/>
              <w:right w:val="single" w:sz="4" w:space="0" w:color="auto"/>
            </w:tcBorders>
            <w:vAlign w:val="center"/>
            <w:hideMark/>
          </w:tcPr>
          <w:p w14:paraId="74888A13" w14:textId="77777777" w:rsidR="008678CF" w:rsidRDefault="008678CF">
            <w:pPr>
              <w:spacing w:line="256" w:lineRule="auto"/>
              <w:ind w:left="137"/>
              <w:rPr>
                <w:lang w:eastAsia="en-US"/>
              </w:rPr>
            </w:pPr>
            <w:r>
              <w:rPr>
                <w:lang w:eastAsia="en-US"/>
              </w:rPr>
              <w:t xml:space="preserve">Příjmy na programy spolufinancované z prostředků EU bez SZP - programovací období 2014 až 2020 celkem </w:t>
            </w:r>
            <w:r>
              <w:rPr>
                <w:b/>
                <w:lang w:eastAsia="en-US"/>
              </w:rPr>
              <w:t>(OP VVV)</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525E17B" w14:textId="77777777" w:rsidR="008678CF" w:rsidRDefault="008678CF">
            <w:pPr>
              <w:spacing w:line="256" w:lineRule="auto"/>
              <w:jc w:val="right"/>
              <w:rPr>
                <w:b/>
                <w:szCs w:val="24"/>
                <w:lang w:eastAsia="en-US"/>
              </w:rPr>
            </w:pPr>
            <w:r>
              <w:rPr>
                <w:b/>
                <w:bCs/>
                <w:szCs w:val="24"/>
                <w:lang w:eastAsia="en-US"/>
              </w:rPr>
              <w:t>4 690 000 000</w:t>
            </w:r>
          </w:p>
        </w:tc>
      </w:tr>
    </w:tbl>
    <w:p w14:paraId="29200D57" w14:textId="77777777" w:rsidR="008678CF" w:rsidRDefault="008678CF" w:rsidP="008678CF">
      <w:pPr>
        <w:pStyle w:val="Text"/>
      </w:pPr>
    </w:p>
    <w:p w14:paraId="4DAC7FAC" w14:textId="77777777" w:rsidR="008678CF" w:rsidRDefault="008678CF" w:rsidP="008678CF">
      <w:pPr>
        <w:pStyle w:val="Text"/>
      </w:pPr>
      <w:r>
        <w:t xml:space="preserve">Poměr financování v projektech OP VVV se pohybuje zpravidla mezi 15 % </w:t>
      </w:r>
      <w:r>
        <w:br/>
        <w:t>až 50 % ze SR a v rozmezí 50 % až 85 % z rozpočtu EU. Kromě toho se až na výjimky počítá i s finanční spoluúčastí příjemců, a to nejčastěji ve výši 5 % způsobilých výdajů.</w:t>
      </w:r>
    </w:p>
    <w:p w14:paraId="6DAAC4BF" w14:textId="77777777" w:rsidR="008678CF" w:rsidRDefault="008678CF" w:rsidP="008678CF">
      <w:pPr>
        <w:ind w:left="284"/>
        <w:rPr>
          <w:szCs w:val="24"/>
          <w:highlight w:val="yellow"/>
        </w:rPr>
      </w:pPr>
    </w:p>
    <w:p w14:paraId="4B4AB65E" w14:textId="77777777" w:rsidR="008678CF" w:rsidRDefault="008678CF" w:rsidP="008678CF">
      <w:pPr>
        <w:ind w:left="426"/>
        <w:rPr>
          <w:b/>
        </w:rPr>
      </w:pPr>
      <w:r>
        <w:rPr>
          <w:b/>
        </w:rPr>
        <w:t>Z OP VVV jsou financovány následující priority:</w:t>
      </w:r>
    </w:p>
    <w:p w14:paraId="0C430C0B" w14:textId="77777777" w:rsidR="008678CF" w:rsidRDefault="008678CF" w:rsidP="008678CF">
      <w:pPr>
        <w:ind w:left="426"/>
        <w:rPr>
          <w:b/>
          <w:highlight w:val="yellow"/>
        </w:rPr>
      </w:pPr>
    </w:p>
    <w:tbl>
      <w:tblPr>
        <w:tblW w:w="8221" w:type="dxa"/>
        <w:tblLook w:val="04A0" w:firstRow="1" w:lastRow="0" w:firstColumn="1" w:lastColumn="0" w:noHBand="0" w:noVBand="1"/>
      </w:tblPr>
      <w:tblGrid>
        <w:gridCol w:w="1984"/>
        <w:gridCol w:w="567"/>
        <w:gridCol w:w="5670"/>
      </w:tblGrid>
      <w:tr w:rsidR="008678CF" w14:paraId="677DBCA8" w14:textId="77777777" w:rsidTr="008678CF">
        <w:trPr>
          <w:trHeight w:val="262"/>
        </w:trPr>
        <w:tc>
          <w:tcPr>
            <w:tcW w:w="1984" w:type="dxa"/>
            <w:hideMark/>
          </w:tcPr>
          <w:p w14:paraId="0331B7F3" w14:textId="77777777" w:rsidR="008678CF" w:rsidRDefault="008678CF">
            <w:pPr>
              <w:spacing w:line="256" w:lineRule="auto"/>
              <w:rPr>
                <w:lang w:eastAsia="en-US"/>
              </w:rPr>
            </w:pPr>
            <w:r>
              <w:rPr>
                <w:lang w:eastAsia="en-US"/>
              </w:rPr>
              <w:t>Prioritní osa 1</w:t>
            </w:r>
          </w:p>
        </w:tc>
        <w:tc>
          <w:tcPr>
            <w:tcW w:w="567" w:type="dxa"/>
            <w:hideMark/>
          </w:tcPr>
          <w:p w14:paraId="256A905D" w14:textId="77777777" w:rsidR="008678CF" w:rsidRDefault="008678CF">
            <w:pPr>
              <w:spacing w:line="256" w:lineRule="auto"/>
              <w:rPr>
                <w:lang w:eastAsia="en-US"/>
              </w:rPr>
            </w:pPr>
            <w:r>
              <w:rPr>
                <w:lang w:eastAsia="en-US"/>
              </w:rPr>
              <w:t>-</w:t>
            </w:r>
          </w:p>
        </w:tc>
        <w:tc>
          <w:tcPr>
            <w:tcW w:w="5670" w:type="dxa"/>
            <w:hideMark/>
          </w:tcPr>
          <w:p w14:paraId="04310447" w14:textId="77777777" w:rsidR="008678CF" w:rsidRDefault="008678CF">
            <w:pPr>
              <w:spacing w:line="256" w:lineRule="auto"/>
              <w:rPr>
                <w:lang w:eastAsia="en-US"/>
              </w:rPr>
            </w:pPr>
            <w:r>
              <w:rPr>
                <w:lang w:eastAsia="en-US"/>
              </w:rPr>
              <w:t>Posilování kapacit pro kvalitní výzkum</w:t>
            </w:r>
          </w:p>
        </w:tc>
      </w:tr>
      <w:tr w:rsidR="008678CF" w14:paraId="316BF827" w14:textId="77777777" w:rsidTr="008678CF">
        <w:trPr>
          <w:trHeight w:val="275"/>
        </w:trPr>
        <w:tc>
          <w:tcPr>
            <w:tcW w:w="1984" w:type="dxa"/>
            <w:hideMark/>
          </w:tcPr>
          <w:p w14:paraId="5DBB60F5" w14:textId="77777777" w:rsidR="008678CF" w:rsidRDefault="008678CF">
            <w:pPr>
              <w:spacing w:line="256" w:lineRule="auto"/>
              <w:rPr>
                <w:lang w:eastAsia="en-US"/>
              </w:rPr>
            </w:pPr>
            <w:r>
              <w:rPr>
                <w:lang w:eastAsia="en-US"/>
              </w:rPr>
              <w:t>Prioritní osa 2</w:t>
            </w:r>
          </w:p>
        </w:tc>
        <w:tc>
          <w:tcPr>
            <w:tcW w:w="567" w:type="dxa"/>
            <w:hideMark/>
          </w:tcPr>
          <w:p w14:paraId="78836E5E" w14:textId="77777777" w:rsidR="008678CF" w:rsidRDefault="008678CF">
            <w:pPr>
              <w:spacing w:line="256" w:lineRule="auto"/>
              <w:rPr>
                <w:lang w:eastAsia="en-US"/>
              </w:rPr>
            </w:pPr>
            <w:r>
              <w:rPr>
                <w:lang w:eastAsia="en-US"/>
              </w:rPr>
              <w:t>-</w:t>
            </w:r>
          </w:p>
        </w:tc>
        <w:tc>
          <w:tcPr>
            <w:tcW w:w="5670" w:type="dxa"/>
            <w:hideMark/>
          </w:tcPr>
          <w:p w14:paraId="652E0468" w14:textId="77777777" w:rsidR="008678CF" w:rsidRDefault="008678CF">
            <w:pPr>
              <w:spacing w:line="256" w:lineRule="auto"/>
              <w:rPr>
                <w:lang w:eastAsia="en-US"/>
              </w:rPr>
            </w:pPr>
            <w:r>
              <w:rPr>
                <w:lang w:eastAsia="en-US"/>
              </w:rPr>
              <w:t>Rozvoj vysokých škol a lidských zdrojů pro výzkum a vývoj</w:t>
            </w:r>
          </w:p>
        </w:tc>
      </w:tr>
      <w:tr w:rsidR="008678CF" w14:paraId="25849F9D" w14:textId="77777777" w:rsidTr="008678CF">
        <w:trPr>
          <w:trHeight w:val="262"/>
        </w:trPr>
        <w:tc>
          <w:tcPr>
            <w:tcW w:w="1984" w:type="dxa"/>
            <w:hideMark/>
          </w:tcPr>
          <w:p w14:paraId="161BB900" w14:textId="77777777" w:rsidR="008678CF" w:rsidRDefault="008678CF">
            <w:pPr>
              <w:spacing w:line="256" w:lineRule="auto"/>
              <w:rPr>
                <w:lang w:eastAsia="en-US"/>
              </w:rPr>
            </w:pPr>
            <w:r>
              <w:rPr>
                <w:lang w:eastAsia="en-US"/>
              </w:rPr>
              <w:t>Prioritní osa 3</w:t>
            </w:r>
          </w:p>
        </w:tc>
        <w:tc>
          <w:tcPr>
            <w:tcW w:w="567" w:type="dxa"/>
            <w:hideMark/>
          </w:tcPr>
          <w:p w14:paraId="4094FDC1" w14:textId="77777777" w:rsidR="008678CF" w:rsidRDefault="008678CF">
            <w:pPr>
              <w:spacing w:line="256" w:lineRule="auto"/>
              <w:rPr>
                <w:lang w:eastAsia="en-US"/>
              </w:rPr>
            </w:pPr>
            <w:r>
              <w:rPr>
                <w:lang w:eastAsia="en-US"/>
              </w:rPr>
              <w:t>-</w:t>
            </w:r>
          </w:p>
        </w:tc>
        <w:tc>
          <w:tcPr>
            <w:tcW w:w="5670" w:type="dxa"/>
            <w:hideMark/>
          </w:tcPr>
          <w:p w14:paraId="2ED7BD44" w14:textId="77777777" w:rsidR="008678CF" w:rsidRDefault="008678CF">
            <w:pPr>
              <w:spacing w:line="256" w:lineRule="auto"/>
              <w:ind w:left="22"/>
              <w:rPr>
                <w:lang w:eastAsia="en-US"/>
              </w:rPr>
            </w:pPr>
            <w:r>
              <w:rPr>
                <w:lang w:eastAsia="en-US"/>
              </w:rPr>
              <w:t>Rovný přístup ke kvalitnímu předškolnímu, primárnímu a sekundárnímu vzdělávání</w:t>
            </w:r>
          </w:p>
        </w:tc>
      </w:tr>
      <w:tr w:rsidR="008678CF" w14:paraId="01AAE7E6" w14:textId="77777777" w:rsidTr="008678CF">
        <w:trPr>
          <w:trHeight w:val="262"/>
        </w:trPr>
        <w:tc>
          <w:tcPr>
            <w:tcW w:w="1984" w:type="dxa"/>
            <w:hideMark/>
          </w:tcPr>
          <w:p w14:paraId="6BEC0F91" w14:textId="77777777" w:rsidR="008678CF" w:rsidRDefault="008678CF">
            <w:pPr>
              <w:spacing w:line="256" w:lineRule="auto"/>
              <w:rPr>
                <w:lang w:eastAsia="en-US"/>
              </w:rPr>
            </w:pPr>
            <w:r>
              <w:rPr>
                <w:lang w:eastAsia="en-US"/>
              </w:rPr>
              <w:t>Prioritní osa 4</w:t>
            </w:r>
          </w:p>
        </w:tc>
        <w:tc>
          <w:tcPr>
            <w:tcW w:w="567" w:type="dxa"/>
            <w:hideMark/>
          </w:tcPr>
          <w:p w14:paraId="5A1E1D18" w14:textId="77777777" w:rsidR="008678CF" w:rsidRDefault="008678CF">
            <w:pPr>
              <w:spacing w:line="256" w:lineRule="auto"/>
              <w:rPr>
                <w:lang w:eastAsia="en-US"/>
              </w:rPr>
            </w:pPr>
            <w:r>
              <w:rPr>
                <w:lang w:eastAsia="en-US"/>
              </w:rPr>
              <w:t>-</w:t>
            </w:r>
          </w:p>
        </w:tc>
        <w:tc>
          <w:tcPr>
            <w:tcW w:w="5670" w:type="dxa"/>
            <w:hideMark/>
          </w:tcPr>
          <w:p w14:paraId="504EFF74" w14:textId="77777777" w:rsidR="008678CF" w:rsidRDefault="008678CF">
            <w:pPr>
              <w:spacing w:line="256" w:lineRule="auto"/>
              <w:ind w:left="22"/>
              <w:rPr>
                <w:lang w:eastAsia="en-US"/>
              </w:rPr>
            </w:pPr>
            <w:r>
              <w:rPr>
                <w:lang w:eastAsia="en-US"/>
              </w:rPr>
              <w:t>Technická pomoc</w:t>
            </w:r>
          </w:p>
        </w:tc>
      </w:tr>
    </w:tbl>
    <w:p w14:paraId="148F2578" w14:textId="77777777" w:rsidR="008678CF" w:rsidRDefault="008678CF" w:rsidP="008678CF">
      <w:pPr>
        <w:pStyle w:val="Text"/>
        <w:rPr>
          <w:highlight w:val="yellow"/>
        </w:rPr>
      </w:pPr>
    </w:p>
    <w:p w14:paraId="529D27F0" w14:textId="77777777" w:rsidR="008678CF" w:rsidRDefault="008678CF" w:rsidP="008678CF">
      <w:pPr>
        <w:pStyle w:val="Text"/>
      </w:pPr>
      <w:bookmarkStart w:id="148" w:name="_Toc398898234"/>
      <w:r>
        <w:rPr>
          <w:b/>
        </w:rPr>
        <w:t>Prioritní osa 1</w:t>
      </w:r>
      <w:r>
        <w:t xml:space="preserve"> je zaměřena na vytvoření podmínek pro dosažení špičkové úrovně výzkumu v ČR v mezinárodním měřítku, rozvoj spolupráce ve výzkumu, zkvalitnění infrastrukturních podmínek pro přípravu budoucích výzkumníků, vytvoření prostředí pro kvalitní řízení výzkumu a zvýšení přínosů výzkumu pro společnost. Tato osa reaguje na existující nedostatky ve výzkumném systému ČR identifikované v oblasti vybavenosti, využití a sdílení výzkumných infrastruktur, infrastrukturních podmínek pro vzdělávání nové generace výzkumných pracovníků, multidisciplinarity výzkumných týmů, zapojení výzkumných týmů do mezinárodní spolupráce, spolupráce veřejného a soukromého sektoru na dlouhodobých výzkumných tématech, strategického řízení a politiky výzkumu na národní úrovni. Patří sem 4 specifické cíle:</w:t>
      </w:r>
    </w:p>
    <w:p w14:paraId="72120DA2" w14:textId="77777777" w:rsidR="008678CF" w:rsidRDefault="008678CF" w:rsidP="008678CF">
      <w:pPr>
        <w:pStyle w:val="Text"/>
      </w:pPr>
      <w:r>
        <w:t xml:space="preserve">První z nich se zaměřuje na posílení kvality a dosažení excelence ve výzkumu prostřednictvím větší koncentrace finančních a lidských zdrojů do oblastí výzkumu, ve kterých existují v ČR předpoklady pro realizaci mezinárodně konkurenceschopného výzkumu a kde má ČR potenciál přispět k řešení globálních socio-ekonomických výzev. </w:t>
      </w:r>
    </w:p>
    <w:p w14:paraId="39A1EBD3" w14:textId="77777777" w:rsidR="008678CF" w:rsidRDefault="008678CF" w:rsidP="008678CF">
      <w:pPr>
        <w:pStyle w:val="Text"/>
      </w:pPr>
      <w:r>
        <w:t xml:space="preserve">Druhý je zaměřen na posílení kapacit pro strategickou spolupráci veřejného a soukromého sektoru při přípravě a realizaci orientovaného výzkumu s širokým potenciálem uplatnění při řešení dlouhodobých společenských potřeb. Posílení kapacit se soustředí na takový výzkum, který vychází ze strategických potřeb trhu, ale je vzhledem k aplikovatelnosti výsledků v dlouhodobém horizontu neatraktivní pro soukromé investice. </w:t>
      </w:r>
    </w:p>
    <w:p w14:paraId="13E0CDC1" w14:textId="77777777" w:rsidR="008678CF" w:rsidRDefault="008678CF" w:rsidP="008678CF">
      <w:pPr>
        <w:pStyle w:val="Text"/>
      </w:pPr>
      <w:r>
        <w:t>Třetí cíl je zaměřen na vytvoření kvalitních infrastrukturních podmínek pro přípravu nové generace výzkumných pracovníků. Podporovány budou investice do infrastruktury pro výzkumně zaměřené studijní programy.</w:t>
      </w:r>
    </w:p>
    <w:p w14:paraId="32421F42" w14:textId="77777777" w:rsidR="008678CF" w:rsidRDefault="008678CF" w:rsidP="008678CF">
      <w:pPr>
        <w:pStyle w:val="Text"/>
      </w:pPr>
      <w:r>
        <w:t>Čtvrtý specifický cíl je zaměřen na zefektivnění řízení výzkumu na národní úrovni a vytvoření motivujícího prostředí pro realizaci kvalitnějších výsledků výzkumu v souladu s Doporučením Rady k Národnímu programu reforem. Podporovány budou projekty řešící strategické řízení výzkumu na úrovni celého výzkumného systému.</w:t>
      </w:r>
    </w:p>
    <w:p w14:paraId="2DB5FF05" w14:textId="77777777" w:rsidR="008678CF" w:rsidRDefault="008678CF" w:rsidP="008678CF">
      <w:pPr>
        <w:pStyle w:val="Text"/>
      </w:pPr>
      <w:r>
        <w:t>V </w:t>
      </w:r>
      <w:r>
        <w:rPr>
          <w:b/>
        </w:rPr>
        <w:t>prioritní ose 2</w:t>
      </w:r>
      <w:r>
        <w:t xml:space="preserve"> budou podporována opatření směřující především k lepší kvalitě a výsledkům vysokoškolských institucí (vazba na jednu z priorit strategie Evropa 2020 „Unie inovací“). Na zvýšení kvality budou zaměřena opatření na zvýšení relevance </w:t>
      </w:r>
      <w:r>
        <w:lastRenderedPageBreak/>
        <w:t xml:space="preserve">vysokoškolského studia pro trh práce a potřeby společnosti. Tato prioritní osa je také zaměřena na rozvoj lidských zdrojů v oblasti VVI a s tím spojené zlepšení podmínek pro výuku propojenou s výzkumem. </w:t>
      </w:r>
    </w:p>
    <w:p w14:paraId="3A0526B4" w14:textId="77777777" w:rsidR="008678CF" w:rsidRDefault="008678CF" w:rsidP="008678CF">
      <w:pPr>
        <w:pStyle w:val="Text"/>
      </w:pPr>
      <w:r>
        <w:t>Důraz na zvýšení kvality a relevance vysokoškolského vzdělávání má přispět k naplňování cílů iniciativy strategie Evropa 2020 „Mládež v pohybu“, která klade důraz na kvalitu vzdělávání a zlepšení zaměstnanosti mladých lidí. Uvedená iniciativa si rovněž klade za cíl zvýšit otevřenost vzdělávacích systémů a mezinárodní atraktivitu evropských vysokoškolských institucí. Cíle prioritní osy budou naplňovány prostřednictvím provázání činností VŠ s praxí, posilováním mezinárodního prostředí a spolupráce na VŠ opět v návaznosti na strategické směřování VŠ, s možností návazného podpoření účasti v programu Erasmus.</w:t>
      </w:r>
    </w:p>
    <w:p w14:paraId="72AA9098" w14:textId="77777777" w:rsidR="008678CF" w:rsidRDefault="008678CF" w:rsidP="008678CF">
      <w:pPr>
        <w:pStyle w:val="Text"/>
      </w:pPr>
      <w:r>
        <w:t>Rozvoj lidských zdrojů pro VVI bude podporován opatřeními týkajícími se podpory výzkumně zaměřených studijních programů a zvýšení kvalifikace výzkumných a dalších pracovníků ve VVI.</w:t>
      </w:r>
    </w:p>
    <w:p w14:paraId="147A02D2" w14:textId="77777777" w:rsidR="008678CF" w:rsidRDefault="008678CF" w:rsidP="008678CF">
      <w:pPr>
        <w:pStyle w:val="Text"/>
      </w:pPr>
      <w:r>
        <w:t>Bude také podporována popularizace vědy, a to opatřeními na VŠ, v dalších výzkumných organizacích a centrech neformálního vzdělávání zaměřených na tuto oblast, včetně jejich společných projektů.</w:t>
      </w:r>
    </w:p>
    <w:p w14:paraId="27CADF79" w14:textId="77777777" w:rsidR="008678CF" w:rsidRDefault="008678CF" w:rsidP="008678CF">
      <w:pPr>
        <w:pStyle w:val="Text"/>
      </w:pPr>
      <w:r>
        <w:rPr>
          <w:b/>
        </w:rPr>
        <w:t>Prioritní osa 3</w:t>
      </w:r>
      <w:r>
        <w:t xml:space="preserve"> podpoří zejména regionální školství a zaměří se také na inkluzívní vzdělávání. Mezi priority v oblasti regionálního školství bude v souladu s evropskými a národními strategiemi patřit rozvoj klíčových kompetencí, komunikace v mateřském jazyce, komunikace v cizích jazycích, matematická gramotnost a základní schopnosti v oblasti vědy a technologií, schopnost práce s digitálními technologiemi, schopnost učit se, sociální a občanské schopnosti, smysl pro iniciativu a podnikavost, kulturní povědomí a vyjádření. Podporováno bude excelentní vzdělávání na všech jeho stupních s cílem zvýšit potenciál každého jednotlivého dítěte a žáka rozvíjet své kompetence během celého života. Mělo by také dojít ke zlepšení kvality a efektivity vzdělávání a odborné přípravy s důrazem na zvýšení jejich relevance k dlouhodobým potřebám absolventů, trhu práce a společnosti.  </w:t>
      </w:r>
    </w:p>
    <w:p w14:paraId="2CEBECBD" w14:textId="47FE9736" w:rsidR="008678CF" w:rsidRDefault="008678CF" w:rsidP="008678CF">
      <w:pPr>
        <w:pStyle w:val="Text"/>
      </w:pPr>
      <w:r>
        <w:t>Inkluzivní vzdělávání bude podpořeno prohlub</w:t>
      </w:r>
      <w:r w:rsidR="00691319">
        <w:t>ováním kompetencí pracovníků ve </w:t>
      </w:r>
      <w:r>
        <w:t>vzdělávání, tak aby byli lépe schopni rozpoznat potřeby a potenciál každého dítěte nebo žáka a rozvíjet je. Podpora bude zacílena na řešení specifických situací v inkluzivním vzdělávání marginalizovaných skupin, jako jsou děti a žáci ze sociálně znevýhodněného prostředí, romské děti a žáci a děti cizinců (včetně migrantů a žadatelů o azyl). Základem je posílení schopnosti strategického vedení vzdělávání k lepším výsledkům na všech úrovních: stát/zřizovatel/ředitel/učitel/žáci. Je nutné najít a podpořit pedagogické lídry, kteří pomohou změnu nastartovat a vést, podpořit týmy vzdělavatelů a zlepšit jejich profesní rozvoj, a to už v období profesní přípravy.</w:t>
      </w:r>
    </w:p>
    <w:p w14:paraId="71E5E8F2" w14:textId="77777777" w:rsidR="008678CF" w:rsidRDefault="008678CF" w:rsidP="008678CF">
      <w:pPr>
        <w:pStyle w:val="Text"/>
      </w:pPr>
      <w:r>
        <w:t xml:space="preserve">Z hlediska zvýšení potenciálu zajistit do budoucna odborníky pro kvalifikačně náročné profese je cílem této priority zajistit rozvoj kompetencí, potenciálu a nadání každého jedince. Významným úkolem je zaručit, aby každý žák získával klíčové kompetence pro celoživotní učení, a to již od předškolního věku. K tomu bude nezbytné získat větší porozumění a podporu ze strany rodičů a více propojit výuku s mimoškolními aktivitami žáků. Spolupráce škol s rodiči, místní komunitou, trhem práce, vědou, výzkumem a zahraničím významně přispěje k vyšší kvalitě a relevanci vzdělávání a k mobilitě. </w:t>
      </w:r>
    </w:p>
    <w:p w14:paraId="1C268766" w14:textId="77777777" w:rsidR="008678CF" w:rsidRDefault="008678CF" w:rsidP="008678CF">
      <w:pPr>
        <w:pStyle w:val="Text"/>
      </w:pPr>
      <w:r>
        <w:t xml:space="preserve">Z </w:t>
      </w:r>
      <w:r>
        <w:rPr>
          <w:b/>
        </w:rPr>
        <w:t>prioritní osy 4</w:t>
      </w:r>
      <w:r>
        <w:t xml:space="preserve"> neboli technické pomoci bude zejména financována implementační struktura, hodnocení projektů, vzdělávání a školení lidských zdrojů zajišťujících administrativu programu, činnost a jednání Monitorovacího výboru OP VVV, kontrolní a monitorovací systém, analýzy a evaluace programu apod.</w:t>
      </w:r>
    </w:p>
    <w:p w14:paraId="0D2514B9" w14:textId="77777777" w:rsidR="008678CF" w:rsidRDefault="008678CF" w:rsidP="008678CF">
      <w:pPr>
        <w:pStyle w:val="Text"/>
      </w:pPr>
      <w:r>
        <w:t>V OP VVV jsou na rok 2019 vyčleněny prostředky v následující struktuře:</w:t>
      </w:r>
    </w:p>
    <w:p w14:paraId="6298A751" w14:textId="77777777" w:rsidR="00B26388" w:rsidRDefault="00B26388" w:rsidP="00B26388">
      <w:pPr>
        <w:pStyle w:val="Titulek"/>
        <w:keepNext/>
        <w:jc w:val="left"/>
      </w:pPr>
      <w:bookmarkStart w:id="149" w:name="_Toc5965641"/>
      <w:bookmarkEnd w:id="148"/>
      <w:r>
        <w:lastRenderedPageBreak/>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20</w:t>
      </w:r>
      <w:r w:rsidR="005F53B0">
        <w:rPr>
          <w:noProof/>
        </w:rPr>
        <w:fldChar w:fldCharType="end"/>
      </w:r>
      <w:r>
        <w:t>: Rozpočet OP VVV mimo VVI</w:t>
      </w:r>
      <w:bookmarkEnd w:id="149"/>
    </w:p>
    <w:tbl>
      <w:tblPr>
        <w:tblW w:w="8200" w:type="dxa"/>
        <w:jc w:val="center"/>
        <w:tblCellMar>
          <w:left w:w="70" w:type="dxa"/>
          <w:right w:w="70" w:type="dxa"/>
        </w:tblCellMar>
        <w:tblLook w:val="04A0" w:firstRow="1" w:lastRow="0" w:firstColumn="1" w:lastColumn="0" w:noHBand="0" w:noVBand="1"/>
      </w:tblPr>
      <w:tblGrid>
        <w:gridCol w:w="736"/>
        <w:gridCol w:w="715"/>
        <w:gridCol w:w="1179"/>
        <w:gridCol w:w="1739"/>
        <w:gridCol w:w="1750"/>
        <w:gridCol w:w="2081"/>
      </w:tblGrid>
      <w:tr w:rsidR="00F5701C" w:rsidRPr="00F5701C" w14:paraId="727B5FB5" w14:textId="77777777" w:rsidTr="00F5701C">
        <w:trPr>
          <w:trHeight w:val="1275"/>
          <w:jc w:val="center"/>
        </w:trPr>
        <w:tc>
          <w:tcPr>
            <w:tcW w:w="2630"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557AB6A" w14:textId="77777777" w:rsidR="00F5701C" w:rsidRPr="00A1401A" w:rsidRDefault="00F5701C" w:rsidP="00F5701C">
            <w:pPr>
              <w:jc w:val="left"/>
              <w:rPr>
                <w:b/>
                <w:bCs/>
                <w:szCs w:val="24"/>
              </w:rPr>
            </w:pPr>
            <w:r w:rsidRPr="00A1401A">
              <w:rPr>
                <w:b/>
                <w:bCs/>
                <w:szCs w:val="24"/>
              </w:rPr>
              <w:t>Položky</w:t>
            </w:r>
          </w:p>
        </w:tc>
        <w:tc>
          <w:tcPr>
            <w:tcW w:w="1739" w:type="dxa"/>
            <w:tcBorders>
              <w:top w:val="single" w:sz="4" w:space="0" w:color="auto"/>
              <w:left w:val="nil"/>
              <w:bottom w:val="single" w:sz="4" w:space="0" w:color="auto"/>
              <w:right w:val="single" w:sz="4" w:space="0" w:color="auto"/>
            </w:tcBorders>
            <w:shd w:val="clear" w:color="000000" w:fill="FFFFFF"/>
            <w:vAlign w:val="center"/>
            <w:hideMark/>
          </w:tcPr>
          <w:p w14:paraId="5F57C4F1" w14:textId="77777777" w:rsidR="00F5701C" w:rsidRPr="00A1401A" w:rsidRDefault="00F5701C" w:rsidP="00F5701C">
            <w:pPr>
              <w:jc w:val="center"/>
              <w:rPr>
                <w:b/>
                <w:bCs/>
                <w:szCs w:val="24"/>
              </w:rPr>
            </w:pPr>
            <w:r w:rsidRPr="00A1401A">
              <w:rPr>
                <w:b/>
                <w:bCs/>
                <w:szCs w:val="24"/>
              </w:rPr>
              <w:t>Rozpočet celkem 2019</w:t>
            </w:r>
          </w:p>
        </w:tc>
        <w:tc>
          <w:tcPr>
            <w:tcW w:w="1750" w:type="dxa"/>
            <w:tcBorders>
              <w:top w:val="single" w:sz="4" w:space="0" w:color="auto"/>
              <w:left w:val="nil"/>
              <w:bottom w:val="single" w:sz="4" w:space="0" w:color="auto"/>
              <w:right w:val="single" w:sz="4" w:space="0" w:color="auto"/>
            </w:tcBorders>
            <w:shd w:val="clear" w:color="000000" w:fill="FFFFFF"/>
            <w:vAlign w:val="center"/>
            <w:hideMark/>
          </w:tcPr>
          <w:p w14:paraId="452B3DAC" w14:textId="77777777" w:rsidR="00F5701C" w:rsidRPr="00A1401A" w:rsidRDefault="00F5701C" w:rsidP="00F5701C">
            <w:pPr>
              <w:jc w:val="center"/>
              <w:rPr>
                <w:b/>
                <w:bCs/>
                <w:szCs w:val="24"/>
              </w:rPr>
            </w:pPr>
            <w:r w:rsidRPr="00A1401A">
              <w:rPr>
                <w:b/>
                <w:bCs/>
                <w:szCs w:val="24"/>
              </w:rPr>
              <w:t>Výdaje na programovací období 2014-2020 OP VVV ze státního rozpočtu</w:t>
            </w:r>
          </w:p>
        </w:tc>
        <w:tc>
          <w:tcPr>
            <w:tcW w:w="2081" w:type="dxa"/>
            <w:tcBorders>
              <w:top w:val="single" w:sz="4" w:space="0" w:color="auto"/>
              <w:left w:val="nil"/>
              <w:bottom w:val="single" w:sz="4" w:space="0" w:color="auto"/>
              <w:right w:val="single" w:sz="4" w:space="0" w:color="auto"/>
            </w:tcBorders>
            <w:shd w:val="clear" w:color="000000" w:fill="FFFFFF"/>
            <w:vAlign w:val="center"/>
            <w:hideMark/>
          </w:tcPr>
          <w:p w14:paraId="26E9CD72" w14:textId="77777777" w:rsidR="00F5701C" w:rsidRPr="00A1401A" w:rsidRDefault="00F5701C" w:rsidP="00F5701C">
            <w:pPr>
              <w:jc w:val="center"/>
              <w:rPr>
                <w:b/>
                <w:bCs/>
                <w:szCs w:val="24"/>
              </w:rPr>
            </w:pPr>
            <w:r w:rsidRPr="00A1401A">
              <w:rPr>
                <w:b/>
                <w:bCs/>
                <w:szCs w:val="24"/>
              </w:rPr>
              <w:t>Výdaje na programovací období 2014-2020 OP VVV z rozpočtu EU</w:t>
            </w:r>
          </w:p>
        </w:tc>
      </w:tr>
      <w:tr w:rsidR="00F5701C" w:rsidRPr="00F5701C" w14:paraId="1D41E225" w14:textId="77777777" w:rsidTr="00F5701C">
        <w:trPr>
          <w:trHeight w:val="300"/>
          <w:jc w:val="center"/>
        </w:trPr>
        <w:tc>
          <w:tcPr>
            <w:tcW w:w="263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213A608" w14:textId="77777777" w:rsidR="00F5701C" w:rsidRPr="00A1401A" w:rsidRDefault="00F5701C" w:rsidP="00F5701C">
            <w:pPr>
              <w:jc w:val="left"/>
              <w:rPr>
                <w:b/>
                <w:bCs/>
                <w:szCs w:val="24"/>
              </w:rPr>
            </w:pPr>
            <w:r w:rsidRPr="00A1401A">
              <w:rPr>
                <w:b/>
                <w:bCs/>
                <w:szCs w:val="24"/>
              </w:rPr>
              <w:t>CELKEM VÝDAJE</w:t>
            </w:r>
          </w:p>
        </w:tc>
        <w:tc>
          <w:tcPr>
            <w:tcW w:w="1739" w:type="dxa"/>
            <w:tcBorders>
              <w:top w:val="nil"/>
              <w:left w:val="nil"/>
              <w:bottom w:val="single" w:sz="4" w:space="0" w:color="auto"/>
              <w:right w:val="single" w:sz="4" w:space="0" w:color="auto"/>
            </w:tcBorders>
            <w:shd w:val="clear" w:color="000000" w:fill="FFFFFF"/>
            <w:vAlign w:val="center"/>
            <w:hideMark/>
          </w:tcPr>
          <w:p w14:paraId="46D53D60" w14:textId="77777777" w:rsidR="00F5701C" w:rsidRPr="00A1401A" w:rsidRDefault="00F5701C" w:rsidP="00F5701C">
            <w:pPr>
              <w:jc w:val="right"/>
              <w:rPr>
                <w:b/>
                <w:bCs/>
                <w:szCs w:val="24"/>
              </w:rPr>
            </w:pPr>
            <w:r w:rsidRPr="00A1401A">
              <w:rPr>
                <w:b/>
                <w:bCs/>
                <w:szCs w:val="24"/>
              </w:rPr>
              <w:t>5 949 161 464</w:t>
            </w:r>
          </w:p>
        </w:tc>
        <w:tc>
          <w:tcPr>
            <w:tcW w:w="1750" w:type="dxa"/>
            <w:tcBorders>
              <w:top w:val="nil"/>
              <w:left w:val="nil"/>
              <w:bottom w:val="single" w:sz="4" w:space="0" w:color="auto"/>
              <w:right w:val="single" w:sz="4" w:space="0" w:color="auto"/>
            </w:tcBorders>
            <w:shd w:val="clear" w:color="000000" w:fill="FFFFFF"/>
            <w:noWrap/>
            <w:vAlign w:val="center"/>
            <w:hideMark/>
          </w:tcPr>
          <w:p w14:paraId="7DA055C1" w14:textId="77777777" w:rsidR="00F5701C" w:rsidRPr="00A1401A" w:rsidRDefault="00F5701C" w:rsidP="00F5701C">
            <w:pPr>
              <w:jc w:val="right"/>
              <w:rPr>
                <w:b/>
                <w:bCs/>
                <w:szCs w:val="24"/>
              </w:rPr>
            </w:pPr>
            <w:r w:rsidRPr="00A1401A">
              <w:rPr>
                <w:b/>
                <w:bCs/>
                <w:szCs w:val="24"/>
              </w:rPr>
              <w:t>1 259 161 464</w:t>
            </w:r>
          </w:p>
        </w:tc>
        <w:tc>
          <w:tcPr>
            <w:tcW w:w="2081" w:type="dxa"/>
            <w:tcBorders>
              <w:top w:val="nil"/>
              <w:left w:val="nil"/>
              <w:bottom w:val="single" w:sz="4" w:space="0" w:color="auto"/>
              <w:right w:val="single" w:sz="4" w:space="0" w:color="auto"/>
            </w:tcBorders>
            <w:shd w:val="clear" w:color="000000" w:fill="FFFFFF"/>
            <w:noWrap/>
            <w:vAlign w:val="center"/>
            <w:hideMark/>
          </w:tcPr>
          <w:p w14:paraId="0B06C1B5" w14:textId="77777777" w:rsidR="00F5701C" w:rsidRPr="00A1401A" w:rsidRDefault="00F5701C" w:rsidP="00F5701C">
            <w:pPr>
              <w:jc w:val="right"/>
              <w:rPr>
                <w:b/>
                <w:bCs/>
                <w:szCs w:val="24"/>
              </w:rPr>
            </w:pPr>
            <w:r w:rsidRPr="00A1401A">
              <w:rPr>
                <w:b/>
                <w:bCs/>
                <w:szCs w:val="24"/>
              </w:rPr>
              <w:t>4 690 000 000</w:t>
            </w:r>
          </w:p>
        </w:tc>
      </w:tr>
      <w:tr w:rsidR="00F5701C" w:rsidRPr="00F5701C" w14:paraId="77D38D36" w14:textId="77777777" w:rsidTr="00F5701C">
        <w:trPr>
          <w:trHeight w:val="300"/>
          <w:jc w:val="center"/>
        </w:trPr>
        <w:tc>
          <w:tcPr>
            <w:tcW w:w="263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38D716C" w14:textId="77777777" w:rsidR="00F5701C" w:rsidRPr="00A1401A" w:rsidRDefault="00F5701C" w:rsidP="00F5701C">
            <w:pPr>
              <w:jc w:val="left"/>
              <w:rPr>
                <w:b/>
                <w:bCs/>
                <w:szCs w:val="24"/>
              </w:rPr>
            </w:pPr>
            <w:r w:rsidRPr="00A1401A">
              <w:rPr>
                <w:b/>
                <w:bCs/>
                <w:szCs w:val="24"/>
              </w:rPr>
              <w:t>Celkem kapitálové výdaje</w:t>
            </w:r>
          </w:p>
        </w:tc>
        <w:tc>
          <w:tcPr>
            <w:tcW w:w="1739" w:type="dxa"/>
            <w:tcBorders>
              <w:top w:val="nil"/>
              <w:left w:val="nil"/>
              <w:bottom w:val="single" w:sz="4" w:space="0" w:color="auto"/>
              <w:right w:val="single" w:sz="4" w:space="0" w:color="auto"/>
            </w:tcBorders>
            <w:shd w:val="clear" w:color="000000" w:fill="FFFFFF"/>
            <w:vAlign w:val="center"/>
            <w:hideMark/>
          </w:tcPr>
          <w:p w14:paraId="6444F6C0" w14:textId="77777777" w:rsidR="00F5701C" w:rsidRPr="00A1401A" w:rsidRDefault="00F5701C" w:rsidP="00F5701C">
            <w:pPr>
              <w:jc w:val="right"/>
              <w:rPr>
                <w:b/>
                <w:bCs/>
                <w:szCs w:val="24"/>
              </w:rPr>
            </w:pPr>
            <w:r w:rsidRPr="00A1401A">
              <w:rPr>
                <w:b/>
                <w:bCs/>
                <w:szCs w:val="24"/>
              </w:rPr>
              <w:t>1 322 768 349</w:t>
            </w:r>
          </w:p>
        </w:tc>
        <w:tc>
          <w:tcPr>
            <w:tcW w:w="1750" w:type="dxa"/>
            <w:tcBorders>
              <w:top w:val="nil"/>
              <w:left w:val="nil"/>
              <w:bottom w:val="single" w:sz="4" w:space="0" w:color="auto"/>
              <w:right w:val="single" w:sz="4" w:space="0" w:color="auto"/>
            </w:tcBorders>
            <w:shd w:val="clear" w:color="000000" w:fill="FFFFFF"/>
            <w:noWrap/>
            <w:vAlign w:val="center"/>
            <w:hideMark/>
          </w:tcPr>
          <w:p w14:paraId="44BB1EA2" w14:textId="77777777" w:rsidR="00F5701C" w:rsidRPr="00A1401A" w:rsidRDefault="00F5701C" w:rsidP="00F5701C">
            <w:pPr>
              <w:jc w:val="right"/>
              <w:rPr>
                <w:b/>
                <w:bCs/>
                <w:szCs w:val="24"/>
              </w:rPr>
            </w:pPr>
            <w:r w:rsidRPr="00A1401A">
              <w:rPr>
                <w:b/>
                <w:bCs/>
                <w:szCs w:val="24"/>
              </w:rPr>
              <w:t>182 202 530</w:t>
            </w:r>
          </w:p>
        </w:tc>
        <w:tc>
          <w:tcPr>
            <w:tcW w:w="2081" w:type="dxa"/>
            <w:tcBorders>
              <w:top w:val="nil"/>
              <w:left w:val="nil"/>
              <w:bottom w:val="single" w:sz="4" w:space="0" w:color="auto"/>
              <w:right w:val="single" w:sz="4" w:space="0" w:color="auto"/>
            </w:tcBorders>
            <w:shd w:val="clear" w:color="000000" w:fill="FFFFFF"/>
            <w:noWrap/>
            <w:vAlign w:val="center"/>
            <w:hideMark/>
          </w:tcPr>
          <w:p w14:paraId="5993027E" w14:textId="77777777" w:rsidR="00F5701C" w:rsidRPr="00A1401A" w:rsidRDefault="00F5701C" w:rsidP="00F5701C">
            <w:pPr>
              <w:jc w:val="right"/>
              <w:rPr>
                <w:b/>
                <w:bCs/>
                <w:szCs w:val="24"/>
              </w:rPr>
            </w:pPr>
            <w:r w:rsidRPr="00A1401A">
              <w:rPr>
                <w:b/>
                <w:bCs/>
                <w:szCs w:val="24"/>
              </w:rPr>
              <w:t>1 140 565 819</w:t>
            </w:r>
          </w:p>
        </w:tc>
      </w:tr>
      <w:tr w:rsidR="00F5701C" w:rsidRPr="00F5701C" w14:paraId="7D55C715" w14:textId="77777777" w:rsidTr="00F5701C">
        <w:trPr>
          <w:trHeight w:val="300"/>
          <w:jc w:val="center"/>
        </w:trPr>
        <w:tc>
          <w:tcPr>
            <w:tcW w:w="263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DD50F9" w14:textId="77777777" w:rsidR="00F5701C" w:rsidRPr="00A1401A" w:rsidRDefault="00F5701C" w:rsidP="00F5701C">
            <w:pPr>
              <w:jc w:val="left"/>
              <w:rPr>
                <w:b/>
                <w:bCs/>
                <w:szCs w:val="24"/>
              </w:rPr>
            </w:pPr>
            <w:r w:rsidRPr="00A1401A">
              <w:rPr>
                <w:b/>
                <w:bCs/>
                <w:szCs w:val="24"/>
              </w:rPr>
              <w:t>Celkem běžné výdaje</w:t>
            </w:r>
          </w:p>
        </w:tc>
        <w:tc>
          <w:tcPr>
            <w:tcW w:w="1739" w:type="dxa"/>
            <w:tcBorders>
              <w:top w:val="nil"/>
              <w:left w:val="nil"/>
              <w:bottom w:val="single" w:sz="4" w:space="0" w:color="auto"/>
              <w:right w:val="single" w:sz="4" w:space="0" w:color="auto"/>
            </w:tcBorders>
            <w:shd w:val="clear" w:color="000000" w:fill="FFFFFF"/>
            <w:vAlign w:val="center"/>
            <w:hideMark/>
          </w:tcPr>
          <w:p w14:paraId="0A7819C8" w14:textId="77777777" w:rsidR="00F5701C" w:rsidRPr="00A1401A" w:rsidRDefault="00F5701C" w:rsidP="00F5701C">
            <w:pPr>
              <w:jc w:val="right"/>
              <w:rPr>
                <w:b/>
                <w:bCs/>
                <w:szCs w:val="24"/>
              </w:rPr>
            </w:pPr>
            <w:r w:rsidRPr="00A1401A">
              <w:rPr>
                <w:b/>
                <w:bCs/>
                <w:szCs w:val="24"/>
              </w:rPr>
              <w:t>4 626 393 115</w:t>
            </w:r>
          </w:p>
        </w:tc>
        <w:tc>
          <w:tcPr>
            <w:tcW w:w="1750" w:type="dxa"/>
            <w:tcBorders>
              <w:top w:val="nil"/>
              <w:left w:val="nil"/>
              <w:bottom w:val="single" w:sz="4" w:space="0" w:color="auto"/>
              <w:right w:val="single" w:sz="4" w:space="0" w:color="auto"/>
            </w:tcBorders>
            <w:shd w:val="clear" w:color="000000" w:fill="FFFFFF"/>
            <w:noWrap/>
            <w:vAlign w:val="center"/>
            <w:hideMark/>
          </w:tcPr>
          <w:p w14:paraId="3C81BF69" w14:textId="77777777" w:rsidR="00F5701C" w:rsidRPr="00A1401A" w:rsidRDefault="00F5701C" w:rsidP="00F5701C">
            <w:pPr>
              <w:jc w:val="right"/>
              <w:rPr>
                <w:b/>
                <w:bCs/>
                <w:szCs w:val="24"/>
              </w:rPr>
            </w:pPr>
            <w:r w:rsidRPr="00A1401A">
              <w:rPr>
                <w:b/>
                <w:bCs/>
                <w:szCs w:val="24"/>
              </w:rPr>
              <w:t>1 076 958 934</w:t>
            </w:r>
          </w:p>
        </w:tc>
        <w:tc>
          <w:tcPr>
            <w:tcW w:w="2081" w:type="dxa"/>
            <w:tcBorders>
              <w:top w:val="nil"/>
              <w:left w:val="nil"/>
              <w:bottom w:val="single" w:sz="4" w:space="0" w:color="auto"/>
              <w:right w:val="single" w:sz="4" w:space="0" w:color="auto"/>
            </w:tcBorders>
            <w:shd w:val="clear" w:color="000000" w:fill="FFFFFF"/>
            <w:noWrap/>
            <w:vAlign w:val="center"/>
            <w:hideMark/>
          </w:tcPr>
          <w:p w14:paraId="5898E9FF" w14:textId="77777777" w:rsidR="00F5701C" w:rsidRPr="00A1401A" w:rsidRDefault="00F5701C" w:rsidP="00F5701C">
            <w:pPr>
              <w:jc w:val="right"/>
              <w:rPr>
                <w:b/>
                <w:bCs/>
                <w:szCs w:val="24"/>
              </w:rPr>
            </w:pPr>
            <w:r w:rsidRPr="00A1401A">
              <w:rPr>
                <w:b/>
                <w:bCs/>
                <w:szCs w:val="24"/>
              </w:rPr>
              <w:t>3 549 434 181</w:t>
            </w:r>
          </w:p>
        </w:tc>
      </w:tr>
      <w:tr w:rsidR="00F5701C" w:rsidRPr="00F5701C" w14:paraId="0FB41CD4" w14:textId="77777777" w:rsidTr="00F5701C">
        <w:trPr>
          <w:trHeight w:val="300"/>
          <w:jc w:val="center"/>
        </w:trPr>
        <w:tc>
          <w:tcPr>
            <w:tcW w:w="73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C35C99" w14:textId="77777777" w:rsidR="00F5701C" w:rsidRPr="00A1401A" w:rsidRDefault="00F5701C" w:rsidP="00F5701C">
            <w:pPr>
              <w:jc w:val="center"/>
              <w:rPr>
                <w:szCs w:val="24"/>
              </w:rPr>
            </w:pPr>
            <w:r w:rsidRPr="00A1401A">
              <w:rPr>
                <w:szCs w:val="24"/>
              </w:rPr>
              <w:t>v tom:</w:t>
            </w:r>
          </w:p>
        </w:tc>
        <w:tc>
          <w:tcPr>
            <w:tcW w:w="1894" w:type="dxa"/>
            <w:gridSpan w:val="2"/>
            <w:tcBorders>
              <w:top w:val="single" w:sz="4" w:space="0" w:color="auto"/>
              <w:left w:val="nil"/>
              <w:bottom w:val="single" w:sz="4" w:space="0" w:color="auto"/>
              <w:right w:val="single" w:sz="4" w:space="0" w:color="000000"/>
            </w:tcBorders>
            <w:shd w:val="clear" w:color="000000" w:fill="FFFFFF"/>
            <w:vAlign w:val="center"/>
            <w:hideMark/>
          </w:tcPr>
          <w:p w14:paraId="07C4500C" w14:textId="77777777" w:rsidR="00F5701C" w:rsidRPr="00A1401A" w:rsidRDefault="00F5701C" w:rsidP="00F5701C">
            <w:pPr>
              <w:jc w:val="left"/>
              <w:rPr>
                <w:szCs w:val="24"/>
              </w:rPr>
            </w:pPr>
            <w:r w:rsidRPr="00A1401A">
              <w:rPr>
                <w:szCs w:val="24"/>
              </w:rPr>
              <w:t>MP</w:t>
            </w:r>
          </w:p>
        </w:tc>
        <w:tc>
          <w:tcPr>
            <w:tcW w:w="1739" w:type="dxa"/>
            <w:tcBorders>
              <w:top w:val="nil"/>
              <w:left w:val="nil"/>
              <w:bottom w:val="single" w:sz="4" w:space="0" w:color="auto"/>
              <w:right w:val="single" w:sz="4" w:space="0" w:color="auto"/>
            </w:tcBorders>
            <w:shd w:val="clear" w:color="000000" w:fill="FFFFFF"/>
            <w:vAlign w:val="center"/>
            <w:hideMark/>
          </w:tcPr>
          <w:p w14:paraId="113F9682" w14:textId="77777777" w:rsidR="00F5701C" w:rsidRPr="00A1401A" w:rsidRDefault="00F5701C" w:rsidP="00F5701C">
            <w:pPr>
              <w:jc w:val="right"/>
              <w:rPr>
                <w:szCs w:val="24"/>
              </w:rPr>
            </w:pPr>
            <w:r w:rsidRPr="00A1401A">
              <w:rPr>
                <w:szCs w:val="24"/>
              </w:rPr>
              <w:t>495 092 909</w:t>
            </w:r>
          </w:p>
        </w:tc>
        <w:tc>
          <w:tcPr>
            <w:tcW w:w="1750" w:type="dxa"/>
            <w:tcBorders>
              <w:top w:val="nil"/>
              <w:left w:val="nil"/>
              <w:bottom w:val="single" w:sz="4" w:space="0" w:color="auto"/>
              <w:right w:val="single" w:sz="4" w:space="0" w:color="auto"/>
            </w:tcBorders>
            <w:shd w:val="clear" w:color="000000" w:fill="FFFFFF"/>
            <w:noWrap/>
            <w:vAlign w:val="center"/>
            <w:hideMark/>
          </w:tcPr>
          <w:p w14:paraId="4F7DAAE7" w14:textId="77777777" w:rsidR="00F5701C" w:rsidRPr="00A1401A" w:rsidRDefault="00F5701C" w:rsidP="00F5701C">
            <w:pPr>
              <w:jc w:val="right"/>
              <w:rPr>
                <w:szCs w:val="24"/>
              </w:rPr>
            </w:pPr>
            <w:r w:rsidRPr="00A1401A">
              <w:rPr>
                <w:szCs w:val="24"/>
              </w:rPr>
              <w:t>99 338 621</w:t>
            </w:r>
          </w:p>
        </w:tc>
        <w:tc>
          <w:tcPr>
            <w:tcW w:w="2081" w:type="dxa"/>
            <w:tcBorders>
              <w:top w:val="nil"/>
              <w:left w:val="nil"/>
              <w:bottom w:val="single" w:sz="4" w:space="0" w:color="auto"/>
              <w:right w:val="single" w:sz="4" w:space="0" w:color="auto"/>
            </w:tcBorders>
            <w:shd w:val="clear" w:color="000000" w:fill="FFFFFF"/>
            <w:noWrap/>
            <w:vAlign w:val="center"/>
            <w:hideMark/>
          </w:tcPr>
          <w:p w14:paraId="23124A2B" w14:textId="77777777" w:rsidR="00F5701C" w:rsidRPr="00A1401A" w:rsidRDefault="00F5701C" w:rsidP="00F5701C">
            <w:pPr>
              <w:jc w:val="right"/>
              <w:rPr>
                <w:szCs w:val="24"/>
              </w:rPr>
            </w:pPr>
            <w:r w:rsidRPr="00A1401A">
              <w:rPr>
                <w:szCs w:val="24"/>
              </w:rPr>
              <w:t>395 754 288</w:t>
            </w:r>
          </w:p>
        </w:tc>
      </w:tr>
      <w:tr w:rsidR="00F5701C" w:rsidRPr="00F5701C" w14:paraId="47275D28" w14:textId="77777777" w:rsidTr="00F5701C">
        <w:trPr>
          <w:trHeight w:val="300"/>
          <w:jc w:val="center"/>
        </w:trPr>
        <w:tc>
          <w:tcPr>
            <w:tcW w:w="736" w:type="dxa"/>
            <w:vMerge/>
            <w:tcBorders>
              <w:top w:val="nil"/>
              <w:left w:val="single" w:sz="4" w:space="0" w:color="auto"/>
              <w:bottom w:val="single" w:sz="4" w:space="0" w:color="000000"/>
              <w:right w:val="single" w:sz="4" w:space="0" w:color="auto"/>
            </w:tcBorders>
            <w:vAlign w:val="center"/>
            <w:hideMark/>
          </w:tcPr>
          <w:p w14:paraId="0BC2B641" w14:textId="77777777" w:rsidR="00F5701C" w:rsidRPr="00A1401A" w:rsidRDefault="00F5701C" w:rsidP="00F5701C">
            <w:pPr>
              <w:jc w:val="left"/>
              <w:rPr>
                <w:szCs w:val="24"/>
              </w:rPr>
            </w:pPr>
          </w:p>
        </w:tc>
        <w:tc>
          <w:tcPr>
            <w:tcW w:w="7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D688CB" w14:textId="77777777" w:rsidR="00F5701C" w:rsidRPr="00A1401A" w:rsidRDefault="00F5701C" w:rsidP="00F5701C">
            <w:pPr>
              <w:jc w:val="left"/>
              <w:rPr>
                <w:szCs w:val="24"/>
              </w:rPr>
            </w:pPr>
            <w:r w:rsidRPr="00A1401A">
              <w:rPr>
                <w:szCs w:val="24"/>
              </w:rPr>
              <w:t>v tom:</w:t>
            </w:r>
          </w:p>
        </w:tc>
        <w:tc>
          <w:tcPr>
            <w:tcW w:w="1179" w:type="dxa"/>
            <w:tcBorders>
              <w:top w:val="nil"/>
              <w:left w:val="nil"/>
              <w:bottom w:val="single" w:sz="4" w:space="0" w:color="auto"/>
              <w:right w:val="single" w:sz="4" w:space="0" w:color="auto"/>
            </w:tcBorders>
            <w:shd w:val="clear" w:color="000000" w:fill="FFFFFF"/>
            <w:noWrap/>
            <w:vAlign w:val="center"/>
            <w:hideMark/>
          </w:tcPr>
          <w:p w14:paraId="0C4AC1E5" w14:textId="77777777" w:rsidR="00F5701C" w:rsidRPr="00A1401A" w:rsidRDefault="00F5701C" w:rsidP="00F5701C">
            <w:pPr>
              <w:jc w:val="left"/>
              <w:rPr>
                <w:szCs w:val="24"/>
              </w:rPr>
            </w:pPr>
            <w:r w:rsidRPr="00A1401A">
              <w:rPr>
                <w:szCs w:val="24"/>
              </w:rPr>
              <w:t>platy</w:t>
            </w:r>
          </w:p>
        </w:tc>
        <w:tc>
          <w:tcPr>
            <w:tcW w:w="1739" w:type="dxa"/>
            <w:tcBorders>
              <w:top w:val="nil"/>
              <w:left w:val="nil"/>
              <w:bottom w:val="single" w:sz="4" w:space="0" w:color="auto"/>
              <w:right w:val="single" w:sz="4" w:space="0" w:color="auto"/>
            </w:tcBorders>
            <w:shd w:val="clear" w:color="000000" w:fill="FFFFFF"/>
            <w:vAlign w:val="center"/>
            <w:hideMark/>
          </w:tcPr>
          <w:p w14:paraId="2AFD221E" w14:textId="77777777" w:rsidR="00F5701C" w:rsidRPr="00A1401A" w:rsidRDefault="00F5701C" w:rsidP="00F5701C">
            <w:pPr>
              <w:jc w:val="right"/>
              <w:rPr>
                <w:szCs w:val="24"/>
              </w:rPr>
            </w:pPr>
            <w:r w:rsidRPr="00A1401A">
              <w:rPr>
                <w:szCs w:val="24"/>
              </w:rPr>
              <w:t>356 164 314</w:t>
            </w:r>
          </w:p>
        </w:tc>
        <w:tc>
          <w:tcPr>
            <w:tcW w:w="1750" w:type="dxa"/>
            <w:tcBorders>
              <w:top w:val="nil"/>
              <w:left w:val="nil"/>
              <w:bottom w:val="single" w:sz="4" w:space="0" w:color="auto"/>
              <w:right w:val="single" w:sz="4" w:space="0" w:color="auto"/>
            </w:tcBorders>
            <w:shd w:val="clear" w:color="000000" w:fill="FFFFFF"/>
            <w:noWrap/>
            <w:vAlign w:val="center"/>
            <w:hideMark/>
          </w:tcPr>
          <w:p w14:paraId="4C12AE04" w14:textId="77777777" w:rsidR="00F5701C" w:rsidRPr="00A1401A" w:rsidRDefault="00F5701C" w:rsidP="00F5701C">
            <w:pPr>
              <w:jc w:val="right"/>
              <w:rPr>
                <w:szCs w:val="24"/>
              </w:rPr>
            </w:pPr>
            <w:r w:rsidRPr="00A1401A">
              <w:rPr>
                <w:szCs w:val="24"/>
              </w:rPr>
              <w:t>66 828 251</w:t>
            </w:r>
          </w:p>
        </w:tc>
        <w:tc>
          <w:tcPr>
            <w:tcW w:w="2081" w:type="dxa"/>
            <w:tcBorders>
              <w:top w:val="nil"/>
              <w:left w:val="nil"/>
              <w:bottom w:val="single" w:sz="4" w:space="0" w:color="auto"/>
              <w:right w:val="single" w:sz="4" w:space="0" w:color="auto"/>
            </w:tcBorders>
            <w:shd w:val="clear" w:color="000000" w:fill="FFFFFF"/>
            <w:noWrap/>
            <w:vAlign w:val="center"/>
            <w:hideMark/>
          </w:tcPr>
          <w:p w14:paraId="03AAB67C" w14:textId="77777777" w:rsidR="00F5701C" w:rsidRPr="00A1401A" w:rsidRDefault="00F5701C" w:rsidP="00F5701C">
            <w:pPr>
              <w:jc w:val="right"/>
              <w:rPr>
                <w:szCs w:val="24"/>
              </w:rPr>
            </w:pPr>
            <w:r w:rsidRPr="00A1401A">
              <w:rPr>
                <w:szCs w:val="24"/>
              </w:rPr>
              <w:t>289 336 063</w:t>
            </w:r>
          </w:p>
        </w:tc>
      </w:tr>
      <w:tr w:rsidR="00F5701C" w:rsidRPr="00F5701C" w14:paraId="6B2A60E1" w14:textId="77777777" w:rsidTr="00F5701C">
        <w:trPr>
          <w:trHeight w:val="300"/>
          <w:jc w:val="center"/>
        </w:trPr>
        <w:tc>
          <w:tcPr>
            <w:tcW w:w="736" w:type="dxa"/>
            <w:vMerge/>
            <w:tcBorders>
              <w:top w:val="nil"/>
              <w:left w:val="single" w:sz="4" w:space="0" w:color="auto"/>
              <w:bottom w:val="single" w:sz="4" w:space="0" w:color="000000"/>
              <w:right w:val="single" w:sz="4" w:space="0" w:color="auto"/>
            </w:tcBorders>
            <w:vAlign w:val="center"/>
            <w:hideMark/>
          </w:tcPr>
          <w:p w14:paraId="4C2DA484" w14:textId="77777777" w:rsidR="00F5701C" w:rsidRPr="00A1401A" w:rsidRDefault="00F5701C" w:rsidP="00F5701C">
            <w:pPr>
              <w:jc w:val="left"/>
              <w:rPr>
                <w:szCs w:val="24"/>
              </w:rPr>
            </w:pPr>
          </w:p>
        </w:tc>
        <w:tc>
          <w:tcPr>
            <w:tcW w:w="715" w:type="dxa"/>
            <w:vMerge/>
            <w:tcBorders>
              <w:top w:val="nil"/>
              <w:left w:val="single" w:sz="4" w:space="0" w:color="auto"/>
              <w:bottom w:val="single" w:sz="4" w:space="0" w:color="auto"/>
              <w:right w:val="single" w:sz="4" w:space="0" w:color="auto"/>
            </w:tcBorders>
            <w:vAlign w:val="center"/>
            <w:hideMark/>
          </w:tcPr>
          <w:p w14:paraId="0E0D45C1" w14:textId="77777777" w:rsidR="00F5701C" w:rsidRPr="00A1401A" w:rsidRDefault="00F5701C" w:rsidP="00F5701C">
            <w:pPr>
              <w:jc w:val="left"/>
              <w:rPr>
                <w:szCs w:val="24"/>
              </w:rPr>
            </w:pPr>
          </w:p>
        </w:tc>
        <w:tc>
          <w:tcPr>
            <w:tcW w:w="1179" w:type="dxa"/>
            <w:tcBorders>
              <w:top w:val="nil"/>
              <w:left w:val="nil"/>
              <w:bottom w:val="single" w:sz="4" w:space="0" w:color="auto"/>
              <w:right w:val="single" w:sz="4" w:space="0" w:color="auto"/>
            </w:tcBorders>
            <w:shd w:val="clear" w:color="000000" w:fill="FFFFFF"/>
            <w:noWrap/>
            <w:vAlign w:val="center"/>
            <w:hideMark/>
          </w:tcPr>
          <w:p w14:paraId="2E39C2DF" w14:textId="77777777" w:rsidR="00F5701C" w:rsidRPr="00A1401A" w:rsidRDefault="00F5701C" w:rsidP="00F5701C">
            <w:pPr>
              <w:jc w:val="left"/>
              <w:rPr>
                <w:szCs w:val="24"/>
              </w:rPr>
            </w:pPr>
            <w:r w:rsidRPr="00A1401A">
              <w:rPr>
                <w:szCs w:val="24"/>
              </w:rPr>
              <w:t>OPPP</w:t>
            </w:r>
          </w:p>
        </w:tc>
        <w:tc>
          <w:tcPr>
            <w:tcW w:w="1739" w:type="dxa"/>
            <w:tcBorders>
              <w:top w:val="nil"/>
              <w:left w:val="nil"/>
              <w:bottom w:val="single" w:sz="4" w:space="0" w:color="auto"/>
              <w:right w:val="single" w:sz="4" w:space="0" w:color="auto"/>
            </w:tcBorders>
            <w:shd w:val="clear" w:color="000000" w:fill="FFFFFF"/>
            <w:vAlign w:val="center"/>
            <w:hideMark/>
          </w:tcPr>
          <w:p w14:paraId="78F5C2F8" w14:textId="77777777" w:rsidR="00F5701C" w:rsidRPr="00A1401A" w:rsidRDefault="00F5701C" w:rsidP="00F5701C">
            <w:pPr>
              <w:jc w:val="right"/>
              <w:rPr>
                <w:szCs w:val="24"/>
              </w:rPr>
            </w:pPr>
            <w:r w:rsidRPr="00A1401A">
              <w:rPr>
                <w:szCs w:val="24"/>
              </w:rPr>
              <w:t>138 928 595</w:t>
            </w:r>
          </w:p>
        </w:tc>
        <w:tc>
          <w:tcPr>
            <w:tcW w:w="1750" w:type="dxa"/>
            <w:tcBorders>
              <w:top w:val="nil"/>
              <w:left w:val="nil"/>
              <w:bottom w:val="single" w:sz="4" w:space="0" w:color="auto"/>
              <w:right w:val="single" w:sz="4" w:space="0" w:color="auto"/>
            </w:tcBorders>
            <w:shd w:val="clear" w:color="000000" w:fill="FFFFFF"/>
            <w:noWrap/>
            <w:vAlign w:val="center"/>
            <w:hideMark/>
          </w:tcPr>
          <w:p w14:paraId="07459BC2" w14:textId="77777777" w:rsidR="00F5701C" w:rsidRPr="00A1401A" w:rsidRDefault="00F5701C" w:rsidP="00F5701C">
            <w:pPr>
              <w:jc w:val="right"/>
              <w:rPr>
                <w:szCs w:val="24"/>
              </w:rPr>
            </w:pPr>
            <w:r w:rsidRPr="00A1401A">
              <w:rPr>
                <w:szCs w:val="24"/>
              </w:rPr>
              <w:t>32 510 370</w:t>
            </w:r>
          </w:p>
        </w:tc>
        <w:tc>
          <w:tcPr>
            <w:tcW w:w="2081" w:type="dxa"/>
            <w:tcBorders>
              <w:top w:val="nil"/>
              <w:left w:val="nil"/>
              <w:bottom w:val="single" w:sz="4" w:space="0" w:color="auto"/>
              <w:right w:val="single" w:sz="4" w:space="0" w:color="auto"/>
            </w:tcBorders>
            <w:shd w:val="clear" w:color="000000" w:fill="FFFFFF"/>
            <w:noWrap/>
            <w:vAlign w:val="center"/>
            <w:hideMark/>
          </w:tcPr>
          <w:p w14:paraId="1475181A" w14:textId="77777777" w:rsidR="00F5701C" w:rsidRPr="00A1401A" w:rsidRDefault="00F5701C" w:rsidP="00F5701C">
            <w:pPr>
              <w:jc w:val="right"/>
              <w:rPr>
                <w:szCs w:val="24"/>
              </w:rPr>
            </w:pPr>
            <w:r w:rsidRPr="00A1401A">
              <w:rPr>
                <w:szCs w:val="24"/>
              </w:rPr>
              <w:t>106 418 225</w:t>
            </w:r>
          </w:p>
        </w:tc>
      </w:tr>
      <w:tr w:rsidR="00F5701C" w:rsidRPr="00F5701C" w14:paraId="6AC51B36" w14:textId="77777777" w:rsidTr="00F5701C">
        <w:trPr>
          <w:trHeight w:val="300"/>
          <w:jc w:val="center"/>
        </w:trPr>
        <w:tc>
          <w:tcPr>
            <w:tcW w:w="736" w:type="dxa"/>
            <w:vMerge/>
            <w:tcBorders>
              <w:top w:val="nil"/>
              <w:left w:val="single" w:sz="4" w:space="0" w:color="auto"/>
              <w:bottom w:val="single" w:sz="4" w:space="0" w:color="000000"/>
              <w:right w:val="single" w:sz="4" w:space="0" w:color="auto"/>
            </w:tcBorders>
            <w:vAlign w:val="center"/>
            <w:hideMark/>
          </w:tcPr>
          <w:p w14:paraId="53D383DC" w14:textId="77777777" w:rsidR="00F5701C" w:rsidRPr="00A1401A" w:rsidRDefault="00F5701C" w:rsidP="00F5701C">
            <w:pPr>
              <w:jc w:val="left"/>
              <w:rPr>
                <w:szCs w:val="24"/>
              </w:rPr>
            </w:pPr>
          </w:p>
        </w:tc>
        <w:tc>
          <w:tcPr>
            <w:tcW w:w="1894" w:type="dxa"/>
            <w:gridSpan w:val="2"/>
            <w:tcBorders>
              <w:top w:val="single" w:sz="4" w:space="0" w:color="auto"/>
              <w:left w:val="nil"/>
              <w:bottom w:val="single" w:sz="4" w:space="0" w:color="auto"/>
              <w:right w:val="single" w:sz="4" w:space="0" w:color="auto"/>
            </w:tcBorders>
            <w:shd w:val="clear" w:color="000000" w:fill="FFFFFF"/>
            <w:vAlign w:val="center"/>
            <w:hideMark/>
          </w:tcPr>
          <w:p w14:paraId="74766CF4" w14:textId="77777777" w:rsidR="00F5701C" w:rsidRPr="00A1401A" w:rsidRDefault="00F5701C" w:rsidP="00F5701C">
            <w:pPr>
              <w:jc w:val="left"/>
              <w:rPr>
                <w:szCs w:val="24"/>
              </w:rPr>
            </w:pPr>
            <w:r w:rsidRPr="00A1401A">
              <w:rPr>
                <w:szCs w:val="24"/>
              </w:rPr>
              <w:t>Pojistné</w:t>
            </w:r>
          </w:p>
        </w:tc>
        <w:tc>
          <w:tcPr>
            <w:tcW w:w="1739" w:type="dxa"/>
            <w:tcBorders>
              <w:top w:val="nil"/>
              <w:left w:val="nil"/>
              <w:bottom w:val="single" w:sz="4" w:space="0" w:color="auto"/>
              <w:right w:val="single" w:sz="4" w:space="0" w:color="auto"/>
            </w:tcBorders>
            <w:shd w:val="clear" w:color="000000" w:fill="FFFFFF"/>
            <w:vAlign w:val="center"/>
            <w:hideMark/>
          </w:tcPr>
          <w:p w14:paraId="7E3ECB44" w14:textId="77777777" w:rsidR="00F5701C" w:rsidRPr="00A1401A" w:rsidRDefault="00F5701C" w:rsidP="00F5701C">
            <w:pPr>
              <w:jc w:val="right"/>
              <w:rPr>
                <w:szCs w:val="24"/>
              </w:rPr>
            </w:pPr>
            <w:r w:rsidRPr="00A1401A">
              <w:rPr>
                <w:szCs w:val="24"/>
              </w:rPr>
              <w:t>162 775 020</w:t>
            </w:r>
          </w:p>
        </w:tc>
        <w:tc>
          <w:tcPr>
            <w:tcW w:w="1750" w:type="dxa"/>
            <w:tcBorders>
              <w:top w:val="nil"/>
              <w:left w:val="nil"/>
              <w:bottom w:val="single" w:sz="4" w:space="0" w:color="auto"/>
              <w:right w:val="single" w:sz="4" w:space="0" w:color="auto"/>
            </w:tcBorders>
            <w:shd w:val="clear" w:color="000000" w:fill="FFFFFF"/>
            <w:noWrap/>
            <w:vAlign w:val="center"/>
            <w:hideMark/>
          </w:tcPr>
          <w:p w14:paraId="4A08EF02" w14:textId="77777777" w:rsidR="00F5701C" w:rsidRPr="00A1401A" w:rsidRDefault="00F5701C" w:rsidP="00F5701C">
            <w:pPr>
              <w:jc w:val="right"/>
              <w:rPr>
                <w:szCs w:val="24"/>
              </w:rPr>
            </w:pPr>
            <w:r w:rsidRPr="00A1401A">
              <w:rPr>
                <w:szCs w:val="24"/>
              </w:rPr>
              <w:t>30 746 442</w:t>
            </w:r>
          </w:p>
        </w:tc>
        <w:tc>
          <w:tcPr>
            <w:tcW w:w="2081" w:type="dxa"/>
            <w:tcBorders>
              <w:top w:val="nil"/>
              <w:left w:val="nil"/>
              <w:bottom w:val="single" w:sz="4" w:space="0" w:color="auto"/>
              <w:right w:val="single" w:sz="4" w:space="0" w:color="auto"/>
            </w:tcBorders>
            <w:shd w:val="clear" w:color="000000" w:fill="FFFFFF"/>
            <w:noWrap/>
            <w:vAlign w:val="center"/>
            <w:hideMark/>
          </w:tcPr>
          <w:p w14:paraId="53C5EA94" w14:textId="77777777" w:rsidR="00F5701C" w:rsidRPr="00A1401A" w:rsidRDefault="00F5701C" w:rsidP="00F5701C">
            <w:pPr>
              <w:jc w:val="right"/>
              <w:rPr>
                <w:szCs w:val="24"/>
              </w:rPr>
            </w:pPr>
            <w:r w:rsidRPr="00A1401A">
              <w:rPr>
                <w:szCs w:val="24"/>
              </w:rPr>
              <w:t>132 028 578</w:t>
            </w:r>
          </w:p>
        </w:tc>
      </w:tr>
      <w:tr w:rsidR="00F5701C" w:rsidRPr="00F5701C" w14:paraId="3513240D" w14:textId="77777777" w:rsidTr="00F5701C">
        <w:trPr>
          <w:trHeight w:val="300"/>
          <w:jc w:val="center"/>
        </w:trPr>
        <w:tc>
          <w:tcPr>
            <w:tcW w:w="736" w:type="dxa"/>
            <w:vMerge/>
            <w:tcBorders>
              <w:top w:val="nil"/>
              <w:left w:val="single" w:sz="4" w:space="0" w:color="auto"/>
              <w:bottom w:val="single" w:sz="4" w:space="0" w:color="000000"/>
              <w:right w:val="single" w:sz="4" w:space="0" w:color="auto"/>
            </w:tcBorders>
            <w:vAlign w:val="center"/>
            <w:hideMark/>
          </w:tcPr>
          <w:p w14:paraId="26B1D297" w14:textId="77777777" w:rsidR="00F5701C" w:rsidRPr="00A1401A" w:rsidRDefault="00F5701C" w:rsidP="00F5701C">
            <w:pPr>
              <w:jc w:val="left"/>
              <w:rPr>
                <w:szCs w:val="24"/>
              </w:rPr>
            </w:pPr>
          </w:p>
        </w:tc>
        <w:tc>
          <w:tcPr>
            <w:tcW w:w="1894" w:type="dxa"/>
            <w:gridSpan w:val="2"/>
            <w:tcBorders>
              <w:top w:val="single" w:sz="4" w:space="0" w:color="auto"/>
              <w:left w:val="nil"/>
              <w:bottom w:val="single" w:sz="4" w:space="0" w:color="auto"/>
              <w:right w:val="single" w:sz="4" w:space="0" w:color="auto"/>
            </w:tcBorders>
            <w:shd w:val="clear" w:color="000000" w:fill="FFFFFF"/>
            <w:vAlign w:val="center"/>
            <w:hideMark/>
          </w:tcPr>
          <w:p w14:paraId="0EE8BAF5" w14:textId="77777777" w:rsidR="00F5701C" w:rsidRPr="00A1401A" w:rsidRDefault="00F5701C" w:rsidP="00F5701C">
            <w:pPr>
              <w:jc w:val="left"/>
              <w:rPr>
                <w:szCs w:val="24"/>
              </w:rPr>
            </w:pPr>
            <w:r w:rsidRPr="00A1401A">
              <w:rPr>
                <w:szCs w:val="24"/>
              </w:rPr>
              <w:t>OBV</w:t>
            </w:r>
          </w:p>
        </w:tc>
        <w:tc>
          <w:tcPr>
            <w:tcW w:w="1739" w:type="dxa"/>
            <w:tcBorders>
              <w:top w:val="nil"/>
              <w:left w:val="nil"/>
              <w:bottom w:val="single" w:sz="4" w:space="0" w:color="auto"/>
              <w:right w:val="single" w:sz="4" w:space="0" w:color="auto"/>
            </w:tcBorders>
            <w:shd w:val="clear" w:color="000000" w:fill="FFFFFF"/>
            <w:vAlign w:val="center"/>
            <w:hideMark/>
          </w:tcPr>
          <w:p w14:paraId="11590327" w14:textId="77777777" w:rsidR="00F5701C" w:rsidRPr="00A1401A" w:rsidRDefault="00F5701C" w:rsidP="00F5701C">
            <w:pPr>
              <w:jc w:val="right"/>
              <w:rPr>
                <w:szCs w:val="24"/>
              </w:rPr>
            </w:pPr>
            <w:r w:rsidRPr="00A1401A">
              <w:rPr>
                <w:szCs w:val="24"/>
              </w:rPr>
              <w:t>3 968 525 186</w:t>
            </w:r>
          </w:p>
        </w:tc>
        <w:tc>
          <w:tcPr>
            <w:tcW w:w="1750" w:type="dxa"/>
            <w:tcBorders>
              <w:top w:val="nil"/>
              <w:left w:val="nil"/>
              <w:bottom w:val="single" w:sz="4" w:space="0" w:color="auto"/>
              <w:right w:val="single" w:sz="4" w:space="0" w:color="auto"/>
            </w:tcBorders>
            <w:shd w:val="clear" w:color="000000" w:fill="FFFFFF"/>
            <w:noWrap/>
            <w:vAlign w:val="center"/>
            <w:hideMark/>
          </w:tcPr>
          <w:p w14:paraId="1EDAA0D9" w14:textId="77777777" w:rsidR="00F5701C" w:rsidRPr="00A1401A" w:rsidRDefault="00F5701C" w:rsidP="00F5701C">
            <w:pPr>
              <w:jc w:val="right"/>
              <w:rPr>
                <w:szCs w:val="24"/>
              </w:rPr>
            </w:pPr>
            <w:r w:rsidRPr="00A1401A">
              <w:rPr>
                <w:szCs w:val="24"/>
              </w:rPr>
              <w:t>946 873 871</w:t>
            </w:r>
          </w:p>
        </w:tc>
        <w:tc>
          <w:tcPr>
            <w:tcW w:w="2081" w:type="dxa"/>
            <w:tcBorders>
              <w:top w:val="nil"/>
              <w:left w:val="nil"/>
              <w:bottom w:val="single" w:sz="4" w:space="0" w:color="auto"/>
              <w:right w:val="single" w:sz="4" w:space="0" w:color="auto"/>
            </w:tcBorders>
            <w:shd w:val="clear" w:color="000000" w:fill="FFFFFF"/>
            <w:noWrap/>
            <w:vAlign w:val="center"/>
            <w:hideMark/>
          </w:tcPr>
          <w:p w14:paraId="445968B8" w14:textId="77777777" w:rsidR="00F5701C" w:rsidRPr="00A1401A" w:rsidRDefault="00F5701C" w:rsidP="00F5701C">
            <w:pPr>
              <w:jc w:val="right"/>
              <w:rPr>
                <w:szCs w:val="24"/>
              </w:rPr>
            </w:pPr>
            <w:r w:rsidRPr="00A1401A">
              <w:rPr>
                <w:szCs w:val="24"/>
              </w:rPr>
              <w:t>3 021 651 315</w:t>
            </w:r>
          </w:p>
        </w:tc>
      </w:tr>
      <w:tr w:rsidR="00F5701C" w:rsidRPr="00F5701C" w14:paraId="101839CA" w14:textId="77777777" w:rsidTr="00F5701C">
        <w:trPr>
          <w:trHeight w:val="300"/>
          <w:jc w:val="center"/>
        </w:trPr>
        <w:tc>
          <w:tcPr>
            <w:tcW w:w="263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A5ACBF5" w14:textId="77777777" w:rsidR="00F5701C" w:rsidRPr="00A1401A" w:rsidRDefault="00F5701C" w:rsidP="00F5701C">
            <w:pPr>
              <w:jc w:val="left"/>
              <w:rPr>
                <w:szCs w:val="24"/>
              </w:rPr>
            </w:pPr>
            <w:r w:rsidRPr="00A1401A">
              <w:rPr>
                <w:szCs w:val="24"/>
              </w:rPr>
              <w:t>počet zam.</w:t>
            </w:r>
          </w:p>
        </w:tc>
        <w:tc>
          <w:tcPr>
            <w:tcW w:w="1739" w:type="dxa"/>
            <w:tcBorders>
              <w:top w:val="nil"/>
              <w:left w:val="nil"/>
              <w:bottom w:val="single" w:sz="4" w:space="0" w:color="auto"/>
              <w:right w:val="single" w:sz="4" w:space="0" w:color="auto"/>
            </w:tcBorders>
            <w:shd w:val="clear" w:color="000000" w:fill="FFFFFF"/>
            <w:vAlign w:val="center"/>
            <w:hideMark/>
          </w:tcPr>
          <w:p w14:paraId="484F498C" w14:textId="77777777" w:rsidR="00F5701C" w:rsidRPr="00A1401A" w:rsidRDefault="00F5701C" w:rsidP="00F5701C">
            <w:pPr>
              <w:jc w:val="right"/>
              <w:rPr>
                <w:szCs w:val="24"/>
              </w:rPr>
            </w:pPr>
            <w:r w:rsidRPr="00A1401A">
              <w:rPr>
                <w:szCs w:val="24"/>
              </w:rPr>
              <w:t>715</w:t>
            </w:r>
          </w:p>
        </w:tc>
        <w:tc>
          <w:tcPr>
            <w:tcW w:w="1750" w:type="dxa"/>
            <w:tcBorders>
              <w:top w:val="nil"/>
              <w:left w:val="nil"/>
              <w:bottom w:val="single" w:sz="4" w:space="0" w:color="auto"/>
              <w:right w:val="single" w:sz="4" w:space="0" w:color="auto"/>
            </w:tcBorders>
            <w:shd w:val="clear" w:color="000000" w:fill="FFFFFF"/>
            <w:noWrap/>
            <w:vAlign w:val="center"/>
            <w:hideMark/>
          </w:tcPr>
          <w:p w14:paraId="24C56E02" w14:textId="77777777" w:rsidR="00F5701C" w:rsidRPr="00A1401A" w:rsidRDefault="00F5701C" w:rsidP="00F5701C">
            <w:pPr>
              <w:jc w:val="right"/>
              <w:rPr>
                <w:szCs w:val="24"/>
              </w:rPr>
            </w:pPr>
            <w:r w:rsidRPr="00A1401A">
              <w:rPr>
                <w:szCs w:val="24"/>
              </w:rPr>
              <w:t>99</w:t>
            </w:r>
          </w:p>
        </w:tc>
        <w:tc>
          <w:tcPr>
            <w:tcW w:w="2081" w:type="dxa"/>
            <w:tcBorders>
              <w:top w:val="nil"/>
              <w:left w:val="nil"/>
              <w:bottom w:val="single" w:sz="4" w:space="0" w:color="auto"/>
              <w:right w:val="single" w:sz="4" w:space="0" w:color="auto"/>
            </w:tcBorders>
            <w:shd w:val="clear" w:color="000000" w:fill="FFFFFF"/>
            <w:noWrap/>
            <w:vAlign w:val="center"/>
            <w:hideMark/>
          </w:tcPr>
          <w:p w14:paraId="4519F6A7" w14:textId="77777777" w:rsidR="00F5701C" w:rsidRPr="00A1401A" w:rsidRDefault="00F5701C" w:rsidP="00F5701C">
            <w:pPr>
              <w:jc w:val="right"/>
              <w:rPr>
                <w:szCs w:val="24"/>
              </w:rPr>
            </w:pPr>
            <w:r w:rsidRPr="00A1401A">
              <w:rPr>
                <w:szCs w:val="24"/>
              </w:rPr>
              <w:t>616</w:t>
            </w:r>
          </w:p>
        </w:tc>
      </w:tr>
      <w:tr w:rsidR="00F5701C" w:rsidRPr="00F5701C" w14:paraId="3EE6D440" w14:textId="77777777" w:rsidTr="00F5701C">
        <w:trPr>
          <w:trHeight w:val="300"/>
          <w:jc w:val="center"/>
        </w:trPr>
        <w:tc>
          <w:tcPr>
            <w:tcW w:w="263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C6DBB0D" w14:textId="77777777" w:rsidR="00F5701C" w:rsidRPr="00A1401A" w:rsidRDefault="00F5701C" w:rsidP="00F5701C">
            <w:pPr>
              <w:jc w:val="left"/>
              <w:rPr>
                <w:b/>
                <w:bCs/>
                <w:szCs w:val="24"/>
              </w:rPr>
            </w:pPr>
            <w:r w:rsidRPr="00A1401A">
              <w:rPr>
                <w:b/>
                <w:bCs/>
                <w:szCs w:val="24"/>
              </w:rPr>
              <w:t>CELKEM PŘÍJMY</w:t>
            </w:r>
          </w:p>
        </w:tc>
        <w:tc>
          <w:tcPr>
            <w:tcW w:w="1739" w:type="dxa"/>
            <w:tcBorders>
              <w:top w:val="nil"/>
              <w:left w:val="nil"/>
              <w:bottom w:val="single" w:sz="4" w:space="0" w:color="auto"/>
              <w:right w:val="single" w:sz="4" w:space="0" w:color="auto"/>
            </w:tcBorders>
            <w:shd w:val="clear" w:color="000000" w:fill="FFFFFF"/>
            <w:vAlign w:val="center"/>
            <w:hideMark/>
          </w:tcPr>
          <w:p w14:paraId="68AD8BD5" w14:textId="77777777" w:rsidR="00F5701C" w:rsidRPr="00A1401A" w:rsidRDefault="00F5701C" w:rsidP="00F5701C">
            <w:pPr>
              <w:jc w:val="right"/>
              <w:rPr>
                <w:b/>
                <w:bCs/>
                <w:szCs w:val="24"/>
              </w:rPr>
            </w:pPr>
            <w:r w:rsidRPr="00A1401A">
              <w:rPr>
                <w:b/>
                <w:bCs/>
                <w:szCs w:val="24"/>
              </w:rPr>
              <w:t>4 690 000 000</w:t>
            </w:r>
          </w:p>
        </w:tc>
        <w:tc>
          <w:tcPr>
            <w:tcW w:w="1750" w:type="dxa"/>
            <w:tcBorders>
              <w:top w:val="nil"/>
              <w:left w:val="nil"/>
              <w:bottom w:val="single" w:sz="4" w:space="0" w:color="auto"/>
              <w:right w:val="single" w:sz="4" w:space="0" w:color="auto"/>
            </w:tcBorders>
            <w:shd w:val="clear" w:color="000000" w:fill="FFFFFF"/>
            <w:noWrap/>
            <w:vAlign w:val="center"/>
            <w:hideMark/>
          </w:tcPr>
          <w:p w14:paraId="64DA475D" w14:textId="77777777" w:rsidR="00F5701C" w:rsidRPr="00A1401A" w:rsidRDefault="00F5701C" w:rsidP="00F5701C">
            <w:pPr>
              <w:jc w:val="right"/>
              <w:rPr>
                <w:b/>
                <w:bCs/>
                <w:szCs w:val="24"/>
              </w:rPr>
            </w:pPr>
            <w:r w:rsidRPr="00A1401A">
              <w:rPr>
                <w:b/>
                <w:bCs/>
                <w:szCs w:val="24"/>
              </w:rPr>
              <w:t>0</w:t>
            </w:r>
          </w:p>
        </w:tc>
        <w:tc>
          <w:tcPr>
            <w:tcW w:w="2081" w:type="dxa"/>
            <w:tcBorders>
              <w:top w:val="nil"/>
              <w:left w:val="nil"/>
              <w:bottom w:val="single" w:sz="4" w:space="0" w:color="auto"/>
              <w:right w:val="single" w:sz="4" w:space="0" w:color="auto"/>
            </w:tcBorders>
            <w:shd w:val="clear" w:color="000000" w:fill="FFFFFF"/>
            <w:noWrap/>
            <w:vAlign w:val="center"/>
            <w:hideMark/>
          </w:tcPr>
          <w:p w14:paraId="24F0A496" w14:textId="77777777" w:rsidR="00F5701C" w:rsidRPr="00A1401A" w:rsidRDefault="00F5701C" w:rsidP="00F5701C">
            <w:pPr>
              <w:jc w:val="right"/>
              <w:rPr>
                <w:b/>
                <w:bCs/>
                <w:szCs w:val="24"/>
              </w:rPr>
            </w:pPr>
            <w:r w:rsidRPr="00A1401A">
              <w:rPr>
                <w:b/>
                <w:bCs/>
                <w:szCs w:val="24"/>
              </w:rPr>
              <w:t>4 690 000 000</w:t>
            </w:r>
          </w:p>
        </w:tc>
      </w:tr>
    </w:tbl>
    <w:p w14:paraId="38697936" w14:textId="77777777" w:rsidR="008678CF" w:rsidRDefault="008678CF" w:rsidP="008678CF">
      <w:pPr>
        <w:jc w:val="center"/>
        <w:rPr>
          <w:noProof/>
        </w:rPr>
      </w:pPr>
    </w:p>
    <w:p w14:paraId="415BDDEA" w14:textId="77777777" w:rsidR="00543422" w:rsidRDefault="00543422" w:rsidP="008678CF">
      <w:pPr>
        <w:pStyle w:val="Text"/>
      </w:pPr>
      <w:r>
        <w:t>Součástí těchto výdajů OP VVV jsou také prostředky vyčleněné pro ČŠI, a to v celkové výši 57 691 147 Kč, z toho 11 076 704 Kč v podílu SR a 46 614 443 Kč v podílu EU. Tyto prostředky jsou určeny na projekt „Komplexní systém hodnocení“ ve třetí prioritní ose. V projektu se počítá s celkovým rozpočtem ve výši téměř 249 mil. Kč.</w:t>
      </w:r>
    </w:p>
    <w:p w14:paraId="7C5D36EA" w14:textId="77777777" w:rsidR="008678CF" w:rsidRPr="00CB798D" w:rsidRDefault="008678CF" w:rsidP="008678CF">
      <w:pPr>
        <w:pStyle w:val="Text"/>
      </w:pPr>
      <w:r>
        <w:t>V </w:t>
      </w:r>
      <w:r w:rsidRPr="00CB798D">
        <w:t>uvedeném objemu prostředků není zahrnuto 6 357</w:t>
      </w:r>
      <w:r w:rsidR="00543422" w:rsidRPr="00CB798D">
        <w:t> </w:t>
      </w:r>
      <w:r w:rsidRPr="00CB798D">
        <w:t>965</w:t>
      </w:r>
      <w:r w:rsidR="00543422" w:rsidRPr="00CB798D">
        <w:t> </w:t>
      </w:r>
      <w:r w:rsidRPr="00CB798D">
        <w:t>437 Kč na financování projektů výzkumu a vývoje v OP VVV.</w:t>
      </w:r>
    </w:p>
    <w:p w14:paraId="1F10B834" w14:textId="77777777" w:rsidR="00561960" w:rsidRPr="00CB798D" w:rsidRDefault="00561960" w:rsidP="008678CF">
      <w:pPr>
        <w:pStyle w:val="Text"/>
        <w:ind w:firstLine="0"/>
      </w:pPr>
    </w:p>
    <w:p w14:paraId="5F776CD8" w14:textId="77777777" w:rsidR="00561960" w:rsidRPr="00CB798D" w:rsidRDefault="00561960" w:rsidP="00B26388">
      <w:pPr>
        <w:pStyle w:val="Nadpis3"/>
      </w:pPr>
      <w:bookmarkStart w:id="150" w:name="_Toc5968866"/>
      <w:r w:rsidRPr="00CB798D">
        <w:t>Operační program Zaměstnanost</w:t>
      </w:r>
      <w:bookmarkEnd w:id="150"/>
    </w:p>
    <w:p w14:paraId="03977F07" w14:textId="77777777" w:rsidR="00561960" w:rsidRPr="00CB798D" w:rsidRDefault="00561960" w:rsidP="00561960">
      <w:pPr>
        <w:rPr>
          <w:lang w:eastAsia="en-US"/>
        </w:rPr>
      </w:pPr>
    </w:p>
    <w:tbl>
      <w:tblPr>
        <w:tblW w:w="8646" w:type="dxa"/>
        <w:tblInd w:w="534" w:type="dxa"/>
        <w:tblLook w:val="04A0" w:firstRow="1" w:lastRow="0" w:firstColumn="1" w:lastColumn="0" w:noHBand="0" w:noVBand="1"/>
      </w:tblPr>
      <w:tblGrid>
        <w:gridCol w:w="6095"/>
        <w:gridCol w:w="2551"/>
      </w:tblGrid>
      <w:tr w:rsidR="00CB798D" w14:paraId="23BE0624" w14:textId="77777777" w:rsidTr="00CB798D">
        <w:trPr>
          <w:trHeight w:val="268"/>
        </w:trPr>
        <w:tc>
          <w:tcPr>
            <w:tcW w:w="6095" w:type="dxa"/>
            <w:hideMark/>
          </w:tcPr>
          <w:p w14:paraId="65F0D9E0" w14:textId="77777777" w:rsidR="00CB798D" w:rsidRDefault="00CB798D" w:rsidP="00CB798D">
            <w:pPr>
              <w:ind w:left="426" w:hanging="393"/>
              <w:rPr>
                <w:b/>
              </w:rPr>
            </w:pPr>
            <w:r>
              <w:rPr>
                <w:b/>
              </w:rPr>
              <w:t xml:space="preserve">Rozpočet výdajů celkem činí </w:t>
            </w:r>
          </w:p>
        </w:tc>
        <w:tc>
          <w:tcPr>
            <w:tcW w:w="2551" w:type="dxa"/>
            <w:hideMark/>
          </w:tcPr>
          <w:p w14:paraId="63E35844" w14:textId="77777777" w:rsidR="00CB798D" w:rsidRDefault="00CB798D" w:rsidP="00CB798D">
            <w:pPr>
              <w:jc w:val="right"/>
              <w:rPr>
                <w:rFonts w:ascii="Arial" w:hAnsi="Arial" w:cs="Arial"/>
                <w:b/>
                <w:bCs/>
                <w:szCs w:val="24"/>
              </w:rPr>
            </w:pPr>
            <w:r>
              <w:rPr>
                <w:b/>
              </w:rPr>
              <w:t>107 282 527 Kč</w:t>
            </w:r>
          </w:p>
        </w:tc>
      </w:tr>
      <w:tr w:rsidR="00CB798D" w14:paraId="35BFEA0C" w14:textId="77777777" w:rsidTr="00CB798D">
        <w:trPr>
          <w:trHeight w:val="284"/>
        </w:trPr>
        <w:tc>
          <w:tcPr>
            <w:tcW w:w="6095" w:type="dxa"/>
            <w:hideMark/>
          </w:tcPr>
          <w:p w14:paraId="4BFE59F6" w14:textId="77777777" w:rsidR="00CB798D" w:rsidRDefault="00CB798D" w:rsidP="00CB798D">
            <w:pPr>
              <w:ind w:left="459" w:hanging="393"/>
              <w:rPr>
                <w:b/>
              </w:rPr>
            </w:pPr>
            <w:r>
              <w:t>v tom: ze státního rozpočtu</w:t>
            </w:r>
          </w:p>
        </w:tc>
        <w:tc>
          <w:tcPr>
            <w:tcW w:w="2551" w:type="dxa"/>
            <w:hideMark/>
          </w:tcPr>
          <w:p w14:paraId="77CE05C2" w14:textId="77777777" w:rsidR="00CB798D" w:rsidRDefault="00CB798D" w:rsidP="00CB798D">
            <w:pPr>
              <w:jc w:val="right"/>
            </w:pPr>
            <w:r>
              <w:t>19 372 960 Kč</w:t>
            </w:r>
          </w:p>
        </w:tc>
      </w:tr>
      <w:tr w:rsidR="00CB798D" w14:paraId="358D3F3C" w14:textId="77777777" w:rsidTr="00CB798D">
        <w:trPr>
          <w:trHeight w:val="268"/>
        </w:trPr>
        <w:tc>
          <w:tcPr>
            <w:tcW w:w="6095" w:type="dxa"/>
            <w:hideMark/>
          </w:tcPr>
          <w:p w14:paraId="1E82B0E4" w14:textId="77777777" w:rsidR="00CB798D" w:rsidRDefault="00CB798D" w:rsidP="00CB798D">
            <w:pPr>
              <w:ind w:left="426" w:firstLine="316"/>
              <w:rPr>
                <w:b/>
              </w:rPr>
            </w:pPr>
            <w:r>
              <w:t>kryté příjmem z rozpočtu EU</w:t>
            </w:r>
          </w:p>
        </w:tc>
        <w:tc>
          <w:tcPr>
            <w:tcW w:w="2551" w:type="dxa"/>
            <w:hideMark/>
          </w:tcPr>
          <w:p w14:paraId="16C8EF33" w14:textId="77777777" w:rsidR="00CB798D" w:rsidRDefault="00CB798D" w:rsidP="00CB798D">
            <w:pPr>
              <w:jc w:val="right"/>
            </w:pPr>
            <w:r>
              <w:t>87 909 567 Kč</w:t>
            </w:r>
          </w:p>
        </w:tc>
      </w:tr>
    </w:tbl>
    <w:p w14:paraId="06BFB41F" w14:textId="77777777" w:rsidR="00CB798D" w:rsidRPr="00CB798D" w:rsidRDefault="00CB798D" w:rsidP="00CB798D">
      <w:pPr>
        <w:pStyle w:val="Text"/>
      </w:pPr>
      <w:r w:rsidRPr="00CB798D">
        <w:t>S investičními výdaji se nepočítá, uvedený rozpočet proto zahrnuje pouze neinvestiční prostředky.</w:t>
      </w:r>
    </w:p>
    <w:p w14:paraId="036DBC24" w14:textId="77777777" w:rsidR="00E72338" w:rsidRPr="00CB798D" w:rsidRDefault="00E72338" w:rsidP="00047CD5">
      <w:pPr>
        <w:pStyle w:val="Text"/>
        <w:ind w:firstLine="0"/>
        <w:rPr>
          <w:lang w:eastAsia="en-US"/>
        </w:rPr>
      </w:pPr>
    </w:p>
    <w:p w14:paraId="23D7715E" w14:textId="77777777" w:rsidR="00E72338" w:rsidRPr="00CB798D" w:rsidRDefault="00E72338" w:rsidP="0031482F">
      <w:pPr>
        <w:pStyle w:val="Nadpis4"/>
      </w:pPr>
      <w:bookmarkStart w:id="151" w:name="_Toc5968867"/>
      <w:r w:rsidRPr="00CB798D">
        <w:t>NÚV</w:t>
      </w:r>
      <w:bookmarkEnd w:id="151"/>
    </w:p>
    <w:p w14:paraId="1B24F725" w14:textId="77777777" w:rsidR="00E72338" w:rsidRPr="00853611" w:rsidRDefault="00E72338" w:rsidP="00561960">
      <w:pPr>
        <w:pStyle w:val="Text"/>
        <w:rPr>
          <w:highlight w:val="yellow"/>
          <w:lang w:eastAsia="en-US"/>
        </w:rPr>
      </w:pPr>
    </w:p>
    <w:p w14:paraId="742A11AB" w14:textId="77777777" w:rsidR="00047CD5" w:rsidRDefault="00047CD5" w:rsidP="00047CD5">
      <w:pPr>
        <w:pStyle w:val="Text"/>
        <w:rPr>
          <w:lang w:eastAsia="en-US"/>
        </w:rPr>
      </w:pPr>
      <w:r w:rsidRPr="00E72338">
        <w:rPr>
          <w:lang w:eastAsia="en-US"/>
        </w:rPr>
        <w:t>V Operačním programu Zaměstnanost je pro rok 201</w:t>
      </w:r>
      <w:r>
        <w:rPr>
          <w:lang w:eastAsia="en-US"/>
        </w:rPr>
        <w:t>9</w:t>
      </w:r>
      <w:r w:rsidRPr="00E72338">
        <w:rPr>
          <w:lang w:eastAsia="en-US"/>
        </w:rPr>
        <w:t xml:space="preserve"> vyčleněno </w:t>
      </w:r>
      <w:r w:rsidR="00A1401A">
        <w:rPr>
          <w:lang w:eastAsia="en-US"/>
        </w:rPr>
        <w:t>83 820 511</w:t>
      </w:r>
      <w:r w:rsidRPr="00855044">
        <w:rPr>
          <w:lang w:eastAsia="en-US"/>
        </w:rPr>
        <w:t xml:space="preserve"> Kč</w:t>
      </w:r>
      <w:r w:rsidRPr="00E72338">
        <w:rPr>
          <w:lang w:eastAsia="en-US"/>
        </w:rPr>
        <w:t xml:space="preserve">, z toho podíl SR je </w:t>
      </w:r>
      <w:r w:rsidR="00A1401A">
        <w:rPr>
          <w:lang w:eastAsia="en-US"/>
        </w:rPr>
        <w:t>16 375 143</w:t>
      </w:r>
      <w:r w:rsidRPr="00855044">
        <w:rPr>
          <w:lang w:eastAsia="en-US"/>
        </w:rPr>
        <w:t xml:space="preserve"> Kč</w:t>
      </w:r>
      <w:r>
        <w:rPr>
          <w:lang w:eastAsia="en-US"/>
        </w:rPr>
        <w:t xml:space="preserve"> </w:t>
      </w:r>
      <w:r w:rsidRPr="00E72338">
        <w:rPr>
          <w:lang w:eastAsia="en-US"/>
        </w:rPr>
        <w:t xml:space="preserve">a podíl EU je </w:t>
      </w:r>
      <w:r w:rsidR="00A1401A">
        <w:rPr>
          <w:lang w:eastAsia="en-US"/>
        </w:rPr>
        <w:t>67 445 368</w:t>
      </w:r>
      <w:r w:rsidRPr="00855044">
        <w:rPr>
          <w:lang w:eastAsia="en-US"/>
        </w:rPr>
        <w:t xml:space="preserve"> Kč</w:t>
      </w:r>
      <w:r>
        <w:rPr>
          <w:lang w:eastAsia="en-US"/>
        </w:rPr>
        <w:t xml:space="preserve">. </w:t>
      </w:r>
    </w:p>
    <w:p w14:paraId="0CF4B50D" w14:textId="7D7EEF0B" w:rsidR="00047CD5" w:rsidRDefault="00047CD5" w:rsidP="00047CD5">
      <w:pPr>
        <w:pStyle w:val="Text"/>
        <w:rPr>
          <w:lang w:eastAsia="en-US"/>
        </w:rPr>
      </w:pPr>
      <w:r>
        <w:rPr>
          <w:lang w:eastAsia="en-US"/>
        </w:rPr>
        <w:t xml:space="preserve">V realizaci je projekt </w:t>
      </w:r>
      <w:r w:rsidRPr="00A87E0C">
        <w:rPr>
          <w:b/>
          <w:lang w:eastAsia="en-US"/>
        </w:rPr>
        <w:t>Vytvoření systému mistrovské zkoušky a mistrovských kvalifikací</w:t>
      </w:r>
      <w:r>
        <w:rPr>
          <w:lang w:eastAsia="en-US"/>
        </w:rPr>
        <w:t xml:space="preserve"> (reg. č. CZ.03.1.54/0.0/0.0/16_020/0004431). Obd</w:t>
      </w:r>
      <w:r w:rsidR="00A1401A">
        <w:rPr>
          <w:lang w:eastAsia="en-US"/>
        </w:rPr>
        <w:t>obí realizace projektu je od 1. </w:t>
      </w:r>
      <w:r>
        <w:rPr>
          <w:lang w:eastAsia="en-US"/>
        </w:rPr>
        <w:t>11. 2017 do 31. 10. 2021, celkový rozpočet projektu je 109 573 587 Kč. Předmětem tohoto projektu je navržení a rozpracování všech prvků potřebných k plošnému zavedení mistrovské zkoušky a nastavení k tomu všech potřebných procesů. T</w:t>
      </w:r>
      <w:r w:rsidR="00691319">
        <w:rPr>
          <w:lang w:eastAsia="en-US"/>
        </w:rPr>
        <w:t>ěmito prvky jsou kvalifikační a </w:t>
      </w:r>
      <w:r>
        <w:rPr>
          <w:lang w:eastAsia="en-US"/>
        </w:rPr>
        <w:t xml:space="preserve">hodnotící standardy mistrovských kvalifikací, obsahové rámce a společné části mistrovských zkoušek, osnovy vzdělávacích programů pro zájemce o mistrovské kvalifikace a učební texty pro tyto vzdělávací programy. </w:t>
      </w:r>
      <w:r w:rsidRPr="001C089E">
        <w:rPr>
          <w:lang w:eastAsia="en-US"/>
        </w:rPr>
        <w:t>V průběhu roku 2018 byly zpracovány varianty modelu mistrovské zkoušky. Bylo provedeno zmapování pravidel a</w:t>
      </w:r>
      <w:r w:rsidR="00691319">
        <w:rPr>
          <w:lang w:eastAsia="en-US"/>
        </w:rPr>
        <w:t xml:space="preserve"> postupů mistrovských </w:t>
      </w:r>
      <w:r w:rsidR="00691319">
        <w:rPr>
          <w:lang w:eastAsia="en-US"/>
        </w:rPr>
        <w:lastRenderedPageBreak/>
        <w:t>zkoušek v </w:t>
      </w:r>
      <w:r w:rsidRPr="001C089E">
        <w:rPr>
          <w:lang w:eastAsia="en-US"/>
        </w:rPr>
        <w:t>celkem 9 evropských zemích se zaměřením na země, k</w:t>
      </w:r>
      <w:r w:rsidR="00691319">
        <w:rPr>
          <w:lang w:eastAsia="en-US"/>
        </w:rPr>
        <w:t>teré mají mistrovskou zkoušku v </w:t>
      </w:r>
      <w:r w:rsidRPr="001C089E">
        <w:rPr>
          <w:lang w:eastAsia="en-US"/>
        </w:rPr>
        <w:t xml:space="preserve">EQF 5, což je i případ ČR. Byla identifikována povolání pro vytvoření standardů mistrovských kvalifikací, k těmto povoláním byly ustanoveny pracovní skupiny a byla zahájena tvorba rodných listů popisujících základní anotaci mistrovské kvalifikace, argumenty pro její vytvoření a představy o jejich zkoušejících a vzdělavatelích. V rámci projektu byly vytvořeny: Metodika tvorby standardů pro mistrovské kvalifikace, Metodika pro vytvoření rámce zadání mistrovské zkoušky, Metodika tvorby vzdělávacích programů pro mistrovské kvalifikace. Byla ustavena pracovní skupina pro tvorbu osnov vzdělávacího programu pro všeobecnou část mistrovské zkoušky. V projektu bude vytvořeno 45 mistrovských kvalifikací. </w:t>
      </w:r>
    </w:p>
    <w:p w14:paraId="0C369B6C" w14:textId="0DF55AE7" w:rsidR="00561960" w:rsidRPr="00853611" w:rsidRDefault="00047CD5" w:rsidP="0052230E">
      <w:pPr>
        <w:pStyle w:val="Text"/>
        <w:spacing w:before="0" w:after="0"/>
        <w:rPr>
          <w:highlight w:val="yellow"/>
          <w:lang w:eastAsia="en-US"/>
        </w:rPr>
      </w:pPr>
      <w:r w:rsidRPr="009B5B69">
        <w:rPr>
          <w:lang w:eastAsia="en-US"/>
        </w:rPr>
        <w:t xml:space="preserve">Ve fázi projektového záměru je projekt </w:t>
      </w:r>
      <w:r w:rsidRPr="009B5B69">
        <w:rPr>
          <w:b/>
          <w:lang w:eastAsia="en-US"/>
        </w:rPr>
        <w:t>Systémové prostředí k prohlubování kompetencí (UpSkilling CZ)</w:t>
      </w:r>
      <w:r w:rsidRPr="009B5B69">
        <w:rPr>
          <w:lang w:eastAsia="en-US"/>
        </w:rPr>
        <w:t>, projekt</w:t>
      </w:r>
      <w:r>
        <w:rPr>
          <w:lang w:eastAsia="en-US"/>
        </w:rPr>
        <w:t xml:space="preserve"> dosud</w:t>
      </w:r>
      <w:r w:rsidRPr="009B5B69">
        <w:rPr>
          <w:lang w:eastAsia="en-US"/>
        </w:rPr>
        <w:t xml:space="preserve"> neprošel schvalovacím procesem a je</w:t>
      </w:r>
      <w:r>
        <w:rPr>
          <w:lang w:eastAsia="en-US"/>
        </w:rPr>
        <w:t xml:space="preserve"> tedy</w:t>
      </w:r>
      <w:r w:rsidRPr="009B5B69">
        <w:rPr>
          <w:lang w:eastAsia="en-US"/>
        </w:rPr>
        <w:t xml:space="preserve"> možné, že dojde ke změně obsahu i výše rozpočtu. Předpokládaná délka realizace projektu je 48 měsíců, předpokládaná </w:t>
      </w:r>
      <w:r w:rsidR="00510743">
        <w:rPr>
          <w:lang w:eastAsia="en-US"/>
        </w:rPr>
        <w:t>výše celkového rozpočtu je 159,</w:t>
      </w:r>
      <w:r w:rsidRPr="009B5B69">
        <w:rPr>
          <w:lang w:eastAsia="en-US"/>
        </w:rPr>
        <w:t xml:space="preserve">7 mil. Kč. </w:t>
      </w:r>
    </w:p>
    <w:p w14:paraId="25F53CE0" w14:textId="77777777" w:rsidR="00561960" w:rsidRPr="007A60A9" w:rsidRDefault="00561960" w:rsidP="00561960">
      <w:pPr>
        <w:pStyle w:val="Text"/>
        <w:rPr>
          <w:lang w:eastAsia="en-US"/>
        </w:rPr>
      </w:pPr>
    </w:p>
    <w:p w14:paraId="4C2D3185" w14:textId="77777777" w:rsidR="00E72338" w:rsidRPr="007A60A9" w:rsidRDefault="00047CD5" w:rsidP="0031482F">
      <w:pPr>
        <w:pStyle w:val="Nadpis4"/>
      </w:pPr>
      <w:bookmarkStart w:id="152" w:name="_Toc464210447"/>
      <w:r w:rsidRPr="007A60A9">
        <w:t xml:space="preserve"> </w:t>
      </w:r>
      <w:bookmarkStart w:id="153" w:name="_Toc5968868"/>
      <w:r w:rsidR="00E72338" w:rsidRPr="007A60A9">
        <w:t xml:space="preserve">Operační program Zaměstnanost programové období 2014-2020 </w:t>
      </w:r>
      <w:bookmarkEnd w:id="152"/>
      <w:r w:rsidR="00E72338" w:rsidRPr="007A60A9">
        <w:t xml:space="preserve">– </w:t>
      </w:r>
      <w:r w:rsidRPr="007A60A9">
        <w:t>ostatní projekty</w:t>
      </w:r>
      <w:bookmarkEnd w:id="153"/>
    </w:p>
    <w:p w14:paraId="7CD1947A" w14:textId="77777777" w:rsidR="007A60A9" w:rsidRPr="007A60A9" w:rsidRDefault="007A60A9" w:rsidP="007A60A9">
      <w:pPr>
        <w:rPr>
          <w:lang w:eastAsia="en-US"/>
        </w:rPr>
      </w:pPr>
    </w:p>
    <w:p w14:paraId="0F3A125F" w14:textId="77777777" w:rsidR="007A60A9" w:rsidRPr="007A60A9" w:rsidRDefault="007A60A9" w:rsidP="007A60A9">
      <w:pPr>
        <w:rPr>
          <w:lang w:eastAsia="en-US"/>
        </w:rPr>
      </w:pPr>
      <w:r w:rsidRPr="007A60A9">
        <w:rPr>
          <w:lang w:eastAsia="en-US"/>
        </w:rPr>
        <w:t>Viz tabulka níže.</w:t>
      </w:r>
    </w:p>
    <w:p w14:paraId="41DF7857" w14:textId="77777777" w:rsidR="00E72338" w:rsidRPr="00853611" w:rsidRDefault="007A60A9" w:rsidP="00E72338">
      <w:pPr>
        <w:rPr>
          <w:sz w:val="20"/>
          <w:highlight w:val="yellow"/>
        </w:rPr>
      </w:pPr>
      <w:r>
        <w:rPr>
          <w:noProof/>
          <w:sz w:val="20"/>
        </w:rPr>
        <w:lastRenderedPageBreak/>
        <w:drawing>
          <wp:inline distT="0" distB="0" distL="0" distR="0" wp14:anchorId="08A8A771" wp14:editId="492C48E1">
            <wp:extent cx="8668776" cy="4986337"/>
            <wp:effectExtent l="0" t="6667"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8668776" cy="4986337"/>
                    </a:xfrm>
                    <a:prstGeom prst="rect">
                      <a:avLst/>
                    </a:prstGeom>
                    <a:noFill/>
                    <a:ln>
                      <a:noFill/>
                    </a:ln>
                  </pic:spPr>
                </pic:pic>
              </a:graphicData>
            </a:graphic>
          </wp:inline>
        </w:drawing>
      </w:r>
    </w:p>
    <w:p w14:paraId="061103ED" w14:textId="77777777" w:rsidR="001F2CB9" w:rsidRPr="005B5A0D" w:rsidRDefault="001F2CB9" w:rsidP="00B26388">
      <w:pPr>
        <w:pStyle w:val="Nadpis3"/>
      </w:pPr>
      <w:bookmarkStart w:id="154" w:name="_Toc511202891"/>
      <w:bookmarkStart w:id="155" w:name="_Toc5968869"/>
      <w:r w:rsidRPr="005B5A0D">
        <w:lastRenderedPageBreak/>
        <w:t xml:space="preserve">Výdaje na </w:t>
      </w:r>
      <w:r w:rsidR="00A1401A">
        <w:t>Finanční mechanis</w:t>
      </w:r>
      <w:r>
        <w:t xml:space="preserve">mus </w:t>
      </w:r>
      <w:r w:rsidRPr="005B5A0D">
        <w:t xml:space="preserve">EHP </w:t>
      </w:r>
      <w:r>
        <w:t xml:space="preserve">pro programové období 2014-2021 </w:t>
      </w:r>
      <w:r w:rsidRPr="005B5A0D">
        <w:t>mimo VVI</w:t>
      </w:r>
      <w:bookmarkEnd w:id="154"/>
      <w:bookmarkEnd w:id="155"/>
    </w:p>
    <w:p w14:paraId="55D06114" w14:textId="77777777" w:rsidR="00F82106" w:rsidRPr="00DD3505" w:rsidRDefault="00F82106" w:rsidP="00DA5A48">
      <w:pPr>
        <w:pStyle w:val="Text"/>
      </w:pPr>
    </w:p>
    <w:p w14:paraId="36292F22" w14:textId="3A26B285" w:rsidR="004A422F" w:rsidRDefault="001F2CB9" w:rsidP="00DA5A48">
      <w:pPr>
        <w:pStyle w:val="Text"/>
      </w:pPr>
      <w:r w:rsidRPr="001000F2">
        <w:t xml:space="preserve">Rozpočet finančních prostředků </w:t>
      </w:r>
      <w:r>
        <w:t xml:space="preserve">FM </w:t>
      </w:r>
      <w:r w:rsidRPr="001000F2">
        <w:t>EHP</w:t>
      </w:r>
      <w:r>
        <w:t> 2014</w:t>
      </w:r>
      <w:r>
        <w:noBreakHyphen/>
        <w:t xml:space="preserve">2021 pro rok </w:t>
      </w:r>
      <w:r w:rsidRPr="001000F2">
        <w:t>201</w:t>
      </w:r>
      <w:r>
        <w:t>9</w:t>
      </w:r>
      <w:r w:rsidRPr="001000F2">
        <w:t xml:space="preserve"> činí</w:t>
      </w:r>
      <w:r w:rsidRPr="001000F2">
        <w:rPr>
          <w:b/>
        </w:rPr>
        <w:t xml:space="preserve"> </w:t>
      </w:r>
      <w:r w:rsidR="00C24A62" w:rsidRPr="00C24A62">
        <w:rPr>
          <w:b/>
        </w:rPr>
        <w:t>3 060 208</w:t>
      </w:r>
      <w:r w:rsidR="00C24A62">
        <w:t xml:space="preserve"> </w:t>
      </w:r>
      <w:r w:rsidRPr="001000F2">
        <w:rPr>
          <w:b/>
        </w:rPr>
        <w:t>Kč</w:t>
      </w:r>
      <w:r w:rsidR="00C24A62">
        <w:rPr>
          <w:rStyle w:val="Znakapoznpodarou"/>
          <w:b/>
        </w:rPr>
        <w:footnoteReference w:id="19"/>
      </w:r>
      <w:r w:rsidRPr="001000F2">
        <w:t xml:space="preserve">. </w:t>
      </w:r>
      <w:r>
        <w:t xml:space="preserve">Prostředky jsou určeny </w:t>
      </w:r>
      <w:r w:rsidR="00C24A62">
        <w:t xml:space="preserve">na administraci programu. </w:t>
      </w:r>
      <w:r w:rsidRPr="001000F2">
        <w:rPr>
          <w:rFonts w:cs="Arial"/>
        </w:rPr>
        <w:t xml:space="preserve">Prostředky </w:t>
      </w:r>
      <w:r w:rsidRPr="001000F2">
        <w:t xml:space="preserve">jsou určeny na snížení sociálních a ekonomických nerovností v Evropském hospodářském prostoru v rámci vymezených </w:t>
      </w:r>
      <w:hyperlink r:id="rId13" w:history="1">
        <w:r w:rsidRPr="001000F2">
          <w:t>prioritních oblastí</w:t>
        </w:r>
      </w:hyperlink>
      <w:r w:rsidRPr="001000F2">
        <w:t>.</w:t>
      </w:r>
    </w:p>
    <w:p w14:paraId="6501F049" w14:textId="77777777" w:rsidR="001F2CB9" w:rsidRPr="00DD3505" w:rsidRDefault="001F2CB9" w:rsidP="00DA5A48">
      <w:pPr>
        <w:pStyle w:val="Text"/>
      </w:pPr>
    </w:p>
    <w:p w14:paraId="166BFE8F" w14:textId="77777777" w:rsidR="00C069EF" w:rsidRPr="00DD3505" w:rsidRDefault="00C069EF" w:rsidP="00B26388">
      <w:pPr>
        <w:pStyle w:val="Nadpis3"/>
      </w:pPr>
      <w:bookmarkStart w:id="156" w:name="_Toc5968870"/>
      <w:r w:rsidRPr="00DD3505">
        <w:t>Komunitární program</w:t>
      </w:r>
      <w:r w:rsidR="00DE221A" w:rsidRPr="00DD3505">
        <w:t xml:space="preserve"> Erasmus+</w:t>
      </w:r>
      <w:bookmarkEnd w:id="156"/>
    </w:p>
    <w:p w14:paraId="481165DA" w14:textId="77777777" w:rsidR="00F0757B" w:rsidRPr="00853611" w:rsidRDefault="00F0757B" w:rsidP="00DA5A48">
      <w:pPr>
        <w:pStyle w:val="Text"/>
        <w:rPr>
          <w:highlight w:val="yellow"/>
          <w:lang w:eastAsia="en-US"/>
        </w:rPr>
      </w:pPr>
    </w:p>
    <w:p w14:paraId="5E7D34FC" w14:textId="5B7D9AD0" w:rsidR="00DD3505" w:rsidRPr="006014DB" w:rsidRDefault="00DD3505" w:rsidP="00DD3505">
      <w:pPr>
        <w:pStyle w:val="Text"/>
      </w:pPr>
      <w:r w:rsidRPr="002A4831">
        <w:t xml:space="preserve">V komunitárních programech na programové období od roku 2014 do roku 2020 jsou rozpočtovány prostředky ve výši </w:t>
      </w:r>
      <w:r w:rsidRPr="002A4831">
        <w:rPr>
          <w:b/>
        </w:rPr>
        <w:t xml:space="preserve">86 800 Kč, </w:t>
      </w:r>
      <w:r w:rsidRPr="002A4831">
        <w:t>z toho na</w:t>
      </w:r>
      <w:r w:rsidRPr="002A4831">
        <w:rPr>
          <w:b/>
        </w:rPr>
        <w:t xml:space="preserve"> </w:t>
      </w:r>
      <w:r w:rsidRPr="002A4831">
        <w:t>OPPP 80 000 </w:t>
      </w:r>
      <w:r>
        <w:t>Kč a</w:t>
      </w:r>
      <w:r w:rsidR="00691319">
        <w:t xml:space="preserve"> na odvody 6 800 </w:t>
      </w:r>
      <w:r w:rsidRPr="002A4831">
        <w:t>Kč.</w:t>
      </w:r>
    </w:p>
    <w:p w14:paraId="04668AC2" w14:textId="48253092" w:rsidR="00DD3505" w:rsidRPr="00115648" w:rsidRDefault="00DD3505" w:rsidP="00DD3505">
      <w:pPr>
        <w:pStyle w:val="Text"/>
      </w:pPr>
      <w:r w:rsidRPr="00115648">
        <w:rPr>
          <w:b/>
        </w:rPr>
        <w:t>Erasmus+</w:t>
      </w:r>
      <w:r w:rsidRPr="00115648">
        <w:t xml:space="preserve"> je nový vzdělávací program </w:t>
      </w:r>
      <w:r>
        <w:t>EU</w:t>
      </w:r>
      <w:r w:rsidRPr="00115648">
        <w:t xml:space="preserve"> na období 2014–2020, který podporuje spolupráci a mobilitu ve všech sférách vzd</w:t>
      </w:r>
      <w:r>
        <w:t>ělávání, v odborné přípravě a v </w:t>
      </w:r>
      <w:r w:rsidR="00691319">
        <w:t>oblasti sportu a </w:t>
      </w:r>
      <w:r w:rsidRPr="00115648">
        <w:t>mládeže. Je nástupcem Programu celoživotního učení, programu Mládež v akci a dalších. Skrze grant Erasmus+ MŠMT rozpočtuje finančn</w:t>
      </w:r>
      <w:r>
        <w:t>í prostředky pro projekt Impuls</w:t>
      </w:r>
      <w:r w:rsidRPr="00115648">
        <w:t xml:space="preserve"> realizovaný s podporou </w:t>
      </w:r>
      <w:r>
        <w:t>EU</w:t>
      </w:r>
      <w:r w:rsidRPr="00115648">
        <w:t>.</w:t>
      </w:r>
      <w:r w:rsidRPr="00115648">
        <w:rPr>
          <w:noProof/>
        </w:rPr>
        <w:t xml:space="preserve"> </w:t>
      </w:r>
    </w:p>
    <w:p w14:paraId="6CE5D478" w14:textId="77777777" w:rsidR="00DD3505" w:rsidRDefault="00DD3505" w:rsidP="00DD3505">
      <w:pPr>
        <w:pStyle w:val="Text"/>
      </w:pPr>
      <w:r>
        <w:t xml:space="preserve">Projekt </w:t>
      </w:r>
      <w:r w:rsidRPr="00115648">
        <w:rPr>
          <w:b/>
        </w:rPr>
        <w:t>Impuls</w:t>
      </w:r>
      <w:r>
        <w:t xml:space="preserve"> navazuje na politiky Boloňského procesu a na zavádění nástrojů, které jsou v jeho rámci prosazovány. Ústředním tématem projektu jsou výsledky učení („learning outcomes“). Jedná se o nástroj (nejen) vysokoškolské politiky objektivizující poskytované vzdělání, zpřehledňující nabídku studijních programů, zlepšující provázanost uvnitř studijního programu a v neposlední řadě zvyšující kvalitu pedagogické práce akademických pracovníků VŠ.</w:t>
      </w:r>
    </w:p>
    <w:p w14:paraId="4814EEF0" w14:textId="77777777" w:rsidR="00CB6349" w:rsidRPr="002764E5" w:rsidRDefault="00CB6349" w:rsidP="005109BA">
      <w:pPr>
        <w:rPr>
          <w:b/>
          <w:i/>
          <w:sz w:val="20"/>
        </w:rPr>
      </w:pPr>
    </w:p>
    <w:p w14:paraId="661F4407" w14:textId="77777777" w:rsidR="00872D1B" w:rsidRPr="002764E5" w:rsidRDefault="00872D1B" w:rsidP="005109BA">
      <w:pPr>
        <w:rPr>
          <w:b/>
          <w:sz w:val="20"/>
        </w:rPr>
      </w:pPr>
      <w:r w:rsidRPr="002764E5">
        <w:rPr>
          <w:b/>
          <w:sz w:val="20"/>
        </w:rPr>
        <w:t>Tabulkové přílohy ke kapitole C.V:</w:t>
      </w:r>
    </w:p>
    <w:p w14:paraId="5881AE63" w14:textId="77777777" w:rsidR="00872D1B" w:rsidRPr="002764E5" w:rsidRDefault="00872D1B" w:rsidP="005109BA">
      <w:pPr>
        <w:rPr>
          <w:b/>
          <w:sz w:val="20"/>
        </w:rPr>
      </w:pPr>
    </w:p>
    <w:p w14:paraId="020BF0BF" w14:textId="77777777" w:rsidR="00A33D15" w:rsidRPr="002764E5" w:rsidRDefault="00A33D15" w:rsidP="00A33D15">
      <w:pPr>
        <w:ind w:left="1418" w:hanging="1418"/>
        <w:rPr>
          <w:sz w:val="20"/>
        </w:rPr>
      </w:pPr>
      <w:r w:rsidRPr="002764E5">
        <w:rPr>
          <w:sz w:val="20"/>
        </w:rPr>
        <w:t>Tabulka č. 1</w:t>
      </w:r>
      <w:r w:rsidRPr="002764E5">
        <w:rPr>
          <w:sz w:val="20"/>
        </w:rPr>
        <w:tab/>
        <w:t>Rozpočet pro oblast programů spolufinancovaných z rozpočtu EU a FM (mimo VVI) na rok 201</w:t>
      </w:r>
      <w:r w:rsidR="002764E5" w:rsidRPr="002764E5">
        <w:rPr>
          <w:sz w:val="20"/>
        </w:rPr>
        <w:t>9</w:t>
      </w:r>
    </w:p>
    <w:p w14:paraId="1F1F8EA1" w14:textId="77777777" w:rsidR="00872D1B" w:rsidRPr="00853611" w:rsidRDefault="00872D1B" w:rsidP="00DA5A48">
      <w:pPr>
        <w:pStyle w:val="Text"/>
        <w:rPr>
          <w:highlight w:val="yellow"/>
        </w:rPr>
      </w:pPr>
    </w:p>
    <w:p w14:paraId="18AF75A8" w14:textId="61D15F7D" w:rsidR="003F61AA" w:rsidRDefault="003F61AA" w:rsidP="00DA5A48">
      <w:pPr>
        <w:pStyle w:val="Text"/>
        <w:rPr>
          <w:highlight w:val="yellow"/>
        </w:rPr>
      </w:pPr>
    </w:p>
    <w:p w14:paraId="38492477" w14:textId="77777777" w:rsidR="003F61AA" w:rsidRDefault="003F61AA">
      <w:pPr>
        <w:jc w:val="left"/>
        <w:rPr>
          <w:rFonts w:cs="Calibri"/>
          <w:szCs w:val="24"/>
          <w:highlight w:val="yellow"/>
        </w:rPr>
      </w:pPr>
      <w:r>
        <w:rPr>
          <w:highlight w:val="yellow"/>
        </w:rPr>
        <w:br w:type="page"/>
      </w:r>
    </w:p>
    <w:p w14:paraId="06EA33C9" w14:textId="77777777" w:rsidR="00FE24BA" w:rsidRPr="00853611" w:rsidRDefault="00FE24BA" w:rsidP="00DA5A48">
      <w:pPr>
        <w:pStyle w:val="Text"/>
        <w:rPr>
          <w:highlight w:val="yellow"/>
        </w:rPr>
      </w:pPr>
    </w:p>
    <w:p w14:paraId="1E417D3C" w14:textId="77777777" w:rsidR="000E57FF" w:rsidRPr="00853611" w:rsidRDefault="00FE24BA" w:rsidP="00997C1E">
      <w:pPr>
        <w:pStyle w:val="Text"/>
        <w:rPr>
          <w:b/>
          <w:sz w:val="28"/>
          <w:highlight w:val="yellow"/>
          <w:lang w:eastAsia="en-US"/>
        </w:rPr>
      </w:pPr>
      <w:r w:rsidRPr="00853611">
        <w:rPr>
          <w:highlight w:val="yellow"/>
        </w:rPr>
        <w:br w:type="page"/>
      </w:r>
      <w:bookmarkEnd w:id="127"/>
    </w:p>
    <w:p w14:paraId="516E1A0C" w14:textId="77777777" w:rsidR="00C069EF" w:rsidRPr="00345DB4" w:rsidRDefault="00C069EF" w:rsidP="00F94A17">
      <w:pPr>
        <w:pStyle w:val="Nadpis2"/>
      </w:pPr>
      <w:bookmarkStart w:id="157" w:name="_Toc5968871"/>
      <w:r w:rsidRPr="00345DB4">
        <w:lastRenderedPageBreak/>
        <w:t>Ostatní výdaje na zabezpečení úkolů resortu</w:t>
      </w:r>
      <w:bookmarkEnd w:id="157"/>
    </w:p>
    <w:p w14:paraId="07EA217E" w14:textId="77777777" w:rsidR="00C069EF" w:rsidRPr="00853611" w:rsidRDefault="00C069EF" w:rsidP="00C069EF">
      <w:pPr>
        <w:rPr>
          <w:color w:val="548DD4"/>
          <w:highlight w:val="yellow"/>
        </w:rPr>
      </w:pPr>
    </w:p>
    <w:p w14:paraId="3C139E2A" w14:textId="77777777" w:rsidR="009F0FF5" w:rsidRPr="00464E1B" w:rsidRDefault="009F0FF5" w:rsidP="009F0FF5">
      <w:pPr>
        <w:ind w:firstLine="709"/>
        <w:rPr>
          <w:szCs w:val="24"/>
        </w:rPr>
      </w:pPr>
      <w:r w:rsidRPr="00464E1B">
        <w:rPr>
          <w:szCs w:val="24"/>
        </w:rPr>
        <w:t>Výdajový blok ostatní výdaje na zabezpečení úkolů resortu (celkem 2 239 152 948 Kč z čehož programové financování tvoří 84 969 769 Kč) v sobě zahrnuje:</w:t>
      </w:r>
    </w:p>
    <w:p w14:paraId="57A77E5C" w14:textId="77777777" w:rsidR="009F0FF5" w:rsidRPr="004D4CBC" w:rsidRDefault="009F0FF5" w:rsidP="009F0FF5">
      <w:pPr>
        <w:ind w:firstLine="709"/>
        <w:rPr>
          <w:szCs w:val="24"/>
          <w:highlight w:val="cyan"/>
        </w:rPr>
      </w:pPr>
    </w:p>
    <w:p w14:paraId="4FA765BD" w14:textId="5A7E4960" w:rsidR="009F0FF5" w:rsidRPr="00A1556C" w:rsidRDefault="009F0FF5" w:rsidP="005B6E93">
      <w:pPr>
        <w:pStyle w:val="Odstavecseseznamem"/>
        <w:numPr>
          <w:ilvl w:val="0"/>
          <w:numId w:val="45"/>
        </w:numPr>
        <w:ind w:left="709" w:hanging="283"/>
        <w:rPr>
          <w:szCs w:val="24"/>
        </w:rPr>
      </w:pPr>
      <w:r w:rsidRPr="00A1556C">
        <w:rPr>
          <w:b/>
          <w:szCs w:val="24"/>
        </w:rPr>
        <w:t>ostatní přímo řízené organizace</w:t>
      </w:r>
      <w:r w:rsidR="00CD4E6F">
        <w:rPr>
          <w:b/>
          <w:szCs w:val="24"/>
        </w:rPr>
        <w:t xml:space="preserve"> a související výdaje</w:t>
      </w:r>
      <w:r w:rsidRPr="00A1556C">
        <w:rPr>
          <w:szCs w:val="24"/>
        </w:rPr>
        <w:t xml:space="preserve"> včetně komunitárních programů, programu podpory českého kulturního dědi</w:t>
      </w:r>
      <w:r w:rsidR="00691319">
        <w:rPr>
          <w:szCs w:val="24"/>
        </w:rPr>
        <w:t>ctví a mezinárodních aktivit ve </w:t>
      </w:r>
      <w:r w:rsidRPr="00A1556C">
        <w:rPr>
          <w:szCs w:val="24"/>
        </w:rPr>
        <w:t xml:space="preserve">výši </w:t>
      </w:r>
      <w:r w:rsidRPr="00A1556C">
        <w:rPr>
          <w:b/>
          <w:szCs w:val="24"/>
        </w:rPr>
        <w:t xml:space="preserve">1 020 479 482 Kč, </w:t>
      </w:r>
      <w:r w:rsidRPr="00A1556C">
        <w:rPr>
          <w:szCs w:val="24"/>
        </w:rPr>
        <w:t xml:space="preserve">z toho programové financování činí </w:t>
      </w:r>
      <w:r w:rsidRPr="00A1556C">
        <w:rPr>
          <w:b/>
          <w:szCs w:val="24"/>
        </w:rPr>
        <w:t>1 500 000 Kč</w:t>
      </w:r>
      <w:r w:rsidRPr="00A1556C">
        <w:rPr>
          <w:szCs w:val="24"/>
        </w:rPr>
        <w:t>;</w:t>
      </w:r>
    </w:p>
    <w:p w14:paraId="63F6E717" w14:textId="77777777" w:rsidR="009F0FF5" w:rsidRPr="00A1556C" w:rsidRDefault="009F0FF5" w:rsidP="005B6E93">
      <w:pPr>
        <w:pStyle w:val="Odstavecseseznamem"/>
        <w:numPr>
          <w:ilvl w:val="0"/>
          <w:numId w:val="45"/>
        </w:numPr>
        <w:ind w:left="709" w:hanging="283"/>
        <w:rPr>
          <w:szCs w:val="24"/>
        </w:rPr>
      </w:pPr>
      <w:r w:rsidRPr="00A1556C">
        <w:rPr>
          <w:b/>
          <w:szCs w:val="24"/>
        </w:rPr>
        <w:t>státní správu</w:t>
      </w:r>
      <w:r w:rsidRPr="00A1556C">
        <w:rPr>
          <w:szCs w:val="24"/>
        </w:rPr>
        <w:t xml:space="preserve"> – výdaje jsou ve výši </w:t>
      </w:r>
      <w:r w:rsidRPr="00A1556C">
        <w:rPr>
          <w:b/>
          <w:szCs w:val="24"/>
        </w:rPr>
        <w:t>1 034 360 466 Kč</w:t>
      </w:r>
      <w:r w:rsidRPr="00A1556C">
        <w:rPr>
          <w:szCs w:val="24"/>
        </w:rPr>
        <w:t xml:space="preserve">, z toho programové financování činí </w:t>
      </w:r>
      <w:r w:rsidRPr="00A1556C">
        <w:rPr>
          <w:b/>
          <w:szCs w:val="24"/>
        </w:rPr>
        <w:t>79 969 769 Kč</w:t>
      </w:r>
      <w:r w:rsidRPr="00A1556C">
        <w:rPr>
          <w:szCs w:val="24"/>
        </w:rPr>
        <w:t>;</w:t>
      </w:r>
    </w:p>
    <w:p w14:paraId="120C389F" w14:textId="77777777" w:rsidR="009F0FF5" w:rsidRPr="00A1556C" w:rsidRDefault="009F0FF5" w:rsidP="005B6E93">
      <w:pPr>
        <w:pStyle w:val="Odstavecseseznamem"/>
        <w:numPr>
          <w:ilvl w:val="0"/>
          <w:numId w:val="45"/>
        </w:numPr>
        <w:ind w:left="709" w:hanging="283"/>
        <w:rPr>
          <w:szCs w:val="24"/>
        </w:rPr>
      </w:pPr>
      <w:r w:rsidRPr="00A1556C">
        <w:rPr>
          <w:b/>
          <w:szCs w:val="24"/>
        </w:rPr>
        <w:t>zahraniční rozvojovou spolupráci</w:t>
      </w:r>
      <w:r w:rsidRPr="00A1556C">
        <w:rPr>
          <w:szCs w:val="24"/>
        </w:rPr>
        <w:t xml:space="preserve"> – </w:t>
      </w:r>
      <w:r w:rsidRPr="00A1556C">
        <w:rPr>
          <w:b/>
          <w:szCs w:val="24"/>
        </w:rPr>
        <w:t>125 500 000 Kč</w:t>
      </w:r>
      <w:r w:rsidRPr="00A1556C">
        <w:rPr>
          <w:szCs w:val="24"/>
        </w:rPr>
        <w:t>;</w:t>
      </w:r>
    </w:p>
    <w:p w14:paraId="79E4E860" w14:textId="77777777" w:rsidR="009F0FF5" w:rsidRPr="00A1556C" w:rsidRDefault="009F0FF5" w:rsidP="005B6E93">
      <w:pPr>
        <w:pStyle w:val="Odstavecseseznamem"/>
        <w:numPr>
          <w:ilvl w:val="0"/>
          <w:numId w:val="45"/>
        </w:numPr>
        <w:ind w:left="709" w:hanging="283"/>
        <w:rPr>
          <w:szCs w:val="24"/>
        </w:rPr>
      </w:pPr>
      <w:r w:rsidRPr="00A1556C">
        <w:rPr>
          <w:b/>
          <w:szCs w:val="24"/>
        </w:rPr>
        <w:t>program podpory vzdělávání národnostních menšin a multikulturní výchovu</w:t>
      </w:r>
      <w:r w:rsidRPr="00A1556C">
        <w:rPr>
          <w:szCs w:val="24"/>
        </w:rPr>
        <w:t xml:space="preserve"> – </w:t>
      </w:r>
      <w:r w:rsidRPr="00A1556C">
        <w:rPr>
          <w:b/>
          <w:szCs w:val="24"/>
        </w:rPr>
        <w:t>15 039 000 Kč</w:t>
      </w:r>
      <w:r w:rsidRPr="00A1556C">
        <w:rPr>
          <w:szCs w:val="24"/>
        </w:rPr>
        <w:t>;</w:t>
      </w:r>
    </w:p>
    <w:p w14:paraId="5DB3A90E" w14:textId="77777777" w:rsidR="009F0FF5" w:rsidRPr="00A1556C" w:rsidRDefault="009F0FF5" w:rsidP="005B6E93">
      <w:pPr>
        <w:pStyle w:val="Odstavecseseznamem"/>
        <w:numPr>
          <w:ilvl w:val="0"/>
          <w:numId w:val="45"/>
        </w:numPr>
        <w:ind w:left="709" w:hanging="283"/>
        <w:rPr>
          <w:szCs w:val="24"/>
        </w:rPr>
      </w:pPr>
      <w:r w:rsidRPr="00A1556C">
        <w:rPr>
          <w:b/>
          <w:szCs w:val="24"/>
        </w:rPr>
        <w:t>program sociální prevence a prevence kriminality</w:t>
      </w:r>
      <w:r w:rsidRPr="00A1556C">
        <w:rPr>
          <w:szCs w:val="24"/>
        </w:rPr>
        <w:t xml:space="preserve"> – </w:t>
      </w:r>
      <w:r w:rsidRPr="00A1556C">
        <w:rPr>
          <w:b/>
          <w:szCs w:val="24"/>
        </w:rPr>
        <w:t>8 132 000 Kč</w:t>
      </w:r>
      <w:r w:rsidRPr="00A1556C">
        <w:rPr>
          <w:szCs w:val="24"/>
        </w:rPr>
        <w:t>;</w:t>
      </w:r>
    </w:p>
    <w:p w14:paraId="5069536E" w14:textId="77777777" w:rsidR="009F0FF5" w:rsidRPr="00A1556C" w:rsidRDefault="009F0FF5" w:rsidP="005B6E93">
      <w:pPr>
        <w:pStyle w:val="Odstavecseseznamem"/>
        <w:numPr>
          <w:ilvl w:val="0"/>
          <w:numId w:val="45"/>
        </w:numPr>
        <w:ind w:left="709" w:hanging="283"/>
        <w:rPr>
          <w:szCs w:val="24"/>
        </w:rPr>
      </w:pPr>
      <w:r w:rsidRPr="00A1556C">
        <w:rPr>
          <w:b/>
          <w:szCs w:val="24"/>
        </w:rPr>
        <w:t>program protidrogové politiky</w:t>
      </w:r>
      <w:r w:rsidRPr="00A1556C">
        <w:rPr>
          <w:szCs w:val="24"/>
        </w:rPr>
        <w:t xml:space="preserve"> – </w:t>
      </w:r>
      <w:r w:rsidRPr="00A1556C">
        <w:rPr>
          <w:b/>
          <w:szCs w:val="24"/>
        </w:rPr>
        <w:t>12 197 000 Kč</w:t>
      </w:r>
      <w:r w:rsidRPr="00A1556C">
        <w:rPr>
          <w:szCs w:val="24"/>
        </w:rPr>
        <w:t>;</w:t>
      </w:r>
    </w:p>
    <w:p w14:paraId="73B27887" w14:textId="77777777" w:rsidR="009F0FF5" w:rsidRPr="00A1556C" w:rsidRDefault="009F0FF5" w:rsidP="005B6E93">
      <w:pPr>
        <w:pStyle w:val="Odstavecseseznamem"/>
        <w:numPr>
          <w:ilvl w:val="0"/>
          <w:numId w:val="45"/>
        </w:numPr>
        <w:ind w:left="709" w:hanging="283"/>
        <w:rPr>
          <w:szCs w:val="24"/>
        </w:rPr>
      </w:pPr>
      <w:r w:rsidRPr="00A1556C">
        <w:rPr>
          <w:b/>
          <w:szCs w:val="24"/>
        </w:rPr>
        <w:t>podpora projektů integrace příslušníků romské komunity</w:t>
      </w:r>
      <w:r w:rsidRPr="00A1556C">
        <w:rPr>
          <w:szCs w:val="24"/>
        </w:rPr>
        <w:t xml:space="preserve"> – </w:t>
      </w:r>
      <w:r w:rsidRPr="00A1556C">
        <w:rPr>
          <w:b/>
          <w:szCs w:val="24"/>
        </w:rPr>
        <w:t>19 875 000 Kč</w:t>
      </w:r>
      <w:r w:rsidRPr="00A1556C">
        <w:rPr>
          <w:szCs w:val="24"/>
        </w:rPr>
        <w:t>;</w:t>
      </w:r>
    </w:p>
    <w:p w14:paraId="20C6BD85" w14:textId="77777777" w:rsidR="009F0FF5" w:rsidRPr="009F0FF5" w:rsidRDefault="009F0FF5" w:rsidP="005B6E93">
      <w:pPr>
        <w:pStyle w:val="Odstavecseseznamem"/>
        <w:numPr>
          <w:ilvl w:val="0"/>
          <w:numId w:val="45"/>
        </w:numPr>
        <w:ind w:left="709" w:hanging="283"/>
        <w:rPr>
          <w:szCs w:val="24"/>
        </w:rPr>
      </w:pPr>
      <w:r w:rsidRPr="00A1556C">
        <w:rPr>
          <w:b/>
          <w:szCs w:val="24"/>
        </w:rPr>
        <w:t xml:space="preserve">zajištění příprav </w:t>
      </w:r>
      <w:r w:rsidRPr="009F0FF5">
        <w:rPr>
          <w:b/>
          <w:szCs w:val="24"/>
        </w:rPr>
        <w:t>na krizové situace podle zákona č. 240/2000 Sb.</w:t>
      </w:r>
      <w:r w:rsidRPr="009F0FF5">
        <w:rPr>
          <w:szCs w:val="24"/>
        </w:rPr>
        <w:t xml:space="preserve"> – </w:t>
      </w:r>
      <w:r w:rsidRPr="009F0FF5">
        <w:rPr>
          <w:b/>
          <w:szCs w:val="24"/>
        </w:rPr>
        <w:t xml:space="preserve">3 570 000 Kč, </w:t>
      </w:r>
      <w:r w:rsidRPr="009F0FF5">
        <w:rPr>
          <w:szCs w:val="24"/>
        </w:rPr>
        <w:t xml:space="preserve">z toho programové financování tvoří </w:t>
      </w:r>
      <w:r w:rsidRPr="009F0FF5">
        <w:rPr>
          <w:b/>
          <w:szCs w:val="24"/>
        </w:rPr>
        <w:t>3 500 000 Kč</w:t>
      </w:r>
      <w:r w:rsidRPr="009F0FF5">
        <w:rPr>
          <w:szCs w:val="24"/>
        </w:rPr>
        <w:t>.</w:t>
      </w:r>
    </w:p>
    <w:p w14:paraId="03614F24" w14:textId="77777777" w:rsidR="007D41D8" w:rsidRPr="009F0FF5" w:rsidRDefault="007D41D8" w:rsidP="007D41D8">
      <w:pPr>
        <w:ind w:left="1800"/>
      </w:pPr>
    </w:p>
    <w:p w14:paraId="4725D7EB" w14:textId="77777777" w:rsidR="00C069EF" w:rsidRPr="009F0FF5" w:rsidRDefault="00C069EF" w:rsidP="00B26388">
      <w:pPr>
        <w:pStyle w:val="Nadpis3"/>
      </w:pPr>
      <w:bookmarkStart w:id="158" w:name="_Toc5968872"/>
      <w:r w:rsidRPr="009F0FF5">
        <w:t>Ostatní přímo řízené organizace, společné úkoly a vybrané ukazatele</w:t>
      </w:r>
      <w:bookmarkEnd w:id="158"/>
    </w:p>
    <w:p w14:paraId="11D922EC" w14:textId="77777777" w:rsidR="00C069EF" w:rsidRPr="009F0FF5" w:rsidRDefault="00C069EF" w:rsidP="00C069EF">
      <w:pPr>
        <w:pStyle w:val="Zkladntextodsazen"/>
        <w:ind w:left="567" w:hanging="567"/>
        <w:jc w:val="left"/>
        <w:rPr>
          <w:b/>
          <w:color w:val="548DD4"/>
          <w:sz w:val="28"/>
        </w:rPr>
      </w:pPr>
    </w:p>
    <w:p w14:paraId="521D7553" w14:textId="77777777" w:rsidR="009F0FF5" w:rsidRPr="00E512D5" w:rsidRDefault="009F0FF5" w:rsidP="009F0FF5">
      <w:pPr>
        <w:pStyle w:val="Zkladntextodsazen"/>
        <w:ind w:left="993" w:hanging="567"/>
      </w:pPr>
      <w:r w:rsidRPr="00E512D5">
        <w:rPr>
          <w:b/>
        </w:rPr>
        <w:t xml:space="preserve">Rozpočet celkových výdajů pro OPŘO </w:t>
      </w:r>
      <w:r w:rsidRPr="00E512D5">
        <w:t>na rok 2019 činí:</w:t>
      </w:r>
    </w:p>
    <w:p w14:paraId="4F2AD6D4" w14:textId="77777777" w:rsidR="009F0FF5" w:rsidRPr="00E512D5" w:rsidRDefault="009F0FF5" w:rsidP="009F0FF5">
      <w:pPr>
        <w:tabs>
          <w:tab w:val="left" w:pos="567"/>
        </w:tabs>
        <w:ind w:left="426" w:firstLine="567"/>
        <w:rPr>
          <w:color w:val="2E74B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228"/>
        <w:gridCol w:w="2967"/>
      </w:tblGrid>
      <w:tr w:rsidR="009F0FF5" w:rsidRPr="00E512D5" w14:paraId="110D229A" w14:textId="77777777" w:rsidTr="00CB798D">
        <w:tc>
          <w:tcPr>
            <w:tcW w:w="5895" w:type="dxa"/>
            <w:gridSpan w:val="2"/>
            <w:shd w:val="clear" w:color="auto" w:fill="auto"/>
          </w:tcPr>
          <w:p w14:paraId="39806F83" w14:textId="77777777" w:rsidR="009F0FF5" w:rsidRPr="00E512D5" w:rsidRDefault="009F0FF5" w:rsidP="00CB798D">
            <w:pPr>
              <w:rPr>
                <w:b/>
              </w:rPr>
            </w:pPr>
            <w:r w:rsidRPr="00E512D5">
              <w:rPr>
                <w:b/>
              </w:rPr>
              <w:t>Výdaje celkem</w:t>
            </w:r>
          </w:p>
        </w:tc>
        <w:tc>
          <w:tcPr>
            <w:tcW w:w="2967" w:type="dxa"/>
            <w:shd w:val="clear" w:color="auto" w:fill="auto"/>
          </w:tcPr>
          <w:p w14:paraId="0F42CF08" w14:textId="77777777" w:rsidR="009F0FF5" w:rsidRPr="00E512D5" w:rsidRDefault="009F0FF5" w:rsidP="00CB798D">
            <w:pPr>
              <w:tabs>
                <w:tab w:val="left" w:pos="567"/>
              </w:tabs>
              <w:ind w:left="426"/>
              <w:jc w:val="right"/>
            </w:pPr>
            <w:r w:rsidRPr="00E512D5">
              <w:rPr>
                <w:b/>
              </w:rPr>
              <w:t xml:space="preserve">1 020 479 482 Kč </w:t>
            </w:r>
          </w:p>
        </w:tc>
      </w:tr>
      <w:tr w:rsidR="009F0FF5" w:rsidRPr="00E512D5" w14:paraId="0DC3F018" w14:textId="77777777" w:rsidTr="00CB798D">
        <w:tc>
          <w:tcPr>
            <w:tcW w:w="1667" w:type="dxa"/>
            <w:shd w:val="clear" w:color="auto" w:fill="auto"/>
          </w:tcPr>
          <w:p w14:paraId="3FF5265E" w14:textId="77777777" w:rsidR="009F0FF5" w:rsidRPr="00E512D5" w:rsidRDefault="009F0FF5" w:rsidP="00CB798D">
            <w:pPr>
              <w:rPr>
                <w:b/>
              </w:rPr>
            </w:pPr>
            <w:r w:rsidRPr="00E512D5">
              <w:rPr>
                <w:b/>
              </w:rPr>
              <w:t>Běžné výdaje</w:t>
            </w:r>
            <w:r w:rsidRPr="00E512D5">
              <w:t xml:space="preserve">          </w:t>
            </w:r>
          </w:p>
        </w:tc>
        <w:tc>
          <w:tcPr>
            <w:tcW w:w="4228" w:type="dxa"/>
            <w:shd w:val="clear" w:color="auto" w:fill="auto"/>
          </w:tcPr>
          <w:p w14:paraId="3ACDB55F" w14:textId="77777777" w:rsidR="009F0FF5" w:rsidRPr="00E512D5" w:rsidRDefault="009F0FF5" w:rsidP="00CB798D">
            <w:pPr>
              <w:rPr>
                <w:b/>
              </w:rPr>
            </w:pPr>
          </w:p>
        </w:tc>
        <w:tc>
          <w:tcPr>
            <w:tcW w:w="2967" w:type="dxa"/>
            <w:shd w:val="clear" w:color="auto" w:fill="auto"/>
          </w:tcPr>
          <w:p w14:paraId="00B3D375" w14:textId="77777777" w:rsidR="009F0FF5" w:rsidRPr="00E512D5" w:rsidRDefault="009F0FF5" w:rsidP="00CB798D">
            <w:pPr>
              <w:tabs>
                <w:tab w:val="left" w:pos="567"/>
              </w:tabs>
              <w:ind w:left="426"/>
              <w:jc w:val="right"/>
              <w:rPr>
                <w:b/>
              </w:rPr>
            </w:pPr>
            <w:r w:rsidRPr="00E512D5">
              <w:rPr>
                <w:b/>
              </w:rPr>
              <w:t xml:space="preserve">1 018 979 482 Kč </w:t>
            </w:r>
          </w:p>
        </w:tc>
      </w:tr>
      <w:tr w:rsidR="009F0FF5" w:rsidRPr="00E512D5" w14:paraId="399F5272" w14:textId="77777777" w:rsidTr="00CB798D">
        <w:tc>
          <w:tcPr>
            <w:tcW w:w="1667" w:type="dxa"/>
            <w:shd w:val="clear" w:color="auto" w:fill="auto"/>
          </w:tcPr>
          <w:p w14:paraId="30DE923A" w14:textId="77777777" w:rsidR="009F0FF5" w:rsidRPr="00E512D5" w:rsidRDefault="009F0FF5" w:rsidP="00CB798D">
            <w:pPr>
              <w:rPr>
                <w:b/>
              </w:rPr>
            </w:pPr>
            <w:r w:rsidRPr="00E512D5">
              <w:rPr>
                <w:szCs w:val="24"/>
              </w:rPr>
              <w:t>v tom:</w:t>
            </w:r>
          </w:p>
        </w:tc>
        <w:tc>
          <w:tcPr>
            <w:tcW w:w="4228" w:type="dxa"/>
            <w:shd w:val="clear" w:color="auto" w:fill="auto"/>
          </w:tcPr>
          <w:p w14:paraId="659C8150" w14:textId="77777777" w:rsidR="009F0FF5" w:rsidRPr="00E512D5" w:rsidRDefault="009F0FF5" w:rsidP="00CB798D">
            <w:pPr>
              <w:rPr>
                <w:b/>
              </w:rPr>
            </w:pPr>
            <w:r w:rsidRPr="00E512D5">
              <w:rPr>
                <w:b/>
              </w:rPr>
              <w:t>mzdové prostředky</w:t>
            </w:r>
          </w:p>
        </w:tc>
        <w:tc>
          <w:tcPr>
            <w:tcW w:w="2967" w:type="dxa"/>
            <w:shd w:val="clear" w:color="auto" w:fill="auto"/>
          </w:tcPr>
          <w:p w14:paraId="4019D223" w14:textId="77777777" w:rsidR="009F0FF5" w:rsidRPr="00E512D5" w:rsidRDefault="009F0FF5" w:rsidP="00CB798D">
            <w:pPr>
              <w:jc w:val="right"/>
              <w:rPr>
                <w:b/>
              </w:rPr>
            </w:pPr>
            <w:r w:rsidRPr="00E512D5">
              <w:rPr>
                <w:b/>
              </w:rPr>
              <w:t>362 844 794 Kč</w:t>
            </w:r>
          </w:p>
        </w:tc>
      </w:tr>
      <w:tr w:rsidR="009F0FF5" w:rsidRPr="00E512D5" w14:paraId="23C6065F" w14:textId="77777777" w:rsidTr="00CB798D">
        <w:tc>
          <w:tcPr>
            <w:tcW w:w="1667" w:type="dxa"/>
            <w:shd w:val="clear" w:color="auto" w:fill="auto"/>
          </w:tcPr>
          <w:p w14:paraId="302AAF10" w14:textId="77777777" w:rsidR="009F0FF5" w:rsidRPr="00E512D5" w:rsidRDefault="009F0FF5" w:rsidP="00CB798D">
            <w:pPr>
              <w:rPr>
                <w:b/>
              </w:rPr>
            </w:pPr>
          </w:p>
        </w:tc>
        <w:tc>
          <w:tcPr>
            <w:tcW w:w="4228" w:type="dxa"/>
            <w:shd w:val="clear" w:color="auto" w:fill="auto"/>
          </w:tcPr>
          <w:p w14:paraId="708AD5DF" w14:textId="77777777" w:rsidR="009F0FF5" w:rsidRPr="00E512D5" w:rsidRDefault="009F0FF5" w:rsidP="00CB798D">
            <w:pPr>
              <w:rPr>
                <w:b/>
              </w:rPr>
            </w:pPr>
            <w:r w:rsidRPr="00E512D5">
              <w:t>z toho platy</w:t>
            </w:r>
          </w:p>
        </w:tc>
        <w:tc>
          <w:tcPr>
            <w:tcW w:w="2967" w:type="dxa"/>
            <w:shd w:val="clear" w:color="auto" w:fill="auto"/>
          </w:tcPr>
          <w:p w14:paraId="193BBCC8" w14:textId="77777777" w:rsidR="009F0FF5" w:rsidRPr="00E512D5" w:rsidRDefault="009F0FF5" w:rsidP="00CB798D">
            <w:pPr>
              <w:jc w:val="right"/>
              <w:rPr>
                <w:b/>
              </w:rPr>
            </w:pPr>
            <w:r w:rsidRPr="00E512D5">
              <w:t>253 564 806 Kč</w:t>
            </w:r>
          </w:p>
        </w:tc>
      </w:tr>
      <w:tr w:rsidR="009F0FF5" w:rsidRPr="00E512D5" w14:paraId="2C6C4870" w14:textId="77777777" w:rsidTr="00CB798D">
        <w:tc>
          <w:tcPr>
            <w:tcW w:w="1667" w:type="dxa"/>
            <w:shd w:val="clear" w:color="auto" w:fill="auto"/>
          </w:tcPr>
          <w:p w14:paraId="7EEF2973" w14:textId="77777777" w:rsidR="009F0FF5" w:rsidRPr="00E512D5" w:rsidRDefault="009F0FF5" w:rsidP="00CB798D">
            <w:pPr>
              <w:rPr>
                <w:b/>
              </w:rPr>
            </w:pPr>
          </w:p>
        </w:tc>
        <w:tc>
          <w:tcPr>
            <w:tcW w:w="4228" w:type="dxa"/>
            <w:shd w:val="clear" w:color="auto" w:fill="auto"/>
          </w:tcPr>
          <w:p w14:paraId="381610CC" w14:textId="77777777" w:rsidR="009F0FF5" w:rsidRPr="00E512D5" w:rsidRDefault="009F0FF5" w:rsidP="00CB798D">
            <w:pPr>
              <w:rPr>
                <w:b/>
              </w:rPr>
            </w:pPr>
            <w:r w:rsidRPr="00E512D5">
              <w:rPr>
                <w:b/>
              </w:rPr>
              <w:t>zákonné odvody</w:t>
            </w:r>
          </w:p>
        </w:tc>
        <w:tc>
          <w:tcPr>
            <w:tcW w:w="2967" w:type="dxa"/>
            <w:shd w:val="clear" w:color="auto" w:fill="auto"/>
          </w:tcPr>
          <w:p w14:paraId="418F2ADD" w14:textId="77777777" w:rsidR="009F0FF5" w:rsidRPr="00E512D5" w:rsidRDefault="009F0FF5" w:rsidP="00CB798D">
            <w:pPr>
              <w:jc w:val="right"/>
              <w:rPr>
                <w:b/>
              </w:rPr>
            </w:pPr>
            <w:r w:rsidRPr="00E512D5">
              <w:rPr>
                <w:b/>
              </w:rPr>
              <w:t>114 551 520 Kč</w:t>
            </w:r>
          </w:p>
        </w:tc>
      </w:tr>
      <w:tr w:rsidR="009F0FF5" w:rsidRPr="00ED029B" w14:paraId="3613524D" w14:textId="77777777" w:rsidTr="00CB798D">
        <w:trPr>
          <w:trHeight w:val="190"/>
        </w:trPr>
        <w:tc>
          <w:tcPr>
            <w:tcW w:w="1667" w:type="dxa"/>
            <w:shd w:val="clear" w:color="auto" w:fill="auto"/>
          </w:tcPr>
          <w:p w14:paraId="5123B698" w14:textId="77777777" w:rsidR="009F0FF5" w:rsidRPr="00E512D5" w:rsidRDefault="009F0FF5" w:rsidP="00CB798D">
            <w:pPr>
              <w:rPr>
                <w:b/>
              </w:rPr>
            </w:pPr>
          </w:p>
        </w:tc>
        <w:tc>
          <w:tcPr>
            <w:tcW w:w="4228" w:type="dxa"/>
            <w:shd w:val="clear" w:color="auto" w:fill="auto"/>
          </w:tcPr>
          <w:p w14:paraId="6220D11D" w14:textId="77777777" w:rsidR="009F0FF5" w:rsidRPr="00E512D5" w:rsidRDefault="009F0FF5" w:rsidP="00CB798D">
            <w:pPr>
              <w:rPr>
                <w:b/>
              </w:rPr>
            </w:pPr>
            <w:r w:rsidRPr="00E512D5">
              <w:rPr>
                <w:b/>
              </w:rPr>
              <w:t>ostatní běžné výdaje</w:t>
            </w:r>
          </w:p>
        </w:tc>
        <w:tc>
          <w:tcPr>
            <w:tcW w:w="2967" w:type="dxa"/>
            <w:shd w:val="clear" w:color="auto" w:fill="auto"/>
          </w:tcPr>
          <w:p w14:paraId="200334F5" w14:textId="77777777" w:rsidR="009F0FF5" w:rsidRPr="00E512D5" w:rsidRDefault="009F0FF5" w:rsidP="00CB798D">
            <w:pPr>
              <w:jc w:val="right"/>
              <w:rPr>
                <w:b/>
              </w:rPr>
            </w:pPr>
            <w:r w:rsidRPr="00E512D5">
              <w:rPr>
                <w:b/>
              </w:rPr>
              <w:t>541 583 168 Kč</w:t>
            </w:r>
          </w:p>
        </w:tc>
      </w:tr>
      <w:tr w:rsidR="009F0FF5" w:rsidRPr="00ED029B" w14:paraId="1572D659" w14:textId="77777777" w:rsidTr="00CB798D">
        <w:tc>
          <w:tcPr>
            <w:tcW w:w="5895" w:type="dxa"/>
            <w:gridSpan w:val="2"/>
            <w:shd w:val="clear" w:color="auto" w:fill="auto"/>
          </w:tcPr>
          <w:p w14:paraId="1E492FC3" w14:textId="77777777" w:rsidR="009F0FF5" w:rsidRPr="00E512D5" w:rsidRDefault="009F0FF5" w:rsidP="00CB798D">
            <w:pPr>
              <w:rPr>
                <w:b/>
              </w:rPr>
            </w:pPr>
            <w:r w:rsidRPr="00E512D5">
              <w:rPr>
                <w:b/>
              </w:rPr>
              <w:t>Limit počtu zaměstnanců v celoročním průměru je</w:t>
            </w:r>
          </w:p>
        </w:tc>
        <w:tc>
          <w:tcPr>
            <w:tcW w:w="2967" w:type="dxa"/>
            <w:shd w:val="clear" w:color="auto" w:fill="auto"/>
          </w:tcPr>
          <w:p w14:paraId="78BA12DE" w14:textId="77777777" w:rsidR="009F0FF5" w:rsidRPr="00E512D5" w:rsidRDefault="009F0FF5" w:rsidP="00CB798D">
            <w:pPr>
              <w:jc w:val="right"/>
              <w:rPr>
                <w:b/>
              </w:rPr>
            </w:pPr>
            <w:r w:rsidRPr="00E512D5">
              <w:rPr>
                <w:b/>
              </w:rPr>
              <w:t>686</w:t>
            </w:r>
          </w:p>
        </w:tc>
      </w:tr>
      <w:tr w:rsidR="009F0FF5" w:rsidRPr="00ED029B" w14:paraId="60C9542C" w14:textId="77777777" w:rsidTr="00CB798D">
        <w:tc>
          <w:tcPr>
            <w:tcW w:w="5895" w:type="dxa"/>
            <w:gridSpan w:val="2"/>
            <w:shd w:val="clear" w:color="auto" w:fill="auto"/>
          </w:tcPr>
          <w:p w14:paraId="7195C602" w14:textId="77777777" w:rsidR="009F0FF5" w:rsidRPr="00E512D5" w:rsidRDefault="009F0FF5" w:rsidP="00CB798D">
            <w:pPr>
              <w:rPr>
                <w:b/>
              </w:rPr>
            </w:pPr>
            <w:r w:rsidRPr="00E512D5">
              <w:rPr>
                <w:b/>
              </w:rPr>
              <w:t xml:space="preserve">Průměrný měsíční plat je rozpočtován ve výši  </w:t>
            </w:r>
          </w:p>
        </w:tc>
        <w:tc>
          <w:tcPr>
            <w:tcW w:w="2967" w:type="dxa"/>
            <w:shd w:val="clear" w:color="auto" w:fill="auto"/>
          </w:tcPr>
          <w:p w14:paraId="19DA24FA" w14:textId="77777777" w:rsidR="009F0FF5" w:rsidRPr="00E512D5" w:rsidRDefault="009F0FF5" w:rsidP="00CB798D">
            <w:pPr>
              <w:jc w:val="right"/>
              <w:rPr>
                <w:b/>
              </w:rPr>
            </w:pPr>
            <w:r w:rsidRPr="00E512D5">
              <w:rPr>
                <w:b/>
              </w:rPr>
              <w:t xml:space="preserve">30 802 Kč                            </w:t>
            </w:r>
          </w:p>
        </w:tc>
      </w:tr>
    </w:tbl>
    <w:p w14:paraId="26AF1585" w14:textId="77777777" w:rsidR="009F0FF5" w:rsidRPr="00ED029B" w:rsidRDefault="009F0FF5" w:rsidP="009F0FF5">
      <w:pPr>
        <w:pStyle w:val="Text"/>
        <w:rPr>
          <w:highlight w:val="yellow"/>
        </w:rPr>
      </w:pPr>
    </w:p>
    <w:p w14:paraId="25D95A9F" w14:textId="28390A76" w:rsidR="009F0FF5" w:rsidRDefault="009F0FF5" w:rsidP="009F0FF5">
      <w:pPr>
        <w:pStyle w:val="Text"/>
      </w:pPr>
      <w:r>
        <w:t xml:space="preserve">Prostředky na platy jsou po krácení za neobsazená místa a dalších korekcích ze strany MF nižší o 5 198 869 Kč oproti schválenému rozpočtu na rok 2018, resp. o 12 996 030 Kč vyšší oproti střednědobému výhledu </w:t>
      </w:r>
      <w:r w:rsidRPr="007863F8">
        <w:t xml:space="preserve">(kde </w:t>
      </w:r>
      <w:r w:rsidR="00CD4E6F">
        <w:t>bylo</w:t>
      </w:r>
      <w:r w:rsidRPr="007863F8">
        <w:t xml:space="preserve"> zpracováno sn</w:t>
      </w:r>
      <w:r w:rsidR="00691319">
        <w:t>ížení platů ve výši cca 18 mil. </w:t>
      </w:r>
      <w:r w:rsidRPr="007863F8">
        <w:t xml:space="preserve">Kč). </w:t>
      </w:r>
    </w:p>
    <w:p w14:paraId="1E764E4B" w14:textId="77777777" w:rsidR="009F0FF5" w:rsidRPr="001D04A0" w:rsidRDefault="009F0FF5" w:rsidP="009F0FF5">
      <w:pPr>
        <w:pStyle w:val="Text"/>
      </w:pPr>
      <w:r w:rsidRPr="00E512D5">
        <w:rPr>
          <w:b/>
        </w:rPr>
        <w:t>Průměrný měsíční plat je rozpočtován ve výši 30 802 Kč</w:t>
      </w:r>
      <w:r w:rsidRPr="00E512D5">
        <w:t xml:space="preserve">, což představuje proti rozpočtovanému průměrnému platu na rok </w:t>
      </w:r>
      <w:r w:rsidRPr="00CB49F2">
        <w:t xml:space="preserve">2018 zvýšení o 388 Kč (tj. 1,3 %). Toto zvýšení je však způsobeno krácením úvazků v oblasti OPŘO. </w:t>
      </w:r>
    </w:p>
    <w:p w14:paraId="3BA6667E" w14:textId="77777777" w:rsidR="00680733" w:rsidRPr="008C00C7" w:rsidRDefault="00680733" w:rsidP="00680733">
      <w:pPr>
        <w:ind w:left="284" w:firstLine="425"/>
      </w:pPr>
      <w:r w:rsidRPr="008C00C7">
        <w:t>Finanční prostředky zabezpečené v úseku OPŘO jsou určeny pro:</w:t>
      </w:r>
    </w:p>
    <w:p w14:paraId="79B6C20B" w14:textId="77777777" w:rsidR="00680733" w:rsidRPr="00ED029B" w:rsidRDefault="00680733" w:rsidP="00680733">
      <w:pPr>
        <w:ind w:left="993"/>
        <w:rPr>
          <w:b/>
          <w:color w:val="2E74B5"/>
          <w:sz w:val="16"/>
          <w:szCs w:val="16"/>
          <w:highlight w:val="yellow"/>
        </w:rPr>
      </w:pPr>
    </w:p>
    <w:p w14:paraId="733F0AC4" w14:textId="7D25BD01" w:rsidR="00680733" w:rsidRPr="009735D8" w:rsidRDefault="00680733" w:rsidP="005B6E93">
      <w:pPr>
        <w:numPr>
          <w:ilvl w:val="0"/>
          <w:numId w:val="48"/>
        </w:numPr>
        <w:ind w:left="709" w:hanging="283"/>
        <w:rPr>
          <w:szCs w:val="24"/>
        </w:rPr>
      </w:pPr>
      <w:r w:rsidRPr="009735D8">
        <w:rPr>
          <w:b/>
          <w:szCs w:val="24"/>
        </w:rPr>
        <w:t>kmenovou činnost OPŘO</w:t>
      </w:r>
      <w:r w:rsidRPr="009735D8">
        <w:rPr>
          <w:szCs w:val="24"/>
        </w:rPr>
        <w:t xml:space="preserve"> tj. vlastní provoz organizace, náklady vycházející ze zákonů, vyhlášek a dalších právních předpisů, které jsou pro rezort nezbytné a jsou zakotvené ve zřizovacích listinách jednotlivých organizací,</w:t>
      </w:r>
    </w:p>
    <w:p w14:paraId="548CFB43" w14:textId="06920A03" w:rsidR="00680733" w:rsidRPr="009735D8" w:rsidRDefault="00680733" w:rsidP="005B6E93">
      <w:pPr>
        <w:numPr>
          <w:ilvl w:val="0"/>
          <w:numId w:val="48"/>
        </w:numPr>
        <w:ind w:left="709" w:hanging="283"/>
        <w:rPr>
          <w:szCs w:val="24"/>
        </w:rPr>
      </w:pPr>
      <w:r w:rsidRPr="009735D8">
        <w:rPr>
          <w:b/>
          <w:szCs w:val="24"/>
        </w:rPr>
        <w:t>resortní projekty</w:t>
      </w:r>
      <w:r w:rsidRPr="009735D8">
        <w:rPr>
          <w:szCs w:val="24"/>
        </w:rPr>
        <w:tab/>
        <w:t>konkrétní, časově omezené úkoly, které organizace plní z pověření MŠMT, včetně udržitelnosti ukončených projektů spolufinancovaných s EU,</w:t>
      </w:r>
    </w:p>
    <w:p w14:paraId="3F900F22" w14:textId="23A18ECF" w:rsidR="00680733" w:rsidRPr="009735D8" w:rsidRDefault="00680733" w:rsidP="005B6E93">
      <w:pPr>
        <w:numPr>
          <w:ilvl w:val="0"/>
          <w:numId w:val="48"/>
        </w:numPr>
        <w:ind w:left="709" w:hanging="283"/>
        <w:rPr>
          <w:szCs w:val="24"/>
        </w:rPr>
      </w:pPr>
      <w:r w:rsidRPr="009735D8">
        <w:rPr>
          <w:b/>
          <w:szCs w:val="24"/>
        </w:rPr>
        <w:lastRenderedPageBreak/>
        <w:t>účelově vymezené úkoly</w:t>
      </w:r>
      <w:r w:rsidRPr="009735D8">
        <w:rPr>
          <w:szCs w:val="24"/>
        </w:rPr>
        <w:t>, tj. časově omezené, je</w:t>
      </w:r>
      <w:r w:rsidR="00691319">
        <w:rPr>
          <w:szCs w:val="24"/>
        </w:rPr>
        <w:t>jichž realizace vychází např. z </w:t>
      </w:r>
      <w:r w:rsidRPr="009735D8">
        <w:rPr>
          <w:szCs w:val="24"/>
        </w:rPr>
        <w:t>členství ČR v EU (např. EUROPASS</w:t>
      </w:r>
      <w:r w:rsidRPr="009735D8">
        <w:rPr>
          <w:rStyle w:val="Znakapoznpodarou"/>
          <w:szCs w:val="24"/>
        </w:rPr>
        <w:footnoteReference w:id="20"/>
      </w:r>
      <w:r w:rsidRPr="009735D8">
        <w:rPr>
          <w:szCs w:val="24"/>
        </w:rPr>
        <w:t>, Evropsk</w:t>
      </w:r>
      <w:r w:rsidR="00691319">
        <w:rPr>
          <w:szCs w:val="24"/>
        </w:rPr>
        <w:t>é školy Lucemburk a Brusel), z </w:t>
      </w:r>
      <w:r w:rsidRPr="009735D8">
        <w:rPr>
          <w:szCs w:val="24"/>
        </w:rPr>
        <w:t xml:space="preserve">platných právních norem (čeština pro cizince), z materiálů schválených vedením MŠMT (např. Matematika+, Study </w:t>
      </w:r>
      <w:r w:rsidR="00CD4E6F">
        <w:rPr>
          <w:szCs w:val="24"/>
        </w:rPr>
        <w:t>I</w:t>
      </w:r>
      <w:r w:rsidRPr="009735D8">
        <w:rPr>
          <w:szCs w:val="24"/>
        </w:rPr>
        <w:t xml:space="preserve">n), atd., </w:t>
      </w:r>
    </w:p>
    <w:p w14:paraId="14A1645F" w14:textId="77EC3049" w:rsidR="00680733" w:rsidRPr="005F3F00" w:rsidRDefault="00680733" w:rsidP="005B6E93">
      <w:pPr>
        <w:numPr>
          <w:ilvl w:val="0"/>
          <w:numId w:val="48"/>
        </w:numPr>
        <w:ind w:left="709" w:hanging="283"/>
        <w:rPr>
          <w:szCs w:val="24"/>
        </w:rPr>
      </w:pPr>
      <w:r w:rsidRPr="005F3F00">
        <w:rPr>
          <w:b/>
          <w:szCs w:val="24"/>
        </w:rPr>
        <w:t xml:space="preserve">mezinárodní aktivity, </w:t>
      </w:r>
      <w:r w:rsidRPr="005F3F00">
        <w:rPr>
          <w:szCs w:val="24"/>
        </w:rPr>
        <w:t>tj. časově omezené, jejichž realizace vychází z mezivládních dohod a z mezinárodních smluv, popř. z usnesení vlád (např. vklady a příspěvky mezinárodním organizacím, stipendium Madeleine Albrightové na Univerzitě v Glasgow, stipendia občanů ČR v zahraničí, přijetí expertů, projekty Dijon, Nimes a Pirna, WADA</w:t>
      </w:r>
      <w:r w:rsidRPr="005F3F00">
        <w:rPr>
          <w:rStyle w:val="Znakapoznpodarou"/>
          <w:szCs w:val="24"/>
        </w:rPr>
        <w:footnoteReference w:id="21"/>
      </w:r>
      <w:r w:rsidR="00CD4E6F">
        <w:rPr>
          <w:szCs w:val="24"/>
        </w:rPr>
        <w:t xml:space="preserve">, </w:t>
      </w:r>
      <w:r w:rsidR="00CD4E6F" w:rsidRPr="005F3F00">
        <w:rPr>
          <w:szCs w:val="24"/>
        </w:rPr>
        <w:t>mezinárodní konference</w:t>
      </w:r>
      <w:r w:rsidRPr="005F3F00">
        <w:rPr>
          <w:szCs w:val="24"/>
        </w:rPr>
        <w:t>),</w:t>
      </w:r>
    </w:p>
    <w:p w14:paraId="0E943BE6" w14:textId="70649FE2" w:rsidR="00680733" w:rsidRPr="00C26F0C" w:rsidRDefault="00680733" w:rsidP="005B6E93">
      <w:pPr>
        <w:numPr>
          <w:ilvl w:val="0"/>
          <w:numId w:val="48"/>
        </w:numPr>
        <w:ind w:left="709" w:hanging="283"/>
      </w:pPr>
      <w:r w:rsidRPr="004B2C7A">
        <w:rPr>
          <w:b/>
          <w:szCs w:val="24"/>
        </w:rPr>
        <w:t>Program podpory českého kulturního dědictví v zahraničí na léta 2017 – 2020</w:t>
      </w:r>
      <w:r w:rsidRPr="004B2C7A">
        <w:rPr>
          <w:szCs w:val="24"/>
        </w:rPr>
        <w:t xml:space="preserve"> dle UV č. 348/2015. Objem zahrnuje prostředky dle UV č. 1098/2016 </w:t>
      </w:r>
      <w:r>
        <w:rPr>
          <w:szCs w:val="24"/>
        </w:rPr>
        <w:t>a </w:t>
      </w:r>
      <w:r w:rsidRPr="004B2C7A">
        <w:t xml:space="preserve">UV č. 674/2017. </w:t>
      </w:r>
      <w:r w:rsidRPr="00C26F0C">
        <w:t>V návaznosti na usnesení vlády č. 8</w:t>
      </w:r>
      <w:r>
        <w:t>40</w:t>
      </w:r>
      <w:r w:rsidRPr="00C26F0C">
        <w:t xml:space="preserve"> ze dne </w:t>
      </w:r>
      <w:r>
        <w:t>12</w:t>
      </w:r>
      <w:r w:rsidRPr="00C26F0C">
        <w:t>. prosince 201</w:t>
      </w:r>
      <w:r>
        <w:t>8 o </w:t>
      </w:r>
      <w:r w:rsidRPr="00C26F0C">
        <w:t>pokračování Programu podpory českého kulturního dědictví v zahraničí v roce 201</w:t>
      </w:r>
      <w:r>
        <w:t>9</w:t>
      </w:r>
      <w:r w:rsidR="00691319">
        <w:t xml:space="preserve"> a </w:t>
      </w:r>
      <w:r w:rsidRPr="00C26F0C">
        <w:t>střednědobému výhledu jeho financování na léta 20</w:t>
      </w:r>
      <w:r>
        <w:t>20</w:t>
      </w:r>
      <w:r w:rsidRPr="00C26F0C">
        <w:t xml:space="preserve"> a 202</w:t>
      </w:r>
      <w:r>
        <w:t>1</w:t>
      </w:r>
      <w:r w:rsidRPr="00C26F0C">
        <w:t xml:space="preserve"> byl v kapitole MŠMT schválen </w:t>
      </w:r>
      <w:r>
        <w:t>objem prostředků</w:t>
      </w:r>
      <w:r w:rsidRPr="00C26F0C">
        <w:t xml:space="preserve"> v celkové výši </w:t>
      </w:r>
      <w:r w:rsidRPr="00C26F0C">
        <w:rPr>
          <w:b/>
        </w:rPr>
        <w:t xml:space="preserve">  </w:t>
      </w:r>
      <w:r>
        <w:rPr>
          <w:b/>
        </w:rPr>
        <w:t>58 213 824</w:t>
      </w:r>
      <w:r w:rsidRPr="00C26F0C">
        <w:rPr>
          <w:b/>
        </w:rPr>
        <w:t xml:space="preserve"> Kč</w:t>
      </w:r>
      <w:r>
        <w:rPr>
          <w:b/>
        </w:rPr>
        <w:t xml:space="preserve">. </w:t>
      </w:r>
      <w:r w:rsidRPr="00170E8E">
        <w:t xml:space="preserve">V rámci </w:t>
      </w:r>
      <w:r>
        <w:t xml:space="preserve">rozpočtu </w:t>
      </w:r>
      <w:r w:rsidRPr="00170E8E">
        <w:t xml:space="preserve">kapitoly </w:t>
      </w:r>
      <w:r>
        <w:t xml:space="preserve">MŠMT </w:t>
      </w:r>
      <w:r w:rsidRPr="00170E8E">
        <w:t xml:space="preserve">je zabezpečen objem </w:t>
      </w:r>
      <w:r w:rsidRPr="00170E8E">
        <w:rPr>
          <w:b/>
        </w:rPr>
        <w:t>51</w:t>
      </w:r>
      <w:r>
        <w:rPr>
          <w:b/>
        </w:rPr>
        <w:t xml:space="preserve"> 770 533</w:t>
      </w:r>
      <w:r w:rsidRPr="00170E8E">
        <w:rPr>
          <w:b/>
        </w:rPr>
        <w:t xml:space="preserve"> Kč</w:t>
      </w:r>
      <w:r>
        <w:rPr>
          <w:b/>
        </w:rPr>
        <w:t xml:space="preserve"> </w:t>
      </w:r>
      <w:r w:rsidRPr="00170E8E">
        <w:t>a z</w:t>
      </w:r>
      <w:r>
        <w:rPr>
          <w:b/>
        </w:rPr>
        <w:t xml:space="preserve"> </w:t>
      </w:r>
      <w:r>
        <w:t>nároků nespotřebovaných neprofilujících výdajů roku bude zajištěn objem ve výši 6 443 291 Kč</w:t>
      </w:r>
      <w:r w:rsidRPr="00C26F0C">
        <w:t>.</w:t>
      </w:r>
    </w:p>
    <w:p w14:paraId="67CAA08C" w14:textId="2F04ED4F" w:rsidR="00680733" w:rsidRPr="005F3F00" w:rsidRDefault="00680733" w:rsidP="00680733">
      <w:pPr>
        <w:ind w:left="709"/>
        <w:rPr>
          <w:szCs w:val="24"/>
        </w:rPr>
      </w:pPr>
      <w:r w:rsidRPr="00C26F0C">
        <w:t xml:space="preserve">Z celkového finančního objemu </w:t>
      </w:r>
      <w:r>
        <w:t>58 213 824</w:t>
      </w:r>
      <w:r w:rsidRPr="00C26F0C">
        <w:t xml:space="preserve"> Kč </w:t>
      </w:r>
      <w:r>
        <w:t xml:space="preserve">dle </w:t>
      </w:r>
      <w:r w:rsidRPr="00C26F0C">
        <w:t>usnesení vlády č. 8</w:t>
      </w:r>
      <w:r>
        <w:t>40/2018  je částka ve výši</w:t>
      </w:r>
      <w:r w:rsidRPr="00C26F0C">
        <w:t xml:space="preserve"> </w:t>
      </w:r>
      <w:r>
        <w:t xml:space="preserve">50 096 786 </w:t>
      </w:r>
      <w:r w:rsidRPr="00C26F0C">
        <w:t>Kč</w:t>
      </w:r>
      <w:r>
        <w:t xml:space="preserve"> </w:t>
      </w:r>
      <w:r w:rsidRPr="00C26F0C">
        <w:t>stanovena k finančnímu zabezpečení dílčí části Programu podpory českého kulturního dědictví v zahraničí, která je v gesci Domu zahraniční spolupráce (dále jen „DZS“), částka 2 000 000 Kč je určena k úhradám nákladů na studia krajanů na veřejných vysokých školách v Česk</w:t>
      </w:r>
      <w:r>
        <w:t xml:space="preserve">é republice </w:t>
      </w:r>
      <w:r w:rsidR="00691319">
        <w:t>a částka v </w:t>
      </w:r>
      <w:r>
        <w:t>objemu 6 </w:t>
      </w:r>
      <w:r w:rsidRPr="00C26F0C">
        <w:t>117</w:t>
      </w:r>
      <w:r>
        <w:t> 038 </w:t>
      </w:r>
      <w:r w:rsidRPr="00C26F0C">
        <w:t xml:space="preserve">Kč k úhradám </w:t>
      </w:r>
      <w:r w:rsidRPr="004B2C7A">
        <w:rPr>
          <w:szCs w:val="24"/>
        </w:rPr>
        <w:t>UJOP/UK</w:t>
      </w:r>
      <w:r w:rsidRPr="004B2C7A">
        <w:rPr>
          <w:rStyle w:val="Znakapoznpodarou"/>
          <w:szCs w:val="24"/>
        </w:rPr>
        <w:footnoteReference w:id="22"/>
      </w:r>
      <w:r w:rsidRPr="004B2C7A">
        <w:rPr>
          <w:szCs w:val="24"/>
        </w:rPr>
        <w:t xml:space="preserve"> </w:t>
      </w:r>
      <w:r w:rsidRPr="00C26F0C">
        <w:t>za jazykové a metodické kurzy výuky češtiny pro krajany a k úhradám peněžních darů na</w:t>
      </w:r>
      <w:r w:rsidR="00691319">
        <w:t xml:space="preserve"> podporu výuky českého jazyka a </w:t>
      </w:r>
      <w:r w:rsidRPr="00C26F0C">
        <w:t>reálií v rámci vzdělávacích aktivit, které realizují krajanské spolky v zahraničí formou tzv. „Českých škol bez hranic“ a dalších českých škol v</w:t>
      </w:r>
      <w:r>
        <w:t> </w:t>
      </w:r>
      <w:r w:rsidRPr="00C26F0C">
        <w:t>zahraničí</w:t>
      </w:r>
      <w:r>
        <w:rPr>
          <w:szCs w:val="24"/>
        </w:rPr>
        <w:t>,</w:t>
      </w:r>
    </w:p>
    <w:p w14:paraId="637E0B53" w14:textId="77777777" w:rsidR="00680733" w:rsidRPr="00E808EB" w:rsidRDefault="00680733" w:rsidP="005B6E93">
      <w:pPr>
        <w:numPr>
          <w:ilvl w:val="0"/>
          <w:numId w:val="48"/>
        </w:numPr>
        <w:ind w:left="709" w:hanging="283"/>
        <w:rPr>
          <w:color w:val="2E74B5"/>
          <w:szCs w:val="24"/>
        </w:rPr>
      </w:pPr>
      <w:r w:rsidRPr="00CB49F2">
        <w:rPr>
          <w:b/>
          <w:szCs w:val="24"/>
        </w:rPr>
        <w:t xml:space="preserve">Národní agenturu evropských programů </w:t>
      </w:r>
      <w:r w:rsidRPr="00CB49F2">
        <w:rPr>
          <w:szCs w:val="24"/>
        </w:rPr>
        <w:t>(dále jen „NAEP“) zabezpečující výdaje na komunitární programy spolufinancované s EU na programové období 2015 – 2020 (</w:t>
      </w:r>
      <w:r w:rsidRPr="00E808EB">
        <w:rPr>
          <w:szCs w:val="24"/>
        </w:rPr>
        <w:t xml:space="preserve">Erasmus+, Euroguidance, Eurodesk, Věda bez hranic a Twinning out), </w:t>
      </w:r>
    </w:p>
    <w:p w14:paraId="758561A4" w14:textId="2315867C" w:rsidR="00680733" w:rsidRPr="00804BCB" w:rsidRDefault="00680733" w:rsidP="005B6E93">
      <w:pPr>
        <w:numPr>
          <w:ilvl w:val="0"/>
          <w:numId w:val="48"/>
        </w:numPr>
        <w:ind w:left="709" w:hanging="283"/>
        <w:rPr>
          <w:szCs w:val="24"/>
        </w:rPr>
      </w:pPr>
      <w:r>
        <w:rPr>
          <w:b/>
          <w:szCs w:val="24"/>
        </w:rPr>
        <w:t xml:space="preserve">Evropský sbor </w:t>
      </w:r>
      <w:r w:rsidRPr="00804BCB">
        <w:rPr>
          <w:b/>
          <w:szCs w:val="24"/>
        </w:rPr>
        <w:t xml:space="preserve">solidarity </w:t>
      </w:r>
      <w:r w:rsidRPr="00804BCB">
        <w:rPr>
          <w:szCs w:val="24"/>
        </w:rPr>
        <w:t>– je zabezpečen ve výši 1</w:t>
      </w:r>
      <w:r>
        <w:rPr>
          <w:szCs w:val="24"/>
        </w:rPr>
        <w:t xml:space="preserve"> </w:t>
      </w:r>
      <w:r w:rsidR="00691319">
        <w:rPr>
          <w:szCs w:val="24"/>
        </w:rPr>
        <w:t>386 400 Kč (v členění 400 000 </w:t>
      </w:r>
      <w:r w:rsidRPr="00804BCB">
        <w:rPr>
          <w:szCs w:val="24"/>
        </w:rPr>
        <w:t>Kč OON, 136 000 Kč souvi</w:t>
      </w:r>
      <w:r>
        <w:rPr>
          <w:szCs w:val="24"/>
        </w:rPr>
        <w:t>sející odvody a 850 400 Kč OBV),</w:t>
      </w:r>
    </w:p>
    <w:p w14:paraId="18FFBF66" w14:textId="77777777" w:rsidR="00680733" w:rsidRPr="00E808EB" w:rsidRDefault="00680733" w:rsidP="005B6E93">
      <w:pPr>
        <w:numPr>
          <w:ilvl w:val="0"/>
          <w:numId w:val="48"/>
        </w:numPr>
        <w:ind w:left="709" w:hanging="283"/>
        <w:rPr>
          <w:color w:val="2E74B5"/>
          <w:szCs w:val="24"/>
        </w:rPr>
      </w:pPr>
      <w:r w:rsidRPr="00E808EB">
        <w:rPr>
          <w:b/>
          <w:szCs w:val="24"/>
        </w:rPr>
        <w:t xml:space="preserve">Český egyptologický ústav Univerzity Karlovy </w:t>
      </w:r>
      <w:r w:rsidRPr="00E808EB">
        <w:rPr>
          <w:szCs w:val="24"/>
        </w:rPr>
        <w:t>- vědecko-výzkumné pracoviště Filozofické fakulty Univerzity Karlovy, které se významnou</w:t>
      </w:r>
      <w:r w:rsidRPr="00E808EB" w:rsidDel="00863094">
        <w:rPr>
          <w:szCs w:val="24"/>
        </w:rPr>
        <w:t xml:space="preserve"> </w:t>
      </w:r>
      <w:r w:rsidRPr="00E808EB">
        <w:rPr>
          <w:szCs w:val="24"/>
        </w:rPr>
        <w:t>měrou</w:t>
      </w:r>
      <w:r w:rsidRPr="00E808EB" w:rsidDel="00863094">
        <w:rPr>
          <w:szCs w:val="24"/>
        </w:rPr>
        <w:t xml:space="preserve"> </w:t>
      </w:r>
      <w:r w:rsidRPr="00E808EB">
        <w:rPr>
          <w:szCs w:val="24"/>
        </w:rPr>
        <w:t>podílí na vzdělávání studentů ve všech studijních programech. Podpora  multidisciplinární činnosti Českého egyptologického ústavu formou poskytnutí dotace ve výši 20 mil. Kč naplňuje závazek České republiky sjednaný v Dohodě o kulturní spolupráci mezi Československou republikou a Egyptskou republikou ze dne 19. října 1957 a Prováděcího programu Kulturní, školské a vědecké spolupráce mezi Vládou ČR a Vládou Egyptské Arabské republiky,</w:t>
      </w:r>
    </w:p>
    <w:p w14:paraId="265E7869" w14:textId="1F999975" w:rsidR="00680733" w:rsidRPr="00194EF3" w:rsidRDefault="00680733" w:rsidP="005B6E93">
      <w:pPr>
        <w:numPr>
          <w:ilvl w:val="0"/>
          <w:numId w:val="48"/>
        </w:numPr>
        <w:ind w:left="709" w:hanging="283"/>
        <w:rPr>
          <w:szCs w:val="24"/>
        </w:rPr>
      </w:pPr>
      <w:r w:rsidRPr="00194EF3">
        <w:rPr>
          <w:b/>
          <w:szCs w:val="24"/>
        </w:rPr>
        <w:t>společné úkoly</w:t>
      </w:r>
      <w:r w:rsidRPr="00194EF3">
        <w:rPr>
          <w:szCs w:val="24"/>
        </w:rPr>
        <w:t xml:space="preserve"> – tj. úkoly vycházející z potřeb jednotlivých sekcí ministerstva.</w:t>
      </w:r>
    </w:p>
    <w:p w14:paraId="113E0B25" w14:textId="77777777" w:rsidR="007D41D8" w:rsidRPr="00853611" w:rsidRDefault="007D41D8" w:rsidP="007D41D8">
      <w:pPr>
        <w:ind w:left="567"/>
        <w:rPr>
          <w:b/>
          <w:color w:val="2E74B5"/>
          <w:sz w:val="16"/>
          <w:szCs w:val="16"/>
          <w:highlight w:val="yellow"/>
        </w:rPr>
      </w:pPr>
    </w:p>
    <w:p w14:paraId="143E4A5C" w14:textId="5F4CE9AC" w:rsidR="00680733" w:rsidRPr="00BB7737" w:rsidRDefault="00680733" w:rsidP="00680733">
      <w:pPr>
        <w:ind w:firstLine="567"/>
        <w:rPr>
          <w:b/>
          <w:szCs w:val="24"/>
        </w:rPr>
      </w:pPr>
      <w:r w:rsidRPr="00BB7737">
        <w:rPr>
          <w:szCs w:val="24"/>
        </w:rPr>
        <w:t xml:space="preserve">Po vyjmutí finančních prostředků na výše popsaný </w:t>
      </w:r>
      <w:r>
        <w:rPr>
          <w:szCs w:val="24"/>
        </w:rPr>
        <w:t>P</w:t>
      </w:r>
      <w:r w:rsidRPr="00BB7737">
        <w:rPr>
          <w:szCs w:val="24"/>
        </w:rPr>
        <w:t xml:space="preserve">rogram českého kulturního dědictví, prostředků na programy NAEP  a prostředků na Egyptologický ústav spravovaný sekcí vysokého školství, vědy a výzkumu jsou v rozpočtu kapitoly na rok 2019 </w:t>
      </w:r>
      <w:r w:rsidRPr="00BB7737">
        <w:rPr>
          <w:b/>
          <w:szCs w:val="24"/>
        </w:rPr>
        <w:t>zabezpečeny prostředky v tomto úseku ve výši 888 425 176 Kč, a jsou určeny pro:</w:t>
      </w:r>
    </w:p>
    <w:p w14:paraId="34B75C93" w14:textId="77777777" w:rsidR="00680733" w:rsidRPr="00ED029B" w:rsidRDefault="00680733" w:rsidP="00680733">
      <w:pPr>
        <w:ind w:left="426"/>
        <w:rPr>
          <w:b/>
          <w:sz w:val="16"/>
          <w:szCs w:val="16"/>
          <w:highlight w:val="yellow"/>
        </w:rPr>
      </w:pPr>
    </w:p>
    <w:p w14:paraId="7967533C" w14:textId="77777777" w:rsidR="00680733" w:rsidRPr="00975361" w:rsidRDefault="00680733" w:rsidP="005B6E93">
      <w:pPr>
        <w:numPr>
          <w:ilvl w:val="0"/>
          <w:numId w:val="46"/>
        </w:numPr>
        <w:tabs>
          <w:tab w:val="left" w:pos="1418"/>
          <w:tab w:val="right" w:pos="8931"/>
        </w:tabs>
        <w:ind w:left="1353"/>
        <w:rPr>
          <w:b/>
        </w:rPr>
      </w:pPr>
      <w:r w:rsidRPr="00975361">
        <w:rPr>
          <w:b/>
        </w:rPr>
        <w:lastRenderedPageBreak/>
        <w:t xml:space="preserve">kmenovou činnost OPŘO </w:t>
      </w:r>
      <w:r w:rsidRPr="00975361">
        <w:t>(včetně nezbytných rezerv)</w:t>
      </w:r>
      <w:r w:rsidRPr="00975361">
        <w:rPr>
          <w:b/>
        </w:rPr>
        <w:tab/>
        <w:t>699 050 </w:t>
      </w:r>
      <w:r w:rsidR="001A65AD">
        <w:rPr>
          <w:b/>
        </w:rPr>
        <w:t>316</w:t>
      </w:r>
      <w:r w:rsidRPr="00975361">
        <w:rPr>
          <w:b/>
        </w:rPr>
        <w:t xml:space="preserve"> Kč</w:t>
      </w:r>
    </w:p>
    <w:p w14:paraId="0BF10ADA" w14:textId="77777777" w:rsidR="00680733" w:rsidRPr="00975361" w:rsidRDefault="00680733" w:rsidP="005B6E93">
      <w:pPr>
        <w:numPr>
          <w:ilvl w:val="0"/>
          <w:numId w:val="46"/>
        </w:numPr>
        <w:tabs>
          <w:tab w:val="left" w:pos="1418"/>
          <w:tab w:val="right" w:pos="8931"/>
        </w:tabs>
        <w:ind w:left="1353"/>
        <w:rPr>
          <w:b/>
        </w:rPr>
      </w:pPr>
      <w:r w:rsidRPr="00975361">
        <w:rPr>
          <w:b/>
        </w:rPr>
        <w:t>resortní projekty</w:t>
      </w:r>
      <w:r w:rsidRPr="00975361">
        <w:rPr>
          <w:b/>
        </w:rPr>
        <w:tab/>
        <w:t>61 182 973 Kč</w:t>
      </w:r>
    </w:p>
    <w:p w14:paraId="393A0FF5" w14:textId="77777777" w:rsidR="00680733" w:rsidRPr="00975361" w:rsidRDefault="001C002F" w:rsidP="005B6E93">
      <w:pPr>
        <w:numPr>
          <w:ilvl w:val="0"/>
          <w:numId w:val="46"/>
        </w:numPr>
        <w:tabs>
          <w:tab w:val="left" w:pos="1418"/>
          <w:tab w:val="right" w:pos="8931"/>
        </w:tabs>
        <w:ind w:left="1353"/>
        <w:rPr>
          <w:b/>
        </w:rPr>
      </w:pPr>
      <w:r>
        <w:rPr>
          <w:b/>
        </w:rPr>
        <w:t>projekty udržitelnosti</w:t>
      </w:r>
      <w:r>
        <w:rPr>
          <w:b/>
        </w:rPr>
        <w:tab/>
        <w:t>37 29</w:t>
      </w:r>
      <w:r w:rsidR="00680733" w:rsidRPr="00975361">
        <w:rPr>
          <w:b/>
        </w:rPr>
        <w:t>1 335 Kč</w:t>
      </w:r>
    </w:p>
    <w:p w14:paraId="0382FDC7" w14:textId="77777777" w:rsidR="00680733" w:rsidRPr="00975361" w:rsidRDefault="00680733" w:rsidP="005B6E93">
      <w:pPr>
        <w:numPr>
          <w:ilvl w:val="0"/>
          <w:numId w:val="46"/>
        </w:numPr>
        <w:tabs>
          <w:tab w:val="left" w:pos="1418"/>
          <w:tab w:val="right" w:pos="8931"/>
        </w:tabs>
        <w:ind w:left="1353"/>
        <w:rPr>
          <w:b/>
        </w:rPr>
      </w:pPr>
      <w:r w:rsidRPr="00975361">
        <w:rPr>
          <w:b/>
        </w:rPr>
        <w:t>účelově vymezené úkoly</w:t>
      </w:r>
      <w:r w:rsidRPr="00975361">
        <w:rPr>
          <w:b/>
        </w:rPr>
        <w:tab/>
        <w:t>25 761 257 Kč</w:t>
      </w:r>
    </w:p>
    <w:p w14:paraId="534E719D" w14:textId="77777777" w:rsidR="00680733" w:rsidRPr="00975361" w:rsidRDefault="00680733" w:rsidP="005B6E93">
      <w:pPr>
        <w:numPr>
          <w:ilvl w:val="0"/>
          <w:numId w:val="46"/>
        </w:numPr>
        <w:tabs>
          <w:tab w:val="left" w:pos="1418"/>
          <w:tab w:val="right" w:pos="8931"/>
        </w:tabs>
        <w:ind w:left="1353"/>
        <w:rPr>
          <w:b/>
        </w:rPr>
      </w:pPr>
      <w:r w:rsidRPr="00975361">
        <w:rPr>
          <w:b/>
        </w:rPr>
        <w:t>integraci cizinců</w:t>
      </w:r>
      <w:r w:rsidRPr="00975361">
        <w:rPr>
          <w:b/>
        </w:rPr>
        <w:tab/>
        <w:t>2 050 000 Kč</w:t>
      </w:r>
    </w:p>
    <w:p w14:paraId="03698854" w14:textId="77777777" w:rsidR="00680733" w:rsidRPr="00975361" w:rsidRDefault="00680733" w:rsidP="005B6E93">
      <w:pPr>
        <w:numPr>
          <w:ilvl w:val="0"/>
          <w:numId w:val="46"/>
        </w:numPr>
        <w:tabs>
          <w:tab w:val="left" w:pos="1418"/>
          <w:tab w:val="right" w:pos="8931"/>
        </w:tabs>
        <w:ind w:left="1353"/>
        <w:rPr>
          <w:b/>
        </w:rPr>
      </w:pPr>
      <w:r w:rsidRPr="00975361">
        <w:rPr>
          <w:b/>
        </w:rPr>
        <w:t>mezinárodní aktivity</w:t>
      </w:r>
      <w:r w:rsidRPr="00975361">
        <w:rPr>
          <w:b/>
        </w:rPr>
        <w:tab/>
        <w:t>20 153 567 Kč</w:t>
      </w:r>
    </w:p>
    <w:p w14:paraId="029FAE66" w14:textId="77777777" w:rsidR="00680733" w:rsidRPr="00975361" w:rsidRDefault="00680733" w:rsidP="005B6E93">
      <w:pPr>
        <w:numPr>
          <w:ilvl w:val="0"/>
          <w:numId w:val="46"/>
        </w:numPr>
        <w:tabs>
          <w:tab w:val="left" w:pos="1418"/>
          <w:tab w:val="right" w:pos="8931"/>
        </w:tabs>
        <w:ind w:left="1353"/>
        <w:rPr>
          <w:b/>
        </w:rPr>
      </w:pPr>
      <w:r w:rsidRPr="00975361">
        <w:rPr>
          <w:b/>
        </w:rPr>
        <w:t>společné úkoly</w:t>
      </w:r>
      <w:r w:rsidRPr="00975361">
        <w:rPr>
          <w:b/>
        </w:rPr>
        <w:tab/>
      </w:r>
      <w:r w:rsidRPr="00975361">
        <w:rPr>
          <w:b/>
          <w:bCs/>
          <w:szCs w:val="24"/>
        </w:rPr>
        <w:t>6 194 320</w:t>
      </w:r>
      <w:r w:rsidRPr="00975361">
        <w:rPr>
          <w:b/>
        </w:rPr>
        <w:t xml:space="preserve"> Kč</w:t>
      </w:r>
    </w:p>
    <w:p w14:paraId="42F23527" w14:textId="77777777" w:rsidR="00680733" w:rsidRPr="00975361" w:rsidRDefault="00680733" w:rsidP="005B6E93">
      <w:pPr>
        <w:numPr>
          <w:ilvl w:val="0"/>
          <w:numId w:val="46"/>
        </w:numPr>
        <w:tabs>
          <w:tab w:val="left" w:pos="1418"/>
          <w:tab w:val="right" w:pos="8931"/>
        </w:tabs>
        <w:ind w:left="1353"/>
        <w:rPr>
          <w:b/>
        </w:rPr>
      </w:pPr>
      <w:r w:rsidRPr="00975361">
        <w:t>vázan</w:t>
      </w:r>
      <w:r>
        <w:t>ou</w:t>
      </w:r>
      <w:r w:rsidRPr="00975361">
        <w:t xml:space="preserve"> rezerv</w:t>
      </w:r>
      <w:r>
        <w:t>u</w:t>
      </w:r>
      <w:r w:rsidRPr="00975361">
        <w:rPr>
          <w:b/>
        </w:rPr>
        <w:t xml:space="preserve"> </w:t>
      </w:r>
      <w:r w:rsidRPr="00975361">
        <w:rPr>
          <w:b/>
          <w:vertAlign w:val="superscript"/>
        </w:rPr>
        <w:footnoteReference w:id="23"/>
      </w:r>
      <w:r w:rsidRPr="00975361">
        <w:rPr>
          <w:b/>
        </w:rPr>
        <w:tab/>
      </w:r>
      <w:r w:rsidRPr="00975361">
        <w:t xml:space="preserve">36 741 408 </w:t>
      </w:r>
      <w:r w:rsidRPr="00230D9D">
        <w:t>Kč</w:t>
      </w:r>
    </w:p>
    <w:p w14:paraId="60EDF88D" w14:textId="77777777" w:rsidR="00680733" w:rsidRPr="00ED029B" w:rsidRDefault="00680733" w:rsidP="00680733">
      <w:pPr>
        <w:rPr>
          <w:b/>
          <w:highlight w:val="yellow"/>
        </w:rPr>
      </w:pPr>
    </w:p>
    <w:p w14:paraId="246532D5" w14:textId="77777777" w:rsidR="00680733" w:rsidRPr="00951348" w:rsidRDefault="00680733" w:rsidP="00680733">
      <w:pPr>
        <w:rPr>
          <w:b/>
        </w:rPr>
      </w:pPr>
      <w:r w:rsidRPr="00951348">
        <w:rPr>
          <w:b/>
        </w:rPr>
        <w:t>Vlivy, které mají dopad do rozpočtu OPŘO roku 2019</w:t>
      </w:r>
    </w:p>
    <w:p w14:paraId="595BE7A6" w14:textId="77777777" w:rsidR="00680733" w:rsidRPr="00ED029B" w:rsidRDefault="00680733" w:rsidP="0031482F">
      <w:pPr>
        <w:pStyle w:val="KS4"/>
        <w:rPr>
          <w:highlight w:val="yellow"/>
        </w:rPr>
      </w:pPr>
    </w:p>
    <w:p w14:paraId="35D2B614" w14:textId="4F1D0FA6" w:rsidR="00680733" w:rsidRDefault="00680733" w:rsidP="00680733">
      <w:pPr>
        <w:pStyle w:val="Text"/>
      </w:pPr>
      <w:r w:rsidRPr="00A95451">
        <w:t xml:space="preserve">Proti </w:t>
      </w:r>
      <w:r>
        <w:t xml:space="preserve">schválenému rozpočtu na rok 2018 </w:t>
      </w:r>
      <w:r w:rsidRPr="00A95451">
        <w:t xml:space="preserve">jsou běžné výdaje pro </w:t>
      </w:r>
      <w:r w:rsidRPr="002E5A0C">
        <w:t xml:space="preserve">OPŘO </w:t>
      </w:r>
      <w:r>
        <w:t xml:space="preserve">vyšší o 36 491 459 Kč, tj. o 3,71 %. Po dorovnání údajů na srovnatelnou základnu 2019 (jejíž součástí je přesun prostředků ze státní správy do OPŘO na Study In) a schválený střednědobý výhled </w:t>
      </w:r>
      <w:r w:rsidRPr="002E5A0C">
        <w:t>(</w:t>
      </w:r>
      <w:r>
        <w:t>kde je zapracováno</w:t>
      </w:r>
      <w:r w:rsidRPr="002E5A0C">
        <w:t xml:space="preserve"> zrušení jednorázového krácení výdajů pro rok 2018</w:t>
      </w:r>
      <w:r>
        <w:t>, zrušení jednorázového navýšení prostředků na významná v</w:t>
      </w:r>
      <w:r w:rsidR="00691319">
        <w:t>ýročí a vrácení výdajů z MZV na </w:t>
      </w:r>
      <w:r>
        <w:t>Komenského školu ve Vídni) je rozpočet na rok 2019 vyšší o </w:t>
      </w:r>
      <w:r w:rsidRPr="00CC792F">
        <w:rPr>
          <w:b/>
        </w:rPr>
        <w:t>22 473 559 Kč</w:t>
      </w:r>
      <w:r>
        <w:t xml:space="preserve">, tj. o 2,29 %.  </w:t>
      </w:r>
    </w:p>
    <w:p w14:paraId="6F9FF0E2" w14:textId="77777777" w:rsidR="00680733" w:rsidRPr="00ED029B" w:rsidRDefault="00680733" w:rsidP="00680733">
      <w:pPr>
        <w:pStyle w:val="Text"/>
        <w:rPr>
          <w:highlight w:val="yellow"/>
        </w:rPr>
      </w:pPr>
    </w:p>
    <w:p w14:paraId="65E90336" w14:textId="77777777" w:rsidR="00680733" w:rsidRPr="004E2739" w:rsidRDefault="00680733" w:rsidP="00680733">
      <w:pPr>
        <w:tabs>
          <w:tab w:val="left" w:pos="5835"/>
        </w:tabs>
        <w:ind w:left="426"/>
        <w:rPr>
          <w:b/>
        </w:rPr>
      </w:pPr>
      <w:r w:rsidRPr="004E2739">
        <w:rPr>
          <w:b/>
          <w:u w:val="single"/>
        </w:rPr>
        <w:t>Změny, které byly realizovány v oblasti OPŘO na rok 2019:</w:t>
      </w:r>
    </w:p>
    <w:p w14:paraId="372D2B39" w14:textId="77777777" w:rsidR="00680733" w:rsidRPr="00ED029B" w:rsidRDefault="00680733" w:rsidP="00680733">
      <w:pPr>
        <w:tabs>
          <w:tab w:val="left" w:pos="5835"/>
        </w:tabs>
        <w:ind w:left="567"/>
        <w:rPr>
          <w:b/>
          <w:color w:val="2E74B5"/>
          <w:highlight w:val="yellow"/>
        </w:rPr>
      </w:pPr>
    </w:p>
    <w:p w14:paraId="5AE0062B" w14:textId="77777777" w:rsidR="00680733" w:rsidRPr="0078654E" w:rsidRDefault="00680733" w:rsidP="005B6E93">
      <w:pPr>
        <w:numPr>
          <w:ilvl w:val="0"/>
          <w:numId w:val="32"/>
        </w:numPr>
        <w:tabs>
          <w:tab w:val="left" w:pos="709"/>
          <w:tab w:val="right" w:pos="9072"/>
        </w:tabs>
        <w:ind w:left="426" w:firstLine="0"/>
      </w:pPr>
      <w:r w:rsidRPr="0078654E">
        <w:t>Navýšení OPŘO z jiných úseků:</w:t>
      </w:r>
      <w:r w:rsidRPr="0078654E">
        <w:tab/>
        <w:t>+ 20 425 256 Kč</w:t>
      </w:r>
    </w:p>
    <w:p w14:paraId="5F597F01" w14:textId="77777777" w:rsidR="00680733" w:rsidRPr="00D33E38" w:rsidRDefault="00680733" w:rsidP="005B6E93">
      <w:pPr>
        <w:pStyle w:val="Odstavecseseznamem"/>
        <w:numPr>
          <w:ilvl w:val="0"/>
          <w:numId w:val="69"/>
        </w:numPr>
        <w:tabs>
          <w:tab w:val="left" w:pos="993"/>
          <w:tab w:val="right" w:pos="9072"/>
        </w:tabs>
        <w:ind w:left="993" w:hanging="284"/>
        <w:rPr>
          <w:i/>
          <w:szCs w:val="24"/>
        </w:rPr>
      </w:pPr>
      <w:r w:rsidRPr="00D33E38">
        <w:rPr>
          <w:i/>
          <w:szCs w:val="24"/>
        </w:rPr>
        <w:t>přesun z RgŠ a sportu na administraci dotačního řízení pro NIDV</w:t>
      </w:r>
      <w:r w:rsidRPr="00D33E38">
        <w:rPr>
          <w:i/>
          <w:szCs w:val="24"/>
        </w:rPr>
        <w:tab/>
        <w:t>+ 3 500 000 Kč</w:t>
      </w:r>
    </w:p>
    <w:p w14:paraId="076A2BF9" w14:textId="77777777" w:rsidR="00680733" w:rsidRPr="00D33E38" w:rsidRDefault="00680733" w:rsidP="005B6E93">
      <w:pPr>
        <w:pStyle w:val="Odstavecseseznamem"/>
        <w:numPr>
          <w:ilvl w:val="0"/>
          <w:numId w:val="69"/>
        </w:numPr>
        <w:tabs>
          <w:tab w:val="left" w:pos="993"/>
          <w:tab w:val="right" w:pos="9072"/>
        </w:tabs>
        <w:ind w:left="993" w:hanging="284"/>
        <w:rPr>
          <w:i/>
          <w:szCs w:val="24"/>
        </w:rPr>
      </w:pPr>
      <w:r w:rsidRPr="00D33E38">
        <w:rPr>
          <w:i/>
          <w:szCs w:val="24"/>
        </w:rPr>
        <w:t>přesun z RgŠ na revize RVP pro NÚV</w:t>
      </w:r>
      <w:r w:rsidRPr="00D33E38">
        <w:rPr>
          <w:i/>
          <w:szCs w:val="24"/>
        </w:rPr>
        <w:tab/>
        <w:t>+ 10 901 182 Kč</w:t>
      </w:r>
    </w:p>
    <w:p w14:paraId="0F25A46F" w14:textId="77777777" w:rsidR="00680733" w:rsidRPr="00D33E38" w:rsidRDefault="00680733" w:rsidP="005B6E93">
      <w:pPr>
        <w:pStyle w:val="Odstavecseseznamem"/>
        <w:numPr>
          <w:ilvl w:val="0"/>
          <w:numId w:val="69"/>
        </w:numPr>
        <w:tabs>
          <w:tab w:val="left" w:pos="993"/>
          <w:tab w:val="right" w:pos="9072"/>
        </w:tabs>
        <w:ind w:left="993" w:hanging="284"/>
        <w:rPr>
          <w:i/>
          <w:szCs w:val="24"/>
        </w:rPr>
      </w:pPr>
      <w:r w:rsidRPr="00D33E38">
        <w:rPr>
          <w:i/>
          <w:szCs w:val="24"/>
        </w:rPr>
        <w:t xml:space="preserve">přesun z RgŠ na pokusné ověřování – vzdělávací program </w:t>
      </w:r>
    </w:p>
    <w:p w14:paraId="3221F9E9" w14:textId="77777777" w:rsidR="00680733" w:rsidRPr="00D33E38" w:rsidRDefault="00680733" w:rsidP="00680733">
      <w:pPr>
        <w:tabs>
          <w:tab w:val="left" w:pos="993"/>
          <w:tab w:val="right" w:pos="9072"/>
        </w:tabs>
        <w:ind w:left="349" w:firstLine="644"/>
        <w:rPr>
          <w:i/>
          <w:szCs w:val="24"/>
        </w:rPr>
      </w:pPr>
      <w:r w:rsidRPr="00D33E38">
        <w:rPr>
          <w:i/>
          <w:szCs w:val="24"/>
        </w:rPr>
        <w:t xml:space="preserve">paměťových institucí pro NPMK </w:t>
      </w:r>
      <w:r w:rsidRPr="00D33E38">
        <w:rPr>
          <w:i/>
          <w:szCs w:val="24"/>
        </w:rPr>
        <w:tab/>
        <w:t>+ 1 508 621 Kč</w:t>
      </w:r>
    </w:p>
    <w:p w14:paraId="5C7D3357" w14:textId="77777777" w:rsidR="00680733" w:rsidRPr="00D33E38" w:rsidRDefault="00680733" w:rsidP="005B6E93">
      <w:pPr>
        <w:pStyle w:val="Odstavecseseznamem"/>
        <w:numPr>
          <w:ilvl w:val="0"/>
          <w:numId w:val="69"/>
        </w:numPr>
        <w:tabs>
          <w:tab w:val="left" w:pos="993"/>
          <w:tab w:val="right" w:pos="9072"/>
        </w:tabs>
        <w:ind w:left="993" w:hanging="284"/>
        <w:rPr>
          <w:i/>
          <w:szCs w:val="24"/>
        </w:rPr>
      </w:pPr>
      <w:r w:rsidRPr="00D33E38">
        <w:rPr>
          <w:i/>
          <w:szCs w:val="24"/>
        </w:rPr>
        <w:t>přesun z oblasti mládeže do NIDV na soutěže a podporu nadání</w:t>
      </w:r>
      <w:r w:rsidRPr="00D33E38">
        <w:rPr>
          <w:i/>
          <w:szCs w:val="24"/>
        </w:rPr>
        <w:tab/>
        <w:t>+ 4 515 453 Kč</w:t>
      </w:r>
    </w:p>
    <w:p w14:paraId="4A276653" w14:textId="77777777" w:rsidR="00680733" w:rsidRPr="0078654E" w:rsidRDefault="00680733" w:rsidP="005B6E93">
      <w:pPr>
        <w:numPr>
          <w:ilvl w:val="0"/>
          <w:numId w:val="32"/>
        </w:numPr>
        <w:tabs>
          <w:tab w:val="left" w:pos="709"/>
          <w:tab w:val="right" w:pos="9072"/>
        </w:tabs>
        <w:ind w:left="426" w:firstLine="0"/>
      </w:pPr>
      <w:r w:rsidRPr="0078654E">
        <w:t>navýšení prostředků na platové tarify a související odvody dle MF</w:t>
      </w:r>
      <w:r w:rsidRPr="0078654E">
        <w:tab/>
      </w:r>
    </w:p>
    <w:p w14:paraId="648D5032" w14:textId="77777777" w:rsidR="00680733" w:rsidRPr="0078654E" w:rsidRDefault="00680733" w:rsidP="00680733">
      <w:pPr>
        <w:tabs>
          <w:tab w:val="left" w:pos="709"/>
          <w:tab w:val="right" w:pos="9072"/>
        </w:tabs>
        <w:ind w:left="567" w:firstLine="142"/>
      </w:pPr>
      <w:r w:rsidRPr="0078654E">
        <w:t>včetně korekcí a krácení za neobsazená místa</w:t>
      </w:r>
      <w:r w:rsidRPr="0078654E">
        <w:tab/>
        <w:t>+ 314 886 Kč</w:t>
      </w:r>
    </w:p>
    <w:p w14:paraId="1C4A8A66" w14:textId="77777777" w:rsidR="00680733" w:rsidRPr="0078654E" w:rsidRDefault="00680733" w:rsidP="00680733">
      <w:pPr>
        <w:tabs>
          <w:tab w:val="left" w:pos="993"/>
          <w:tab w:val="right" w:pos="9072"/>
        </w:tabs>
        <w:ind w:left="567" w:firstLine="426"/>
        <w:rPr>
          <w:sz w:val="16"/>
          <w:szCs w:val="16"/>
        </w:rPr>
      </w:pPr>
    </w:p>
    <w:p w14:paraId="72AC24AC" w14:textId="77777777" w:rsidR="00680733" w:rsidRPr="0078654E" w:rsidRDefault="00680733" w:rsidP="005B6E93">
      <w:pPr>
        <w:numPr>
          <w:ilvl w:val="0"/>
          <w:numId w:val="32"/>
        </w:numPr>
        <w:tabs>
          <w:tab w:val="left" w:pos="709"/>
          <w:tab w:val="right" w:pos="9072"/>
        </w:tabs>
        <w:ind w:left="426" w:firstLine="0"/>
      </w:pPr>
      <w:r w:rsidRPr="0078654E">
        <w:t xml:space="preserve">krácení provozních výdajů dle MF </w:t>
      </w:r>
      <w:r w:rsidRPr="0078654E">
        <w:tab/>
        <w:t>- 11 304 968 Kč</w:t>
      </w:r>
    </w:p>
    <w:p w14:paraId="5107CE79" w14:textId="77777777" w:rsidR="00680733" w:rsidRPr="0078654E" w:rsidRDefault="00680733" w:rsidP="00680733">
      <w:pPr>
        <w:tabs>
          <w:tab w:val="left" w:pos="993"/>
          <w:tab w:val="right" w:pos="9072"/>
        </w:tabs>
        <w:ind w:left="567"/>
        <w:rPr>
          <w:sz w:val="16"/>
          <w:szCs w:val="16"/>
        </w:rPr>
      </w:pPr>
    </w:p>
    <w:p w14:paraId="3388D8B1" w14:textId="77777777" w:rsidR="00680733" w:rsidRPr="0078654E" w:rsidRDefault="00680733" w:rsidP="005B6E93">
      <w:pPr>
        <w:numPr>
          <w:ilvl w:val="0"/>
          <w:numId w:val="32"/>
        </w:numPr>
        <w:tabs>
          <w:tab w:val="left" w:pos="709"/>
          <w:tab w:val="right" w:pos="9072"/>
        </w:tabs>
        <w:ind w:left="426" w:firstLine="0"/>
      </w:pPr>
      <w:r w:rsidRPr="0078654E">
        <w:t>dorovnání ze spolufinancovaných programů pro 1. běh</w:t>
      </w:r>
      <w:r w:rsidRPr="0078654E">
        <w:tab/>
        <w:t>+ 7 430 414 Kč</w:t>
      </w:r>
    </w:p>
    <w:p w14:paraId="23EDC4E3" w14:textId="77777777" w:rsidR="00680733" w:rsidRPr="0078654E" w:rsidRDefault="00680733" w:rsidP="00680733">
      <w:pPr>
        <w:pStyle w:val="Odstavecseseznamem"/>
        <w:rPr>
          <w:sz w:val="16"/>
          <w:szCs w:val="16"/>
        </w:rPr>
      </w:pPr>
    </w:p>
    <w:p w14:paraId="73A6EFFC" w14:textId="77777777" w:rsidR="00680733" w:rsidRPr="0078654E" w:rsidRDefault="00680733" w:rsidP="005B6E93">
      <w:pPr>
        <w:numPr>
          <w:ilvl w:val="0"/>
          <w:numId w:val="32"/>
        </w:numPr>
        <w:tabs>
          <w:tab w:val="left" w:pos="709"/>
          <w:tab w:val="right" w:pos="9072"/>
        </w:tabs>
        <w:ind w:left="426" w:firstLine="0"/>
      </w:pPr>
      <w:r w:rsidRPr="0078654E">
        <w:t>dorovnání na parametry MF</w:t>
      </w:r>
      <w:r w:rsidRPr="0078654E">
        <w:tab/>
        <w:t xml:space="preserve"> + 5 607 971 Kč</w:t>
      </w:r>
    </w:p>
    <w:p w14:paraId="6651873D" w14:textId="77777777" w:rsidR="00680733" w:rsidRPr="00ED029B" w:rsidRDefault="00680733" w:rsidP="00680733">
      <w:pPr>
        <w:pStyle w:val="Text"/>
        <w:rPr>
          <w:highlight w:val="yellow"/>
        </w:rPr>
      </w:pPr>
    </w:p>
    <w:p w14:paraId="60BE1031" w14:textId="2FAD4B3E" w:rsidR="00680733" w:rsidRDefault="00680733" w:rsidP="00997C1E">
      <w:pPr>
        <w:pStyle w:val="Text"/>
      </w:pPr>
      <w:r w:rsidRPr="004E2739">
        <w:rPr>
          <w:b/>
        </w:rPr>
        <w:t>Limit počtu zaměstnanců na rok 2019</w:t>
      </w:r>
      <w:r w:rsidRPr="003E31B7">
        <w:t xml:space="preserve"> </w:t>
      </w:r>
      <w:r w:rsidRPr="004E2739">
        <w:rPr>
          <w:b/>
        </w:rPr>
        <w:t>v oblasti</w:t>
      </w:r>
      <w:r w:rsidRPr="003E31B7">
        <w:t xml:space="preserve"> </w:t>
      </w:r>
      <w:r w:rsidRPr="004E2739">
        <w:rPr>
          <w:b/>
        </w:rPr>
        <w:t>OPŘO je o 23 přepočtených úvazků (3,2 %) nižší oproti roku 2018</w:t>
      </w:r>
      <w:r w:rsidRPr="003E31B7">
        <w:t>. 31 přepočtených úvazků bylo kráceno za neobsazená místa, 11 úvazků bylo převedeno z RgŠ na r</w:t>
      </w:r>
      <w:r w:rsidR="00691319">
        <w:t>evizi kurikulárních dokumentů a </w:t>
      </w:r>
      <w:r>
        <w:t>pokusného ověřování</w:t>
      </w:r>
      <w:r w:rsidRPr="003E31B7">
        <w:t xml:space="preserve"> paměťových instit</w:t>
      </w:r>
      <w:r>
        <w:t xml:space="preserve">ucí, 3 úvazky byly převedeny na dorovnání na definitivní schválené limity Ministerstva financí ve vazbě </w:t>
      </w:r>
      <w:r w:rsidRPr="00D672A2">
        <w:t>na spolufinancované programy (EHP/Norsko).</w:t>
      </w:r>
    </w:p>
    <w:p w14:paraId="76800A41" w14:textId="44C9D2B8" w:rsidR="00680733" w:rsidRPr="00D672A2" w:rsidRDefault="00680733" w:rsidP="00524496">
      <w:pPr>
        <w:pStyle w:val="Text"/>
      </w:pPr>
      <w:r w:rsidRPr="004807CA">
        <w:rPr>
          <w:b/>
        </w:rPr>
        <w:t>Rozpis rozpočtu OPŘO na rok 201</w:t>
      </w:r>
      <w:r>
        <w:rPr>
          <w:b/>
        </w:rPr>
        <w:t>9</w:t>
      </w:r>
      <w:r w:rsidRPr="004807CA">
        <w:rPr>
          <w:b/>
        </w:rPr>
        <w:t xml:space="preserve"> </w:t>
      </w:r>
      <w:r>
        <w:rPr>
          <w:b/>
        </w:rPr>
        <w:t>je</w:t>
      </w:r>
      <w:r w:rsidRPr="004807CA">
        <w:rPr>
          <w:b/>
        </w:rPr>
        <w:t xml:space="preserve"> zpracov</w:t>
      </w:r>
      <w:r>
        <w:rPr>
          <w:b/>
        </w:rPr>
        <w:t>án</w:t>
      </w:r>
      <w:r w:rsidRPr="004807CA">
        <w:t xml:space="preserve"> </w:t>
      </w:r>
      <w:r w:rsidRPr="004807CA">
        <w:rPr>
          <w:b/>
        </w:rPr>
        <w:t xml:space="preserve">tak, </w:t>
      </w:r>
      <w:r w:rsidRPr="00D672A2">
        <w:rPr>
          <w:b/>
        </w:rPr>
        <w:t xml:space="preserve">aby byly finančně pokryty úkoly realizované v kmenové činnosti organizací </w:t>
      </w:r>
      <w:r w:rsidRPr="00D672A2">
        <w:t xml:space="preserve">(trvale vykonávané), další nezbytně nutné úkoly (tzv. účelově a časově vymezené úkoly) přecházející z minulých let, </w:t>
      </w:r>
      <w:r w:rsidRPr="00332BD3">
        <w:t xml:space="preserve">které </w:t>
      </w:r>
      <w:r>
        <w:t>jsou uvedeny</w:t>
      </w:r>
      <w:r w:rsidRPr="00332BD3">
        <w:t xml:space="preserve"> v</w:t>
      </w:r>
      <w:r>
        <w:t> plánech hlavních úkolů</w:t>
      </w:r>
      <w:r w:rsidRPr="00332BD3">
        <w:t xml:space="preserve"> jednotlivých OPŘO a</w:t>
      </w:r>
      <w:r w:rsidRPr="00332BD3">
        <w:rPr>
          <w:b/>
        </w:rPr>
        <w:t xml:space="preserve"> </w:t>
      </w:r>
      <w:r w:rsidRPr="00332BD3">
        <w:t>zároveň</w:t>
      </w:r>
      <w:r>
        <w:t xml:space="preserve"> je</w:t>
      </w:r>
      <w:r w:rsidRPr="00332BD3">
        <w:t xml:space="preserve"> vytvořena nezbytná rezerva na:</w:t>
      </w:r>
    </w:p>
    <w:p w14:paraId="29165361" w14:textId="77777777" w:rsidR="00680733" w:rsidRPr="00D672A2" w:rsidRDefault="00680733" w:rsidP="00680733">
      <w:pPr>
        <w:ind w:firstLine="567"/>
        <w:rPr>
          <w:b/>
          <w:sz w:val="16"/>
          <w:szCs w:val="16"/>
        </w:rPr>
      </w:pPr>
    </w:p>
    <w:p w14:paraId="58897C24" w14:textId="77777777" w:rsidR="00680733" w:rsidRPr="00C45C9D" w:rsidRDefault="00680733" w:rsidP="005B6E93">
      <w:pPr>
        <w:numPr>
          <w:ilvl w:val="0"/>
          <w:numId w:val="47"/>
        </w:numPr>
        <w:ind w:left="720"/>
        <w:rPr>
          <w:szCs w:val="24"/>
        </w:rPr>
      </w:pPr>
      <w:r w:rsidRPr="00D672A2">
        <w:rPr>
          <w:szCs w:val="24"/>
        </w:rPr>
        <w:lastRenderedPageBreak/>
        <w:t xml:space="preserve">financování nově vzniklých nezbytných činností v oblasti OPŘO, o kterých rozhodne </w:t>
      </w:r>
      <w:r w:rsidRPr="00C45C9D">
        <w:rPr>
          <w:szCs w:val="24"/>
        </w:rPr>
        <w:t>vedení MŠMT v průběhu roku 2019,</w:t>
      </w:r>
    </w:p>
    <w:p w14:paraId="2D6C4AFE" w14:textId="6EE51822" w:rsidR="00680733" w:rsidRPr="00C45C9D" w:rsidRDefault="00680733" w:rsidP="005B6E93">
      <w:pPr>
        <w:numPr>
          <w:ilvl w:val="0"/>
          <w:numId w:val="47"/>
        </w:numPr>
        <w:ind w:left="720"/>
        <w:rPr>
          <w:szCs w:val="24"/>
        </w:rPr>
      </w:pPr>
      <w:r w:rsidRPr="00C45C9D">
        <w:rPr>
          <w:szCs w:val="24"/>
        </w:rPr>
        <w:t>úhradu nezpůsobilých výdajů v rámci OP VVV.</w:t>
      </w:r>
    </w:p>
    <w:p w14:paraId="2E85CAEA" w14:textId="77777777" w:rsidR="00036051" w:rsidRPr="00C45C9D" w:rsidRDefault="00036051" w:rsidP="00C069EF">
      <w:pPr>
        <w:ind w:left="426"/>
        <w:rPr>
          <w:b/>
          <w:u w:val="single"/>
        </w:rPr>
      </w:pPr>
    </w:p>
    <w:p w14:paraId="5DC64846" w14:textId="77777777" w:rsidR="001F2AEB" w:rsidRPr="00C45C9D" w:rsidRDefault="00B41918" w:rsidP="0031482F">
      <w:pPr>
        <w:pStyle w:val="Nadpis4"/>
      </w:pPr>
      <w:bookmarkStart w:id="159" w:name="_Toc5968873"/>
      <w:r w:rsidRPr="00C45C9D">
        <w:t>Vlastní (kmenová) činnost OPŘO</w:t>
      </w:r>
      <w:bookmarkEnd w:id="159"/>
    </w:p>
    <w:p w14:paraId="1ACF9A65" w14:textId="77777777" w:rsidR="00B47D9B" w:rsidRPr="00C45C9D" w:rsidRDefault="00B47D9B" w:rsidP="00B47D9B">
      <w:pPr>
        <w:rPr>
          <w:lang w:eastAsia="en-US"/>
        </w:rPr>
      </w:pPr>
    </w:p>
    <w:p w14:paraId="2962DCED" w14:textId="77777777" w:rsidR="00680733" w:rsidRPr="00C45C9D" w:rsidRDefault="00680733" w:rsidP="00680733">
      <w:pPr>
        <w:pStyle w:val="Text"/>
      </w:pPr>
      <w:r w:rsidRPr="00C45C9D">
        <w:t xml:space="preserve">Pro vlastní činnost OPŘO, tj. vlastní provoz organizací a mandatorní výdaje vyplývající z právních předpisů, je v roce 2019 vyčleněno </w:t>
      </w:r>
      <w:r w:rsidR="000A520A">
        <w:rPr>
          <w:bCs/>
        </w:rPr>
        <w:t>621 756 980 Kč</w:t>
      </w:r>
      <w:r w:rsidRPr="00C45C9D">
        <w:t xml:space="preserve">.  </w:t>
      </w:r>
    </w:p>
    <w:p w14:paraId="50C22778" w14:textId="77777777" w:rsidR="00680733" w:rsidRPr="00ED029B" w:rsidRDefault="00680733" w:rsidP="00680733">
      <w:pPr>
        <w:pStyle w:val="Text"/>
        <w:rPr>
          <w:highlight w:val="yellow"/>
        </w:rPr>
      </w:pPr>
      <w:r w:rsidRPr="00C45C9D">
        <w:t>Základem rozpočtu na rok 2019 je pro každou OPŘO</w:t>
      </w:r>
      <w:r w:rsidRPr="00287F85">
        <w:t xml:space="preserve"> upravený rozpočet výdajů v roce 2018 </w:t>
      </w:r>
      <w:r>
        <w:t>upravený o změny schválené při přípravě návrhu rozpočtu na rok 2019.</w:t>
      </w:r>
    </w:p>
    <w:p w14:paraId="43710959" w14:textId="77777777" w:rsidR="00680733" w:rsidRPr="00680733" w:rsidRDefault="00680733" w:rsidP="00680733">
      <w:pPr>
        <w:ind w:left="709" w:hanging="709"/>
        <w:rPr>
          <w:color w:val="2E74B5"/>
          <w:u w:val="single"/>
        </w:rPr>
      </w:pPr>
    </w:p>
    <w:p w14:paraId="6280849B" w14:textId="77777777" w:rsidR="00101BCE" w:rsidRPr="00680733" w:rsidRDefault="00101BCE" w:rsidP="00101BCE">
      <w:pPr>
        <w:rPr>
          <w:u w:val="single"/>
        </w:rPr>
      </w:pPr>
      <w:r w:rsidRPr="00680733">
        <w:rPr>
          <w:u w:val="single"/>
        </w:rPr>
        <w:t xml:space="preserve">Rozpis rozpočtu na vlastní (kmenovou) činnost se provádí pro 7 organizací OPŘO, kterými jsou: </w:t>
      </w:r>
    </w:p>
    <w:p w14:paraId="776C1003" w14:textId="77777777" w:rsidR="00101BCE" w:rsidRPr="00680733" w:rsidRDefault="00101BCE" w:rsidP="00101BCE">
      <w:pPr>
        <w:ind w:left="426"/>
        <w:rPr>
          <w:color w:val="2E74B5"/>
          <w:sz w:val="16"/>
          <w:szCs w:val="16"/>
        </w:rPr>
      </w:pPr>
    </w:p>
    <w:p w14:paraId="07AF3DE7" w14:textId="77777777" w:rsidR="00101BCE" w:rsidRPr="00680733" w:rsidRDefault="00101BCE" w:rsidP="00101BCE">
      <w:pPr>
        <w:ind w:left="426"/>
        <w:rPr>
          <w:color w:val="2E74B5"/>
          <w:sz w:val="16"/>
          <w:szCs w:val="16"/>
        </w:rPr>
      </w:pPr>
    </w:p>
    <w:p w14:paraId="68E66F4D" w14:textId="77777777" w:rsidR="00101BCE" w:rsidRPr="00680733" w:rsidRDefault="00101BCE" w:rsidP="005B6E93">
      <w:pPr>
        <w:numPr>
          <w:ilvl w:val="0"/>
          <w:numId w:val="33"/>
        </w:numPr>
        <w:ind w:left="426" w:firstLine="0"/>
      </w:pPr>
      <w:r w:rsidRPr="00680733">
        <w:t xml:space="preserve">DZS, </w:t>
      </w:r>
    </w:p>
    <w:p w14:paraId="6B48D980" w14:textId="77777777" w:rsidR="00101BCE" w:rsidRPr="00680733" w:rsidRDefault="00101BCE" w:rsidP="005B6E93">
      <w:pPr>
        <w:numPr>
          <w:ilvl w:val="0"/>
          <w:numId w:val="33"/>
        </w:numPr>
        <w:tabs>
          <w:tab w:val="num" w:pos="709"/>
        </w:tabs>
        <w:ind w:left="709" w:hanging="283"/>
      </w:pPr>
      <w:r w:rsidRPr="00680733">
        <w:t>NÚV,</w:t>
      </w:r>
    </w:p>
    <w:p w14:paraId="64CCFF5B" w14:textId="77777777" w:rsidR="00101BCE" w:rsidRPr="00680733" w:rsidRDefault="00101BCE" w:rsidP="005B6E93">
      <w:pPr>
        <w:numPr>
          <w:ilvl w:val="0"/>
          <w:numId w:val="33"/>
        </w:numPr>
        <w:tabs>
          <w:tab w:val="num" w:pos="709"/>
        </w:tabs>
        <w:ind w:left="426" w:firstLine="0"/>
      </w:pPr>
      <w:r w:rsidRPr="00680733">
        <w:t xml:space="preserve">NPMK, </w:t>
      </w:r>
    </w:p>
    <w:p w14:paraId="276D29A4" w14:textId="77777777" w:rsidR="00101BCE" w:rsidRPr="00680733" w:rsidRDefault="00101BCE" w:rsidP="005B6E93">
      <w:pPr>
        <w:numPr>
          <w:ilvl w:val="0"/>
          <w:numId w:val="33"/>
        </w:numPr>
        <w:tabs>
          <w:tab w:val="num" w:pos="709"/>
        </w:tabs>
        <w:ind w:left="426" w:firstLine="0"/>
      </w:pPr>
      <w:r w:rsidRPr="00680733">
        <w:t xml:space="preserve">Národní technická knihovna (dále jen „NTK“), </w:t>
      </w:r>
    </w:p>
    <w:p w14:paraId="21E33B6B" w14:textId="77777777" w:rsidR="00101BCE" w:rsidRPr="00680733" w:rsidRDefault="00101BCE" w:rsidP="005B6E93">
      <w:pPr>
        <w:numPr>
          <w:ilvl w:val="0"/>
          <w:numId w:val="33"/>
        </w:numPr>
        <w:tabs>
          <w:tab w:val="num" w:pos="709"/>
        </w:tabs>
        <w:ind w:left="426" w:firstLine="0"/>
      </w:pPr>
      <w:r w:rsidRPr="00680733">
        <w:t xml:space="preserve">NIDV, </w:t>
      </w:r>
    </w:p>
    <w:p w14:paraId="256B2C3F" w14:textId="77777777" w:rsidR="00101BCE" w:rsidRPr="00680733" w:rsidRDefault="00101BCE" w:rsidP="005B6E93">
      <w:pPr>
        <w:numPr>
          <w:ilvl w:val="0"/>
          <w:numId w:val="33"/>
        </w:numPr>
        <w:tabs>
          <w:tab w:val="num" w:pos="709"/>
        </w:tabs>
        <w:ind w:left="426" w:firstLine="0"/>
      </w:pPr>
      <w:r w:rsidRPr="00680733">
        <w:t>Centrum pro zjišťování výsledků vzdělávání (dále jen „CZVV“),</w:t>
      </w:r>
    </w:p>
    <w:p w14:paraId="1B8D4574" w14:textId="77777777" w:rsidR="00101BCE" w:rsidRPr="00680733" w:rsidRDefault="00101BCE" w:rsidP="005B6E93">
      <w:pPr>
        <w:numPr>
          <w:ilvl w:val="0"/>
          <w:numId w:val="33"/>
        </w:numPr>
        <w:tabs>
          <w:tab w:val="num" w:pos="709"/>
        </w:tabs>
        <w:ind w:left="426" w:firstLine="0"/>
        <w:rPr>
          <w:i/>
          <w:color w:val="2E74B5"/>
          <w:u w:val="single"/>
        </w:rPr>
      </w:pPr>
      <w:r w:rsidRPr="00680733">
        <w:t>Pedagogické centrum pro polské národnostní školství (dále jen „PC Český Těšín“).</w:t>
      </w:r>
    </w:p>
    <w:p w14:paraId="15AE4172" w14:textId="77777777" w:rsidR="00101BCE" w:rsidRPr="00680733" w:rsidRDefault="00101BCE" w:rsidP="00101BCE">
      <w:pPr>
        <w:pStyle w:val="Zkladntextodsazen"/>
        <w:ind w:left="1418"/>
        <w:rPr>
          <w:color w:val="2E74B5"/>
          <w:sz w:val="16"/>
          <w:szCs w:val="16"/>
        </w:rPr>
      </w:pPr>
    </w:p>
    <w:p w14:paraId="59115EC5" w14:textId="77777777" w:rsidR="00680733" w:rsidRPr="00C45C9D" w:rsidRDefault="00101BCE" w:rsidP="00101BCE">
      <w:pPr>
        <w:pStyle w:val="Text"/>
      </w:pPr>
      <w:r w:rsidRPr="00680733">
        <w:t xml:space="preserve">Dále se rozpis rozpočtu kmenové činnosti provádí i pro KJWF, jejíž výdaje jsou hrazeny podle mezinárodní smlouvy uzavřené mezi ČR a USA, a pro ADV, jehož rozpočet je </w:t>
      </w:r>
      <w:r w:rsidRPr="00C45C9D">
        <w:t>navržen v rámci závazného u</w:t>
      </w:r>
      <w:r w:rsidR="00680733" w:rsidRPr="00C45C9D">
        <w:t>kazatele sportovní reprezentace.</w:t>
      </w:r>
    </w:p>
    <w:p w14:paraId="0A6D99CA" w14:textId="77777777" w:rsidR="00680733" w:rsidRPr="00C45C9D" w:rsidRDefault="00680733" w:rsidP="00101BCE">
      <w:pPr>
        <w:pStyle w:val="Text"/>
      </w:pPr>
    </w:p>
    <w:p w14:paraId="29B19547" w14:textId="77777777" w:rsidR="00B41918" w:rsidRPr="00C45C9D" w:rsidRDefault="00F61FC2" w:rsidP="0031482F">
      <w:pPr>
        <w:pStyle w:val="Nadpis4"/>
      </w:pPr>
      <w:r w:rsidRPr="00C45C9D">
        <w:t xml:space="preserve"> </w:t>
      </w:r>
      <w:bookmarkStart w:id="160" w:name="_Toc5968874"/>
      <w:r w:rsidR="00B41918" w:rsidRPr="00C45C9D">
        <w:t xml:space="preserve">Základní principy pro rozpis rozpočtu – </w:t>
      </w:r>
      <w:r w:rsidR="000030C6" w:rsidRPr="00C45C9D">
        <w:t>příspěvkové organizace</w:t>
      </w:r>
      <w:bookmarkEnd w:id="160"/>
    </w:p>
    <w:p w14:paraId="1CB895CB" w14:textId="77777777" w:rsidR="00B41918" w:rsidRPr="00C45C9D" w:rsidRDefault="00B41918" w:rsidP="00B41918">
      <w:pPr>
        <w:rPr>
          <w:b/>
          <w:u w:val="single"/>
        </w:rPr>
      </w:pPr>
    </w:p>
    <w:p w14:paraId="70574DC8" w14:textId="77777777" w:rsidR="00680733" w:rsidRPr="008E2EF6" w:rsidRDefault="00680733" w:rsidP="00997C1E">
      <w:pPr>
        <w:pStyle w:val="Text"/>
      </w:pPr>
      <w:r w:rsidRPr="008E2EF6">
        <w:t>Východiskem pro rozpis rozpočtu běžných výdajů na rok 2019 jsou zejména § 53 a následující zákona č. 218/2000 Sb., o rozpočtových pravidlech a o změně některých</w:t>
      </w:r>
      <w:r w:rsidRPr="008E2EF6">
        <w:rPr>
          <w:color w:val="8EAADB"/>
        </w:rPr>
        <w:t xml:space="preserve"> </w:t>
      </w:r>
      <w:r w:rsidRPr="008E2EF6">
        <w:t xml:space="preserve">souvisejících zákonů, ve znění pozdějších předpisů (dále jen „rozpočtová pravidla“), </w:t>
      </w:r>
      <w:r w:rsidRPr="008E2EF6">
        <w:br/>
        <w:t>z nichž zejména vyplývá:</w:t>
      </w:r>
    </w:p>
    <w:p w14:paraId="604FE4F8" w14:textId="77777777" w:rsidR="00680733" w:rsidRPr="008E2EF6" w:rsidRDefault="00680733" w:rsidP="005B6E93">
      <w:pPr>
        <w:numPr>
          <w:ilvl w:val="0"/>
          <w:numId w:val="28"/>
        </w:numPr>
        <w:ind w:left="425" w:hanging="425"/>
      </w:pPr>
      <w:r w:rsidRPr="008E2EF6">
        <w:t xml:space="preserve">podle </w:t>
      </w:r>
      <w:r w:rsidRPr="008E2EF6">
        <w:rPr>
          <w:b/>
        </w:rPr>
        <w:t>§ 53 odst. 2</w:t>
      </w:r>
      <w:r w:rsidRPr="008E2EF6">
        <w:t xml:space="preserve"> rozpočtových pravidel se hospodaření </w:t>
      </w:r>
      <w:r>
        <w:t>příspěvkové organizace (dále jen „</w:t>
      </w:r>
      <w:r w:rsidRPr="008E2EF6">
        <w:t>PO</w:t>
      </w:r>
      <w:r>
        <w:t>“)</w:t>
      </w:r>
      <w:r w:rsidRPr="008E2EF6">
        <w:t xml:space="preserve"> řídí jejím rozpočtem, který je po zahrnutí příspěvku ze státního rozpočtu nebo po stanovení odvodu do státního rozpočtu sestaven jako vyrovnaný. Rozpočet každé PO může zahrnovat pouze náklady a výnosy související jen s jejími poskytovanými službami, které jsou předmětem její hlavní činnosti; přičemž hlavní činností PO může být pouze činnost vymezená jejímu zřizovateli zvláštním zákonem a vykonávána PO; v případě PO zřízené zvláštním zákonem je hlavní činností činnost vymezená tímto zákonem;</w:t>
      </w:r>
    </w:p>
    <w:p w14:paraId="740FECE9" w14:textId="77777777" w:rsidR="00680733" w:rsidRPr="00ED029B" w:rsidRDefault="00680733" w:rsidP="00680733">
      <w:pPr>
        <w:rPr>
          <w:sz w:val="16"/>
          <w:szCs w:val="16"/>
          <w:highlight w:val="yellow"/>
        </w:rPr>
      </w:pPr>
    </w:p>
    <w:p w14:paraId="22009949" w14:textId="77777777" w:rsidR="00680733" w:rsidRPr="008E2EF6" w:rsidRDefault="00680733" w:rsidP="003354EA">
      <w:pPr>
        <w:numPr>
          <w:ilvl w:val="0"/>
          <w:numId w:val="28"/>
        </w:numPr>
        <w:ind w:left="425" w:hanging="425"/>
      </w:pPr>
      <w:r w:rsidRPr="008E2EF6">
        <w:t xml:space="preserve">podle </w:t>
      </w:r>
      <w:r w:rsidRPr="008E2EF6">
        <w:rPr>
          <w:b/>
        </w:rPr>
        <w:t>§ 54 odst. 2</w:t>
      </w:r>
      <w:r w:rsidRPr="008E2EF6">
        <w:t xml:space="preserve"> rozpočtových pravidel může zřizovatel výši</w:t>
      </w:r>
      <w:r w:rsidRPr="008E2EF6">
        <w:rPr>
          <w:color w:val="2E74B5"/>
        </w:rPr>
        <w:t xml:space="preserve"> </w:t>
      </w:r>
      <w:r w:rsidRPr="008E2EF6">
        <w:t xml:space="preserve">příspěvku na provoz a jeho čerpání během roku vázat na předem stanovené ukazatele, a to zpravidla </w:t>
      </w:r>
      <w:r w:rsidRPr="008E2EF6">
        <w:br/>
        <w:t xml:space="preserve">na jednotku výkonů zabezpečovanou PO; příspěvek a limity regulace zaměstnanosti vybraným organizacím se stanoví z objemu prostředků na:  </w:t>
      </w:r>
    </w:p>
    <w:p w14:paraId="0C055C11" w14:textId="77777777" w:rsidR="00680733" w:rsidRPr="008E2EF6" w:rsidRDefault="00680733" w:rsidP="003354EA">
      <w:pPr>
        <w:numPr>
          <w:ilvl w:val="1"/>
          <w:numId w:val="28"/>
        </w:numPr>
        <w:ind w:left="425" w:hanging="425"/>
      </w:pPr>
      <w:r w:rsidRPr="008E2EF6">
        <w:rPr>
          <w:b/>
        </w:rPr>
        <w:t>kmenovou činnost</w:t>
      </w:r>
      <w:r w:rsidRPr="008E2EF6">
        <w:t xml:space="preserve"> zahrnující vlastní provoz org</w:t>
      </w:r>
      <w:r>
        <w:t>anizace a výdaje vyplývající ze </w:t>
      </w:r>
      <w:r w:rsidRPr="008E2EF6">
        <w:t>zřizovací listiny,</w:t>
      </w:r>
    </w:p>
    <w:p w14:paraId="44A9A3C9" w14:textId="77777777" w:rsidR="00680733" w:rsidRPr="008E2EF6" w:rsidRDefault="00680733" w:rsidP="003354EA">
      <w:pPr>
        <w:numPr>
          <w:ilvl w:val="1"/>
          <w:numId w:val="28"/>
        </w:numPr>
        <w:ind w:left="425" w:hanging="425"/>
      </w:pPr>
      <w:r w:rsidRPr="008E2EF6">
        <w:rPr>
          <w:b/>
        </w:rPr>
        <w:t>konkrétní</w:t>
      </w:r>
      <w:r w:rsidRPr="008E2EF6">
        <w:t xml:space="preserve"> (vybrané a poradou vedení projednané a schválené) </w:t>
      </w:r>
      <w:r w:rsidRPr="008E2EF6">
        <w:rPr>
          <w:b/>
        </w:rPr>
        <w:t>resortní projekty</w:t>
      </w:r>
      <w:r w:rsidRPr="008E2EF6">
        <w:t>,</w:t>
      </w:r>
    </w:p>
    <w:p w14:paraId="3AFD24EB" w14:textId="77777777" w:rsidR="00680733" w:rsidRPr="008E2EF6" w:rsidRDefault="00680733" w:rsidP="003354EA">
      <w:pPr>
        <w:numPr>
          <w:ilvl w:val="1"/>
          <w:numId w:val="28"/>
        </w:numPr>
        <w:ind w:left="425" w:hanging="425"/>
      </w:pPr>
      <w:r w:rsidRPr="008E2EF6">
        <w:rPr>
          <w:b/>
        </w:rPr>
        <w:t>zabezpečení udržitelnosti</w:t>
      </w:r>
      <w:r w:rsidRPr="008E2EF6">
        <w:t xml:space="preserve"> projektů a jejich ukončení spolufinancování s EU</w:t>
      </w:r>
    </w:p>
    <w:p w14:paraId="1C7E2F7A" w14:textId="77777777" w:rsidR="00680733" w:rsidRPr="008E2EF6" w:rsidRDefault="00680733" w:rsidP="003354EA">
      <w:pPr>
        <w:numPr>
          <w:ilvl w:val="1"/>
          <w:numId w:val="28"/>
        </w:numPr>
        <w:ind w:left="425" w:hanging="425"/>
      </w:pPr>
      <w:r w:rsidRPr="008E2EF6">
        <w:lastRenderedPageBreak/>
        <w:t xml:space="preserve">jednotlivé </w:t>
      </w:r>
      <w:r w:rsidRPr="008E2EF6">
        <w:rPr>
          <w:b/>
        </w:rPr>
        <w:t>účelově vymezené úkoly včetně účelových prostředků souvisejících s integrací cizinců,</w:t>
      </w:r>
    </w:p>
    <w:p w14:paraId="2FF02893" w14:textId="77777777" w:rsidR="00680733" w:rsidRPr="008E2EF6" w:rsidRDefault="00680733" w:rsidP="003354EA">
      <w:pPr>
        <w:numPr>
          <w:ilvl w:val="1"/>
          <w:numId w:val="28"/>
        </w:numPr>
        <w:ind w:left="425" w:hanging="425"/>
        <w:rPr>
          <w:b/>
        </w:rPr>
      </w:pPr>
      <w:r w:rsidRPr="008E2EF6">
        <w:rPr>
          <w:b/>
        </w:rPr>
        <w:t>mezinárodní aktivity.</w:t>
      </w:r>
    </w:p>
    <w:p w14:paraId="2B514D4B" w14:textId="77777777" w:rsidR="00680733" w:rsidRPr="00ED029B" w:rsidRDefault="00680733" w:rsidP="003354EA">
      <w:pPr>
        <w:ind w:left="425" w:hanging="425"/>
        <w:rPr>
          <w:b/>
          <w:color w:val="2E74B5"/>
          <w:highlight w:val="yellow"/>
        </w:rPr>
      </w:pPr>
    </w:p>
    <w:p w14:paraId="690F116F" w14:textId="77777777" w:rsidR="00680733" w:rsidRPr="003354EA" w:rsidRDefault="00680733" w:rsidP="003354EA">
      <w:pPr>
        <w:pStyle w:val="Text"/>
      </w:pPr>
      <w:r w:rsidRPr="003354EA">
        <w:t>Rozpisem rozpočtu jsou organizacím v rámci celkového závazného příspěvku stanoveny následující závazné ukazatele:</w:t>
      </w:r>
    </w:p>
    <w:p w14:paraId="021CAB57" w14:textId="77777777" w:rsidR="00680733" w:rsidRPr="00AA3479" w:rsidRDefault="00680733" w:rsidP="003354EA">
      <w:pPr>
        <w:pStyle w:val="Odstavecseseznamem"/>
        <w:numPr>
          <w:ilvl w:val="0"/>
          <w:numId w:val="35"/>
        </w:numPr>
        <w:ind w:left="425" w:hanging="425"/>
      </w:pPr>
      <w:r w:rsidRPr="00AA3479">
        <w:t>prostředky na platy</w:t>
      </w:r>
    </w:p>
    <w:p w14:paraId="20E5DE2E" w14:textId="77777777" w:rsidR="00680733" w:rsidRPr="00AA3479" w:rsidRDefault="00680733" w:rsidP="003354EA">
      <w:pPr>
        <w:pStyle w:val="Odstavecseseznamem"/>
        <w:numPr>
          <w:ilvl w:val="0"/>
          <w:numId w:val="35"/>
        </w:numPr>
        <w:ind w:left="425" w:hanging="425"/>
      </w:pPr>
      <w:r w:rsidRPr="00AA3479">
        <w:t>prostředky na OON</w:t>
      </w:r>
    </w:p>
    <w:p w14:paraId="2D895FAF" w14:textId="77777777" w:rsidR="00680733" w:rsidRPr="00AA3479" w:rsidRDefault="00680733" w:rsidP="003354EA">
      <w:pPr>
        <w:pStyle w:val="Odstavecseseznamem"/>
        <w:numPr>
          <w:ilvl w:val="0"/>
          <w:numId w:val="35"/>
        </w:numPr>
        <w:ind w:left="425" w:hanging="425"/>
      </w:pPr>
      <w:r w:rsidRPr="00AA3479">
        <w:t>ostatní neinvestiční výdaje</w:t>
      </w:r>
    </w:p>
    <w:p w14:paraId="0A28864F" w14:textId="77777777" w:rsidR="00680733" w:rsidRDefault="00680733" w:rsidP="003354EA">
      <w:pPr>
        <w:pStyle w:val="Odstavecseseznamem"/>
        <w:numPr>
          <w:ilvl w:val="0"/>
          <w:numId w:val="35"/>
        </w:numPr>
        <w:ind w:left="425" w:hanging="425"/>
      </w:pPr>
      <w:r w:rsidRPr="00AA3479">
        <w:t>LPZ;</w:t>
      </w:r>
    </w:p>
    <w:p w14:paraId="4FB52DFC" w14:textId="77777777" w:rsidR="00680733" w:rsidRPr="00AA3479" w:rsidRDefault="00680733" w:rsidP="003354EA">
      <w:pPr>
        <w:pStyle w:val="Odstavecseseznamem"/>
        <w:ind w:left="425" w:hanging="425"/>
      </w:pPr>
    </w:p>
    <w:p w14:paraId="74B1F99B" w14:textId="0B74FECB" w:rsidR="00680733" w:rsidRPr="00FB6C5F" w:rsidRDefault="00680733" w:rsidP="003354EA">
      <w:pPr>
        <w:numPr>
          <w:ilvl w:val="0"/>
          <w:numId w:val="28"/>
        </w:numPr>
        <w:ind w:left="425" w:hanging="425"/>
        <w:rPr>
          <w:szCs w:val="24"/>
        </w:rPr>
      </w:pPr>
      <w:r w:rsidRPr="00C90917">
        <w:rPr>
          <w:b/>
          <w:szCs w:val="24"/>
        </w:rPr>
        <w:t>celkový limit počtu zaměstnanců OPŘO byl snížen o 23 úvazků oproti r. 2018</w:t>
      </w:r>
      <w:r w:rsidRPr="00C90917">
        <w:rPr>
          <w:szCs w:val="24"/>
        </w:rPr>
        <w:t xml:space="preserve"> </w:t>
      </w:r>
      <w:r>
        <w:rPr>
          <w:szCs w:val="24"/>
        </w:rPr>
        <w:t xml:space="preserve">(krácení u jednotlivých organizací bylo stanoveno </w:t>
      </w:r>
      <w:r w:rsidRPr="00FB6C5F">
        <w:rPr>
          <w:szCs w:val="24"/>
        </w:rPr>
        <w:t xml:space="preserve">zejména </w:t>
      </w:r>
      <w:r w:rsidRPr="00C90917">
        <w:rPr>
          <w:b/>
          <w:szCs w:val="24"/>
        </w:rPr>
        <w:t>dle plnění LPZ</w:t>
      </w:r>
      <w:r w:rsidRPr="00C90917">
        <w:rPr>
          <w:szCs w:val="24"/>
        </w:rPr>
        <w:t xml:space="preserve"> </w:t>
      </w:r>
      <w:r w:rsidRPr="00FB6C5F">
        <w:rPr>
          <w:szCs w:val="24"/>
        </w:rPr>
        <w:t>v I. čtvrtletí 2018); podle rozhodnutí vlády byl</w:t>
      </w:r>
      <w:r>
        <w:rPr>
          <w:szCs w:val="24"/>
        </w:rPr>
        <w:t>y kráceny prostředky na </w:t>
      </w:r>
      <w:r w:rsidRPr="00FB6C5F">
        <w:rPr>
          <w:szCs w:val="24"/>
        </w:rPr>
        <w:t>plat</w:t>
      </w:r>
      <w:r w:rsidR="00930504">
        <w:rPr>
          <w:szCs w:val="24"/>
        </w:rPr>
        <w:t>y při neplnění limitu nad 3 </w:t>
      </w:r>
      <w:r>
        <w:rPr>
          <w:szCs w:val="24"/>
        </w:rPr>
        <w:t>% a </w:t>
      </w:r>
      <w:r w:rsidRPr="00FB6C5F">
        <w:rPr>
          <w:szCs w:val="24"/>
        </w:rPr>
        <w:t>úvazky při neplnění vyšším než 5 %;</w:t>
      </w:r>
    </w:p>
    <w:p w14:paraId="6AC1A013" w14:textId="77777777" w:rsidR="00680733" w:rsidRDefault="00680733" w:rsidP="003354EA">
      <w:pPr>
        <w:ind w:left="425" w:hanging="425"/>
        <w:rPr>
          <w:szCs w:val="24"/>
        </w:rPr>
      </w:pPr>
    </w:p>
    <w:p w14:paraId="2126E0FB" w14:textId="77777777" w:rsidR="00680733" w:rsidRPr="00C90917" w:rsidRDefault="00680733" w:rsidP="003354EA">
      <w:pPr>
        <w:numPr>
          <w:ilvl w:val="0"/>
          <w:numId w:val="28"/>
        </w:numPr>
        <w:ind w:left="425" w:hanging="425"/>
        <w:rPr>
          <w:szCs w:val="24"/>
        </w:rPr>
      </w:pPr>
      <w:r>
        <w:rPr>
          <w:szCs w:val="24"/>
        </w:rPr>
        <w:t>v</w:t>
      </w:r>
      <w:r w:rsidRPr="002B2606">
        <w:rPr>
          <w:szCs w:val="24"/>
        </w:rPr>
        <w:t xml:space="preserve">zhledem k nutnosti zabezpečit především kmenovou činnost organizací </w:t>
      </w:r>
      <w:r>
        <w:rPr>
          <w:szCs w:val="24"/>
        </w:rPr>
        <w:t>jsou</w:t>
      </w:r>
      <w:r w:rsidRPr="002B2606">
        <w:rPr>
          <w:szCs w:val="24"/>
        </w:rPr>
        <w:t xml:space="preserve"> rozpisem rozpočtu</w:t>
      </w:r>
      <w:r>
        <w:rPr>
          <w:szCs w:val="24"/>
        </w:rPr>
        <w:t xml:space="preserve"> (příspěvkem</w:t>
      </w:r>
      <w:r w:rsidRPr="00C90917">
        <w:rPr>
          <w:b/>
          <w:szCs w:val="24"/>
        </w:rPr>
        <w:t>) promítnuty do rozpočtu jednot</w:t>
      </w:r>
      <w:r>
        <w:rPr>
          <w:b/>
          <w:szCs w:val="24"/>
        </w:rPr>
        <w:t>livých organizací prostředky na </w:t>
      </w:r>
      <w:r w:rsidRPr="00C90917">
        <w:rPr>
          <w:b/>
          <w:szCs w:val="24"/>
        </w:rPr>
        <w:t>platy na kmenovou činnost alespoň v úrovni r. 2018;</w:t>
      </w:r>
      <w:r>
        <w:rPr>
          <w:szCs w:val="24"/>
        </w:rPr>
        <w:t xml:space="preserve"> </w:t>
      </w:r>
    </w:p>
    <w:p w14:paraId="6B91BC1F" w14:textId="77777777" w:rsidR="00680733" w:rsidRPr="003354EA" w:rsidRDefault="00680733" w:rsidP="003354EA">
      <w:pPr>
        <w:ind w:left="425" w:hanging="425"/>
        <w:rPr>
          <w:szCs w:val="24"/>
        </w:rPr>
      </w:pPr>
    </w:p>
    <w:p w14:paraId="50EAE147" w14:textId="77777777" w:rsidR="00680733" w:rsidRPr="003354EA" w:rsidRDefault="00680733" w:rsidP="003354EA">
      <w:pPr>
        <w:numPr>
          <w:ilvl w:val="0"/>
          <w:numId w:val="28"/>
        </w:numPr>
        <w:ind w:left="425" w:hanging="425"/>
        <w:rPr>
          <w:szCs w:val="24"/>
        </w:rPr>
      </w:pPr>
      <w:r w:rsidRPr="003354EA">
        <w:rPr>
          <w:szCs w:val="24"/>
        </w:rPr>
        <w:t>navýšení tarifů je řešeno zapojením rezervního fondu organizací;</w:t>
      </w:r>
    </w:p>
    <w:p w14:paraId="5DD14FE9" w14:textId="77777777" w:rsidR="00680733" w:rsidRPr="003354EA" w:rsidRDefault="00680733" w:rsidP="003354EA">
      <w:pPr>
        <w:ind w:left="425" w:hanging="425"/>
        <w:rPr>
          <w:color w:val="2E74B5"/>
          <w:highlight w:val="yellow"/>
        </w:rPr>
      </w:pPr>
    </w:p>
    <w:p w14:paraId="41F385CC" w14:textId="77777777" w:rsidR="00680733" w:rsidRPr="00FF148D" w:rsidRDefault="00680733" w:rsidP="003354EA">
      <w:pPr>
        <w:numPr>
          <w:ilvl w:val="0"/>
          <w:numId w:val="28"/>
        </w:numPr>
        <w:ind w:left="425" w:hanging="425"/>
        <w:rPr>
          <w:szCs w:val="24"/>
        </w:rPr>
      </w:pPr>
      <w:r w:rsidRPr="00FF148D">
        <w:rPr>
          <w:szCs w:val="24"/>
        </w:rPr>
        <w:t xml:space="preserve">při </w:t>
      </w:r>
      <w:r w:rsidRPr="00FF148D">
        <w:rPr>
          <w:b/>
          <w:szCs w:val="24"/>
        </w:rPr>
        <w:t>zapojení rezervního fondu</w:t>
      </w:r>
      <w:r w:rsidRPr="00FF148D">
        <w:rPr>
          <w:szCs w:val="24"/>
        </w:rPr>
        <w:t xml:space="preserve"> organizací do limitu prostředků na platy (s cílem navýšit limit prostředků na platy do výše 5% nárůstu platových tarifů) je toto zapojení v případě potřeby kompenzováno odpovídajícím navýšením příspěvku na </w:t>
      </w:r>
      <w:r w:rsidR="00162B42">
        <w:rPr>
          <w:szCs w:val="24"/>
        </w:rPr>
        <w:t>OBV</w:t>
      </w:r>
      <w:r w:rsidRPr="00FF148D">
        <w:rPr>
          <w:szCs w:val="24"/>
        </w:rPr>
        <w:t xml:space="preserve"> ze strany MŠMT;</w:t>
      </w:r>
    </w:p>
    <w:p w14:paraId="3660A905" w14:textId="77777777" w:rsidR="00680733" w:rsidRPr="000C6377" w:rsidRDefault="00680733" w:rsidP="003354EA">
      <w:pPr>
        <w:ind w:left="425" w:firstLine="1"/>
        <w:rPr>
          <w:b/>
          <w:szCs w:val="24"/>
        </w:rPr>
      </w:pPr>
      <w:r w:rsidRPr="00FF148D">
        <w:rPr>
          <w:b/>
          <w:szCs w:val="24"/>
        </w:rPr>
        <w:t>Upřesnění celkového limitu prostředků na platy a dle možností rozpočtu případné dofinancování ze strany MŠMT bude provedeno na základě předložených platových inventur jednotlivých organizací k 1. 1. 2019 na přelomu I. a II. čtvrtletí 2019;</w:t>
      </w:r>
      <w:r w:rsidRPr="00FF148D">
        <w:rPr>
          <w:b/>
          <w:szCs w:val="24"/>
        </w:rPr>
        <w:br/>
      </w:r>
    </w:p>
    <w:p w14:paraId="3540EA5A" w14:textId="77777777" w:rsidR="00680733" w:rsidRPr="003F2459" w:rsidRDefault="00680733" w:rsidP="003354EA">
      <w:pPr>
        <w:numPr>
          <w:ilvl w:val="0"/>
          <w:numId w:val="28"/>
        </w:numPr>
        <w:ind w:left="425" w:hanging="425"/>
        <w:rPr>
          <w:szCs w:val="24"/>
        </w:rPr>
      </w:pPr>
      <w:r w:rsidRPr="003F2459">
        <w:rPr>
          <w:b/>
          <w:szCs w:val="24"/>
        </w:rPr>
        <w:t xml:space="preserve">limit prostředků na </w:t>
      </w:r>
      <w:r>
        <w:rPr>
          <w:b/>
          <w:szCs w:val="24"/>
        </w:rPr>
        <w:t>OON</w:t>
      </w:r>
      <w:r>
        <w:rPr>
          <w:szCs w:val="24"/>
        </w:rPr>
        <w:t xml:space="preserve"> </w:t>
      </w:r>
      <w:r w:rsidRPr="003F2459">
        <w:rPr>
          <w:szCs w:val="24"/>
        </w:rPr>
        <w:t>je stanoven s přihlédnutím k odůvodněným potřebám organizací v rámci možností závazného ukazatele rozpočtu OPŘO na rok 201</w:t>
      </w:r>
      <w:r>
        <w:rPr>
          <w:szCs w:val="24"/>
        </w:rPr>
        <w:t>9</w:t>
      </w:r>
      <w:r w:rsidRPr="003F2459">
        <w:rPr>
          <w:szCs w:val="24"/>
        </w:rPr>
        <w:t xml:space="preserve">; </w:t>
      </w:r>
      <w:r>
        <w:rPr>
          <w:szCs w:val="24"/>
        </w:rPr>
        <w:t>práce konané</w:t>
      </w:r>
      <w:r w:rsidRPr="003F2459">
        <w:rPr>
          <w:szCs w:val="24"/>
        </w:rPr>
        <w:t xml:space="preserve"> mimo pracovní poměr (dohody o provedení práce či dohody o pracovní činnosti) lze uzavírat výhradně na práce, které nevyplývají z pracovní náplně zaměstnanců a jsou pro organizaci nezbytné; </w:t>
      </w:r>
    </w:p>
    <w:p w14:paraId="166B47C1" w14:textId="77777777" w:rsidR="00680733" w:rsidRPr="00ED029B" w:rsidRDefault="00680733" w:rsidP="003354EA">
      <w:pPr>
        <w:pStyle w:val="Odstavecseseznamem"/>
        <w:ind w:left="425" w:hanging="425"/>
        <w:rPr>
          <w:szCs w:val="24"/>
          <w:highlight w:val="yellow"/>
        </w:rPr>
      </w:pPr>
    </w:p>
    <w:p w14:paraId="2CAC6E69" w14:textId="77777777" w:rsidR="00680733" w:rsidRPr="00AD37CE" w:rsidRDefault="00680733" w:rsidP="003354EA">
      <w:pPr>
        <w:numPr>
          <w:ilvl w:val="0"/>
          <w:numId w:val="28"/>
        </w:numPr>
        <w:spacing w:after="120"/>
        <w:ind w:left="425" w:hanging="425"/>
        <w:rPr>
          <w:szCs w:val="24"/>
        </w:rPr>
      </w:pPr>
      <w:r w:rsidRPr="00AD37CE">
        <w:rPr>
          <w:szCs w:val="24"/>
        </w:rPr>
        <w:t xml:space="preserve">prostředky na </w:t>
      </w:r>
      <w:r w:rsidRPr="00AD37CE">
        <w:rPr>
          <w:b/>
          <w:szCs w:val="24"/>
        </w:rPr>
        <w:t>ostatní neinvestiční výdaje</w:t>
      </w:r>
      <w:r w:rsidRPr="00AD37CE">
        <w:rPr>
          <w:szCs w:val="24"/>
        </w:rPr>
        <w:t xml:space="preserve"> (dále jen „ost. ONIV“) zahrnují následující orientační ukazatele:</w:t>
      </w:r>
    </w:p>
    <w:p w14:paraId="6E148DEE" w14:textId="77777777" w:rsidR="00680733" w:rsidRPr="00AD37CE" w:rsidRDefault="00680733" w:rsidP="003354EA">
      <w:pPr>
        <w:pStyle w:val="Odstavecseseznamem"/>
        <w:numPr>
          <w:ilvl w:val="0"/>
          <w:numId w:val="34"/>
        </w:numPr>
        <w:ind w:left="425" w:hanging="425"/>
        <w:rPr>
          <w:szCs w:val="24"/>
        </w:rPr>
      </w:pPr>
      <w:r w:rsidRPr="00AD37CE">
        <w:rPr>
          <w:szCs w:val="24"/>
        </w:rPr>
        <w:t>zákonné odvody,</w:t>
      </w:r>
    </w:p>
    <w:p w14:paraId="2595D0DC" w14:textId="77777777" w:rsidR="00680733" w:rsidRPr="00AD37CE" w:rsidRDefault="00680733" w:rsidP="003354EA">
      <w:pPr>
        <w:pStyle w:val="Odstavecseseznamem"/>
        <w:numPr>
          <w:ilvl w:val="0"/>
          <w:numId w:val="34"/>
        </w:numPr>
        <w:ind w:left="425" w:hanging="425"/>
        <w:rPr>
          <w:szCs w:val="24"/>
        </w:rPr>
      </w:pPr>
      <w:r w:rsidRPr="00AD37CE">
        <w:rPr>
          <w:szCs w:val="24"/>
        </w:rPr>
        <w:t>FKSP,</w:t>
      </w:r>
    </w:p>
    <w:p w14:paraId="7F7A42E3" w14:textId="77777777" w:rsidR="00680733" w:rsidRPr="00AD37CE" w:rsidRDefault="00680733" w:rsidP="003354EA">
      <w:pPr>
        <w:pStyle w:val="Odstavecseseznamem"/>
        <w:numPr>
          <w:ilvl w:val="0"/>
          <w:numId w:val="34"/>
        </w:numPr>
        <w:ind w:left="425" w:hanging="425"/>
        <w:rPr>
          <w:szCs w:val="24"/>
        </w:rPr>
      </w:pPr>
      <w:r w:rsidRPr="00AD37CE">
        <w:rPr>
          <w:szCs w:val="24"/>
        </w:rPr>
        <w:t>OBV;</w:t>
      </w:r>
    </w:p>
    <w:p w14:paraId="1064FCCC" w14:textId="77777777" w:rsidR="00680733" w:rsidRPr="00ED029B" w:rsidRDefault="00680733" w:rsidP="003354EA">
      <w:pPr>
        <w:pStyle w:val="Odstavecseseznamem"/>
        <w:ind w:left="425" w:hanging="425"/>
        <w:rPr>
          <w:color w:val="2E74B5"/>
          <w:szCs w:val="24"/>
          <w:highlight w:val="yellow"/>
        </w:rPr>
      </w:pPr>
    </w:p>
    <w:p w14:paraId="0D42DB2E" w14:textId="77777777" w:rsidR="00680733" w:rsidRPr="00186606" w:rsidRDefault="00680733" w:rsidP="003354EA">
      <w:pPr>
        <w:numPr>
          <w:ilvl w:val="0"/>
          <w:numId w:val="28"/>
        </w:numPr>
        <w:spacing w:after="240"/>
        <w:ind w:left="426" w:hanging="426"/>
      </w:pPr>
      <w:r w:rsidRPr="00186606">
        <w:rPr>
          <w:szCs w:val="24"/>
        </w:rPr>
        <w:t xml:space="preserve">prostředky na zákonné </w:t>
      </w:r>
      <w:r w:rsidRPr="00186606">
        <w:rPr>
          <w:b/>
          <w:szCs w:val="24"/>
        </w:rPr>
        <w:t>odvody do fondů zdravotního a sociálního pojištění</w:t>
      </w:r>
      <w:r w:rsidRPr="00186606">
        <w:rPr>
          <w:szCs w:val="24"/>
        </w:rPr>
        <w:t xml:space="preserve"> </w:t>
      </w:r>
      <w:r w:rsidRPr="0014059B">
        <w:rPr>
          <w:b/>
          <w:szCs w:val="24"/>
        </w:rPr>
        <w:t>(34 %) a pro</w:t>
      </w:r>
      <w:r w:rsidRPr="00186606">
        <w:rPr>
          <w:szCs w:val="24"/>
        </w:rPr>
        <w:t xml:space="preserve"> </w:t>
      </w:r>
      <w:r w:rsidRPr="00186606">
        <w:rPr>
          <w:b/>
          <w:szCs w:val="24"/>
        </w:rPr>
        <w:t xml:space="preserve">příděl do fondu kulturních a sociálních potřeb </w:t>
      </w:r>
      <w:r w:rsidRPr="00186606">
        <w:rPr>
          <w:szCs w:val="24"/>
        </w:rPr>
        <w:t xml:space="preserve">(dále jen FKSP) </w:t>
      </w:r>
      <w:r w:rsidRPr="00186606">
        <w:rPr>
          <w:b/>
          <w:szCs w:val="24"/>
        </w:rPr>
        <w:t xml:space="preserve">(2,0 %) </w:t>
      </w:r>
      <w:r w:rsidRPr="00186606">
        <w:rPr>
          <w:szCs w:val="24"/>
        </w:rPr>
        <w:t xml:space="preserve">byly stanoveny propočtem ke stanoveným limitům prostředků na platy a na OON s přihlédnutím k reálným potřebám odvodů vyplývajících ze struktury dohod, uzavíraných u jednotlivých </w:t>
      </w:r>
      <w:r w:rsidRPr="00186606">
        <w:t>organizací;</w:t>
      </w:r>
    </w:p>
    <w:p w14:paraId="58DF289C" w14:textId="77777777" w:rsidR="00680733" w:rsidRPr="00254C08" w:rsidRDefault="00680733" w:rsidP="003354EA">
      <w:pPr>
        <w:numPr>
          <w:ilvl w:val="0"/>
          <w:numId w:val="28"/>
        </w:numPr>
        <w:spacing w:after="240"/>
        <w:ind w:left="426" w:hanging="426"/>
        <w:rPr>
          <w:i/>
          <w:u w:val="single"/>
        </w:rPr>
      </w:pPr>
      <w:r w:rsidRPr="00254C08">
        <w:rPr>
          <w:b/>
        </w:rPr>
        <w:t>v rámci stanoveného příspěvku na OBV,</w:t>
      </w:r>
      <w:r w:rsidRPr="00254C08">
        <w:t xml:space="preserve"> zvýšeného o vlastní výnosy, popřípadě i úsporami realizovanými v nákladech, </w:t>
      </w:r>
      <w:r w:rsidRPr="00254C08">
        <w:rPr>
          <w:b/>
        </w:rPr>
        <w:t>musí organizace zabezpečit</w:t>
      </w:r>
      <w:r w:rsidRPr="00254C08">
        <w:t xml:space="preserve"> i prostředky </w:t>
      </w:r>
      <w:r w:rsidRPr="00254C08">
        <w:rPr>
          <w:u w:val="single"/>
        </w:rPr>
        <w:lastRenderedPageBreak/>
        <w:t xml:space="preserve">na náhradu </w:t>
      </w:r>
      <w:r>
        <w:rPr>
          <w:u w:val="single"/>
        </w:rPr>
        <w:t xml:space="preserve">mzdy, </w:t>
      </w:r>
      <w:r w:rsidRPr="00254C08">
        <w:rPr>
          <w:u w:val="single"/>
        </w:rPr>
        <w:t>platu nebo odměny z dohody o pracovní činnosti za prvních 14 dnů dočasné pracovní neschopnosti;</w:t>
      </w:r>
    </w:p>
    <w:p w14:paraId="0425CBA8" w14:textId="77777777" w:rsidR="00680733" w:rsidRPr="00F25C02" w:rsidRDefault="00680733" w:rsidP="003354EA">
      <w:pPr>
        <w:numPr>
          <w:ilvl w:val="0"/>
          <w:numId w:val="28"/>
        </w:numPr>
        <w:spacing w:after="240"/>
        <w:ind w:left="426" w:hanging="426"/>
      </w:pPr>
      <w:r w:rsidRPr="00F25C02">
        <w:rPr>
          <w:b/>
        </w:rPr>
        <w:t>závazné ukazatele</w:t>
      </w:r>
      <w:r w:rsidRPr="00F25C02">
        <w:t xml:space="preserve"> rozpisu rozpočtu jednotlivých organizací budou v průběhu roku 2019 měněny pouze </w:t>
      </w:r>
      <w:r w:rsidRPr="00F25C02">
        <w:rPr>
          <w:b/>
        </w:rPr>
        <w:t>úpravou rozpočtu z MŠMT</w:t>
      </w:r>
      <w:r w:rsidRPr="00F25C02">
        <w:t>;</w:t>
      </w:r>
    </w:p>
    <w:p w14:paraId="39029D7C" w14:textId="65DBBE32" w:rsidR="00680733" w:rsidRPr="003917D9" w:rsidRDefault="00680733" w:rsidP="003354EA">
      <w:pPr>
        <w:numPr>
          <w:ilvl w:val="0"/>
          <w:numId w:val="70"/>
        </w:numPr>
        <w:ind w:left="709" w:hanging="283"/>
      </w:pPr>
      <w:r w:rsidRPr="003917D9">
        <w:rPr>
          <w:b/>
        </w:rPr>
        <w:t>jakákoliv žádost OPŘO</w:t>
      </w:r>
      <w:r w:rsidRPr="003917D9">
        <w:rPr>
          <w:rStyle w:val="Znakapoznpodarou"/>
          <w:b/>
        </w:rPr>
        <w:footnoteReference w:id="24"/>
      </w:r>
      <w:r w:rsidRPr="003917D9">
        <w:rPr>
          <w:b/>
        </w:rPr>
        <w:t xml:space="preserve"> o změnu struktury rozpočtu úkolu schváleného v Plánu hlavních úkolů (dále jen „PH</w:t>
      </w:r>
      <w:r w:rsidR="00EB2C79">
        <w:rPr>
          <w:b/>
        </w:rPr>
        <w:t>Ú</w:t>
      </w:r>
      <w:r w:rsidRPr="003917D9">
        <w:rPr>
          <w:b/>
        </w:rPr>
        <w:t xml:space="preserve">“), musí být doložena souhlasem věcně příslušné sekce, a to nejpozději do 30 dní od doručení žádosti OPŘO. Pokud sekce ekonomická neobdrží od věcně příslušné sekce souhlasné stanovisko s dofinancováním </w:t>
      </w:r>
      <w:r w:rsidRPr="003917D9">
        <w:t xml:space="preserve">(resortních projektů nebo účelově vymezených úkolů, které nejsou rozepsány organizacím ve výši 100 %) </w:t>
      </w:r>
      <w:r w:rsidRPr="003917D9">
        <w:rPr>
          <w:b/>
        </w:rPr>
        <w:t xml:space="preserve">nebo změnou struktury do 30 dnů od doručení žádosti OPŘO, bude to považováno za nesouhlas s podanou žádostí. Termín, do nějž je nejpozději možno předložit poslední žádost o změnu, </w:t>
      </w:r>
      <w:r w:rsidRPr="003917D9">
        <w:t>resp. stanovisko k žádosti</w:t>
      </w:r>
      <w:r w:rsidRPr="003917D9">
        <w:rPr>
          <w:b/>
        </w:rPr>
        <w:t xml:space="preserve">, se stanovuje na </w:t>
      </w:r>
      <w:r>
        <w:rPr>
          <w:b/>
        </w:rPr>
        <w:t>15</w:t>
      </w:r>
      <w:r w:rsidRPr="003917D9">
        <w:rPr>
          <w:b/>
        </w:rPr>
        <w:t>. listopad 201</w:t>
      </w:r>
      <w:r>
        <w:rPr>
          <w:b/>
        </w:rPr>
        <w:t>9</w:t>
      </w:r>
      <w:r w:rsidRPr="003917D9">
        <w:rPr>
          <w:b/>
        </w:rPr>
        <w:t xml:space="preserve"> </w:t>
      </w:r>
      <w:r w:rsidRPr="003917D9">
        <w:t>(i s ohledem na termíny předkládání rozpočtových opatření na Ministerstvo financí).</w:t>
      </w:r>
      <w:r w:rsidRPr="003917D9">
        <w:rPr>
          <w:b/>
        </w:rPr>
        <w:t xml:space="preserve"> Po tomto datu nebude na požadavky brán zřetel</w:t>
      </w:r>
      <w:r w:rsidRPr="003917D9">
        <w:rPr>
          <w:rStyle w:val="Znakapoznpodarou"/>
          <w:b/>
        </w:rPr>
        <w:footnoteReference w:id="25"/>
      </w:r>
      <w:r w:rsidRPr="003917D9">
        <w:rPr>
          <w:b/>
        </w:rPr>
        <w:t>;</w:t>
      </w:r>
    </w:p>
    <w:p w14:paraId="34607364" w14:textId="77777777" w:rsidR="00680733" w:rsidRPr="006E2913" w:rsidRDefault="00680733" w:rsidP="003354EA">
      <w:pPr>
        <w:numPr>
          <w:ilvl w:val="0"/>
          <w:numId w:val="70"/>
        </w:numPr>
        <w:ind w:left="709" w:hanging="283"/>
      </w:pPr>
      <w:r w:rsidRPr="006E2913">
        <w:t xml:space="preserve">žádosti o navýšení rozpočtu na </w:t>
      </w:r>
      <w:r w:rsidRPr="006E2913">
        <w:rPr>
          <w:b/>
        </w:rPr>
        <w:t>stávající úkoly</w:t>
      </w:r>
      <w:r w:rsidRPr="006E2913">
        <w:t xml:space="preserve">, které byly v rámci PHÚ schváleny s nižším rozpočtem, </w:t>
      </w:r>
      <w:r w:rsidRPr="006E2913">
        <w:rPr>
          <w:b/>
        </w:rPr>
        <w:t>musí být opětovně předloženy ke schválení do porady vedení s odůvodněním navýšení rozpočtu</w:t>
      </w:r>
      <w:r w:rsidRPr="006E2913">
        <w:t xml:space="preserve">; věcně příslušná sekce musí </w:t>
      </w:r>
      <w:r w:rsidRPr="006E2913">
        <w:rPr>
          <w:b/>
        </w:rPr>
        <w:t>zároveň navrhnout zdroj financování</w:t>
      </w:r>
      <w:r w:rsidRPr="006E2913">
        <w:t>;</w:t>
      </w:r>
    </w:p>
    <w:p w14:paraId="733798E5" w14:textId="77777777" w:rsidR="00680733" w:rsidRPr="0030004D" w:rsidRDefault="00680733" w:rsidP="003354EA">
      <w:pPr>
        <w:numPr>
          <w:ilvl w:val="0"/>
          <w:numId w:val="70"/>
        </w:numPr>
        <w:spacing w:after="240"/>
        <w:ind w:left="709" w:hanging="283"/>
      </w:pPr>
      <w:r w:rsidRPr="0030004D">
        <w:t xml:space="preserve">žádosti o poskytnutí prostředků na </w:t>
      </w:r>
      <w:r w:rsidRPr="0030004D">
        <w:rPr>
          <w:b/>
        </w:rPr>
        <w:t>nové úkoly</w:t>
      </w:r>
      <w:r w:rsidRPr="0030004D">
        <w:t xml:space="preserve">, které nejsou součástí plánu hlavních úkolů OPŘO, </w:t>
      </w:r>
      <w:r w:rsidRPr="0030004D">
        <w:rPr>
          <w:b/>
        </w:rPr>
        <w:t>musí být dodatečně předloženy ke schválení do porady vedení</w:t>
      </w:r>
      <w:r w:rsidRPr="0030004D">
        <w:t xml:space="preserve">; věcně příslušná sekce musí zároveň navrhnout </w:t>
      </w:r>
      <w:r w:rsidRPr="0030004D">
        <w:rPr>
          <w:b/>
        </w:rPr>
        <w:t>zdroj financování nového úkolu;</w:t>
      </w:r>
    </w:p>
    <w:p w14:paraId="36F173AA" w14:textId="6EF88AE4" w:rsidR="00680733" w:rsidRPr="00233DB8" w:rsidRDefault="00680733" w:rsidP="003354EA">
      <w:pPr>
        <w:numPr>
          <w:ilvl w:val="0"/>
          <w:numId w:val="28"/>
        </w:numPr>
        <w:spacing w:after="240"/>
        <w:ind w:left="426" w:hanging="426"/>
      </w:pPr>
      <w:r w:rsidRPr="00233DB8">
        <w:rPr>
          <w:b/>
        </w:rPr>
        <w:t xml:space="preserve">rozpočtová opatření bez změny závazných ukazatelů, </w:t>
      </w:r>
      <w:r w:rsidRPr="00233DB8">
        <w:t xml:space="preserve">tj. přesuny finančních prostředků v rámci ukazatele ost. ONIV (mezi ukazateli zákonné odvody, FKSP a OBV) lze provádět bez souhlasu financujícího </w:t>
      </w:r>
      <w:r w:rsidR="003111BD">
        <w:t>útvaru</w:t>
      </w:r>
      <w:r w:rsidRPr="00233DB8">
        <w:t>. Při těchto přesunech musí být zachována povinnost organizace zabezpečit zákonné odvody a FKSP a zároveň musí být dodržen celkový objem schváleného/upraveného rozpočtu</w:t>
      </w:r>
      <w:r>
        <w:t xml:space="preserve">. Informaci o provedených přesunech bude organizace financujícímu </w:t>
      </w:r>
      <w:r w:rsidR="003111BD">
        <w:t>útvaru</w:t>
      </w:r>
      <w:r>
        <w:t xml:space="preserve"> zasílat koncem čtvrtletí</w:t>
      </w:r>
      <w:r w:rsidRPr="00233DB8">
        <w:t xml:space="preserve">; </w:t>
      </w:r>
    </w:p>
    <w:p w14:paraId="67EF1EF1" w14:textId="4FF5507A" w:rsidR="00680733" w:rsidRPr="00462380" w:rsidRDefault="00680733" w:rsidP="003354EA">
      <w:pPr>
        <w:numPr>
          <w:ilvl w:val="0"/>
          <w:numId w:val="28"/>
        </w:numPr>
        <w:ind w:left="426" w:hanging="426"/>
      </w:pPr>
      <w:r w:rsidRPr="00462380">
        <w:rPr>
          <w:b/>
        </w:rPr>
        <w:t>zapojení organizací do nových projektů (které jsou spolufinancovány z fondů EU či z </w:t>
      </w:r>
      <w:r w:rsidR="00162B42">
        <w:rPr>
          <w:b/>
        </w:rPr>
        <w:t>FM</w:t>
      </w:r>
      <w:r w:rsidRPr="00462380">
        <w:t>,</w:t>
      </w:r>
      <w:r w:rsidRPr="00462380">
        <w:rPr>
          <w:b/>
        </w:rPr>
        <w:t xml:space="preserve"> realizovaných mimo OP VVV </w:t>
      </w:r>
      <w:r w:rsidRPr="00462380">
        <w:t xml:space="preserve">je nezbytné konzultovat, se sekcí ekonomickou případně i se sekcí </w:t>
      </w:r>
      <w:r w:rsidR="003111BD">
        <w:t>EU a ESIF</w:t>
      </w:r>
      <w:r w:rsidRPr="00462380">
        <w:t xml:space="preserve"> (problematika financování podílu příjemce). </w:t>
      </w:r>
    </w:p>
    <w:p w14:paraId="5B82E9C0" w14:textId="111D37B5" w:rsidR="00680733" w:rsidRPr="00462380" w:rsidRDefault="00680733" w:rsidP="003354EA">
      <w:pPr>
        <w:spacing w:after="240"/>
        <w:ind w:left="426"/>
      </w:pPr>
      <w:r w:rsidRPr="003354EA">
        <w:rPr>
          <w:rFonts w:cs="Calibri"/>
          <w:szCs w:val="24"/>
        </w:rPr>
        <w:t>Pro vstup do projektu je nezbytné mít souhlas nejen věcně příslušné sekce, ale především i souhlas sekce ekonomické/sekce EU a ESIF, tzn. mít zajištěn národní podíl spolufinancování. Z vyjádření potvrzující umožnění realizaci projektu musí být zřejmé, že je organizace ze zákona nebo zřizovací listiny oprávněna projekt realizovat a zároveň,</w:t>
      </w:r>
      <w:r w:rsidRPr="00462380">
        <w:t xml:space="preserve"> že ze zapojení organizace do projektu vyplývá závazek pro zřizovatele, a to pokrýt případný národní podíl/podíl příjemce financování projektu a v jaké výši z vlastních zdrojů (výnosy, zapojení rezervního fondu nebo fondu reprodukce majetku). Dále je nezbytné projednat s věcně příslušnou sekcí a sekcí e</w:t>
      </w:r>
      <w:r>
        <w:t>konomickou případné financování „povinné udržitelnosti“ projektu.</w:t>
      </w:r>
    </w:p>
    <w:p w14:paraId="484E61A9" w14:textId="77777777" w:rsidR="00680733" w:rsidRDefault="00680733" w:rsidP="005B6E93">
      <w:pPr>
        <w:numPr>
          <w:ilvl w:val="0"/>
          <w:numId w:val="28"/>
        </w:numPr>
        <w:ind w:left="425" w:hanging="425"/>
      </w:pPr>
      <w:r w:rsidRPr="0030004D">
        <w:rPr>
          <w:b/>
        </w:rPr>
        <w:lastRenderedPageBreak/>
        <w:t>organizace mají povinnost neprodleně nahlás</w:t>
      </w:r>
      <w:r>
        <w:rPr>
          <w:b/>
        </w:rPr>
        <w:t>it významnou změnu podmínek, za </w:t>
      </w:r>
      <w:r w:rsidRPr="0030004D">
        <w:rPr>
          <w:b/>
        </w:rPr>
        <w:t xml:space="preserve">nichž byl stanoven finanční vztah organizace ke státnímu rozpočtu </w:t>
      </w:r>
      <w:r w:rsidRPr="0030004D">
        <w:t xml:space="preserve">(§ 54 odst. 3 rozpočtových pravidel). </w:t>
      </w:r>
    </w:p>
    <w:p w14:paraId="0205745A" w14:textId="77777777" w:rsidR="00680733" w:rsidRDefault="00680733" w:rsidP="00680733">
      <w:pPr>
        <w:ind w:left="425"/>
      </w:pPr>
    </w:p>
    <w:p w14:paraId="264D6003" w14:textId="0D7F3D69" w:rsidR="00680733" w:rsidRPr="00443B09" w:rsidRDefault="00680733" w:rsidP="005B6E93">
      <w:pPr>
        <w:numPr>
          <w:ilvl w:val="0"/>
          <w:numId w:val="28"/>
        </w:numPr>
        <w:ind w:left="425" w:hanging="425"/>
      </w:pPr>
      <w:r w:rsidRPr="00941ED1">
        <w:t xml:space="preserve">součástí </w:t>
      </w:r>
      <w:r>
        <w:t xml:space="preserve">plánů hlavních úkolů </w:t>
      </w:r>
      <w:r w:rsidRPr="00941ED1">
        <w:t>je ekonomická nákladovost a předpokládané finanční zdroje. PHÚ byly zpracovány tak, aby úkoly organizací byly v souladu s materiálem „Rozpis rozpočtu běžných výdajů a závazných limitů regulace zaměstnanosti pro OPŘO (včetně státní správy, tj. vlastního MŠMT a ČŠI), spole</w:t>
      </w:r>
      <w:r w:rsidR="00691319">
        <w:t>čné a účelově vymezené úkoly na </w:t>
      </w:r>
      <w:r w:rsidRPr="00941ED1">
        <w:t>rok 2019</w:t>
      </w:r>
      <w:r>
        <w:t>“, s </w:t>
      </w:r>
      <w:r w:rsidRPr="00443B09">
        <w:t>platnými právními předpisy či vnitřními předpisy MŠMT, aby se tím zamezilo duplicitnímu financování.</w:t>
      </w:r>
    </w:p>
    <w:p w14:paraId="0169193B" w14:textId="77777777" w:rsidR="00680733" w:rsidRPr="00443B09" w:rsidRDefault="00680733" w:rsidP="0031482F">
      <w:pPr>
        <w:pStyle w:val="Nadpis4"/>
        <w:numPr>
          <w:ilvl w:val="0"/>
          <w:numId w:val="0"/>
        </w:numPr>
        <w:ind w:left="864"/>
      </w:pPr>
    </w:p>
    <w:p w14:paraId="37F99126" w14:textId="77777777" w:rsidR="00B41918" w:rsidRPr="00443B09" w:rsidRDefault="0094233C" w:rsidP="0031482F">
      <w:pPr>
        <w:pStyle w:val="Nadpis4"/>
      </w:pPr>
      <w:r w:rsidRPr="00443B09">
        <w:t xml:space="preserve"> </w:t>
      </w:r>
      <w:bookmarkStart w:id="161" w:name="_Toc5968875"/>
      <w:r w:rsidR="00065FD5" w:rsidRPr="00443B09">
        <w:t>Základní principy pro rozpis rozpočtu –</w:t>
      </w:r>
      <w:r w:rsidR="00614E59" w:rsidRPr="00443B09">
        <w:t xml:space="preserve"> </w:t>
      </w:r>
      <w:r w:rsidR="000030C6" w:rsidRPr="00443B09">
        <w:t>organizační složky státu</w:t>
      </w:r>
      <w:bookmarkEnd w:id="161"/>
    </w:p>
    <w:p w14:paraId="7C4238CB" w14:textId="77777777" w:rsidR="00B41918" w:rsidRPr="00443B09" w:rsidRDefault="00B41918" w:rsidP="00B41918">
      <w:pPr>
        <w:rPr>
          <w:b/>
          <w:u w:val="single"/>
        </w:rPr>
      </w:pPr>
    </w:p>
    <w:p w14:paraId="1389AED2" w14:textId="77777777" w:rsidR="00680733" w:rsidRPr="00F9415F" w:rsidRDefault="00680733" w:rsidP="00680733">
      <w:pPr>
        <w:pStyle w:val="Text"/>
      </w:pPr>
      <w:r w:rsidRPr="00F9415F">
        <w:t xml:space="preserve">Pro financování OSS (tj. ČŠI a VSC) v průběhu r. 2019 se stanovuje: </w:t>
      </w:r>
    </w:p>
    <w:p w14:paraId="2404777F" w14:textId="77777777" w:rsidR="00680733" w:rsidRPr="00F9415F" w:rsidRDefault="00680733" w:rsidP="005B6E93">
      <w:pPr>
        <w:numPr>
          <w:ilvl w:val="0"/>
          <w:numId w:val="26"/>
        </w:numPr>
        <w:spacing w:after="60"/>
        <w:ind w:left="714" w:hanging="357"/>
        <w:rPr>
          <w:szCs w:val="24"/>
        </w:rPr>
      </w:pPr>
      <w:r w:rsidRPr="00F9415F">
        <w:rPr>
          <w:szCs w:val="24"/>
        </w:rPr>
        <w:t xml:space="preserve">podle </w:t>
      </w:r>
      <w:r w:rsidRPr="00F9415F">
        <w:rPr>
          <w:b/>
          <w:szCs w:val="24"/>
        </w:rPr>
        <w:t xml:space="preserve">§ 45 odst. 1 a 2 rozpočtových pravidel hospodaří organizační složky státu </w:t>
      </w:r>
      <w:r w:rsidRPr="00F9415F">
        <w:rPr>
          <w:szCs w:val="24"/>
        </w:rPr>
        <w:t>(dále jen „OSS“</w:t>
      </w:r>
      <w:r w:rsidRPr="00F9415F">
        <w:rPr>
          <w:b/>
          <w:szCs w:val="24"/>
        </w:rPr>
        <w:t xml:space="preserve">) s prostředky státního rozpočtu, které jí stanoví správce kapitoly v rámci rozpočtu kapitoly, minimálně v rozsahu členění závazných ukazatelů daných zákonem o státním rozpočtu. </w:t>
      </w:r>
      <w:r w:rsidRPr="00F9415F">
        <w:rPr>
          <w:szCs w:val="24"/>
        </w:rPr>
        <w:t>Její příjmy jsou příjmy</w:t>
      </w:r>
      <w:r>
        <w:rPr>
          <w:szCs w:val="24"/>
        </w:rPr>
        <w:t xml:space="preserve"> státního rozpočtu a </w:t>
      </w:r>
      <w:r w:rsidRPr="00F9415F">
        <w:rPr>
          <w:szCs w:val="24"/>
        </w:rPr>
        <w:t>výdaje jsou výdaji státního rozpočtu. Rozpočet OS</w:t>
      </w:r>
      <w:r>
        <w:rPr>
          <w:szCs w:val="24"/>
        </w:rPr>
        <w:t>S může zahrnovat pouze příjmy a </w:t>
      </w:r>
      <w:r w:rsidRPr="00F9415F">
        <w:rPr>
          <w:szCs w:val="24"/>
        </w:rPr>
        <w:t>výdaje související s činnostmi vymezenými ve zřizovací listině, případně stanovenými OSS zákonem a je povinna dbát, aby dosahovala příjmů stanovených rozpočtem a plnila úkoly nejhospodárnějším způsobem;</w:t>
      </w:r>
    </w:p>
    <w:p w14:paraId="5A69085F" w14:textId="77777777" w:rsidR="00680733" w:rsidRPr="00F9415F" w:rsidRDefault="00680733" w:rsidP="005B6E93">
      <w:pPr>
        <w:numPr>
          <w:ilvl w:val="0"/>
          <w:numId w:val="26"/>
        </w:numPr>
        <w:spacing w:after="60"/>
        <w:ind w:left="714" w:hanging="357"/>
      </w:pPr>
      <w:r w:rsidRPr="00F9415F">
        <w:rPr>
          <w:szCs w:val="24"/>
        </w:rPr>
        <w:t>OSS mají rozpočet na rok 2019 nastaven prostřednictvím</w:t>
      </w:r>
      <w:r w:rsidRPr="00F9415F">
        <w:rPr>
          <w:i/>
          <w:szCs w:val="24"/>
        </w:rPr>
        <w:t xml:space="preserve"> </w:t>
      </w:r>
      <w:r w:rsidRPr="00F9415F">
        <w:rPr>
          <w:b/>
          <w:szCs w:val="24"/>
        </w:rPr>
        <w:t>IISSP</w:t>
      </w:r>
      <w:r w:rsidRPr="00F9415F">
        <w:rPr>
          <w:szCs w:val="24"/>
        </w:rPr>
        <w:t xml:space="preserve"> a jeho modulu </w:t>
      </w:r>
      <w:r w:rsidRPr="00F9415F">
        <w:rPr>
          <w:b/>
          <w:szCs w:val="24"/>
        </w:rPr>
        <w:t>RISPR</w:t>
      </w:r>
      <w:r w:rsidRPr="00F9415F">
        <w:rPr>
          <w:szCs w:val="24"/>
        </w:rPr>
        <w:t>.  Veškerá rozpočtová opatření budou OSS zpracovávat v </w:t>
      </w:r>
      <w:r w:rsidRPr="00F9415F">
        <w:rPr>
          <w:b/>
          <w:szCs w:val="24"/>
        </w:rPr>
        <w:t xml:space="preserve">Rozpočtovém informačním systému pro realizaci rozpočtu </w:t>
      </w:r>
      <w:r w:rsidRPr="00F9415F">
        <w:rPr>
          <w:szCs w:val="24"/>
        </w:rPr>
        <w:t>(dále jen „</w:t>
      </w:r>
      <w:r w:rsidRPr="00F9415F">
        <w:rPr>
          <w:b/>
          <w:szCs w:val="24"/>
        </w:rPr>
        <w:t>RISRE“</w:t>
      </w:r>
      <w:r w:rsidRPr="00F9415F">
        <w:rPr>
          <w:szCs w:val="24"/>
        </w:rPr>
        <w:t xml:space="preserve">) v členění </w:t>
      </w:r>
      <w:r w:rsidRPr="00F9415F">
        <w:rPr>
          <w:b/>
          <w:szCs w:val="24"/>
        </w:rPr>
        <w:t>RISRE-ROP</w:t>
      </w:r>
      <w:r w:rsidRPr="00F9415F">
        <w:rPr>
          <w:szCs w:val="24"/>
        </w:rPr>
        <w:t xml:space="preserve"> (rozpočtová opatření) a </w:t>
      </w:r>
      <w:r w:rsidRPr="00F9415F">
        <w:rPr>
          <w:b/>
          <w:szCs w:val="24"/>
        </w:rPr>
        <w:t>RISRE-PS</w:t>
      </w:r>
      <w:r w:rsidRPr="00F9415F">
        <w:rPr>
          <w:szCs w:val="24"/>
        </w:rPr>
        <w:t xml:space="preserve"> (platební styk);</w:t>
      </w:r>
    </w:p>
    <w:p w14:paraId="0A72F80F" w14:textId="77777777" w:rsidR="00680733" w:rsidRPr="00F9415F" w:rsidRDefault="00680733" w:rsidP="005B6E93">
      <w:pPr>
        <w:numPr>
          <w:ilvl w:val="0"/>
          <w:numId w:val="26"/>
        </w:numPr>
        <w:spacing w:after="60"/>
        <w:rPr>
          <w:szCs w:val="24"/>
        </w:rPr>
      </w:pPr>
      <w:r w:rsidRPr="00F9415F">
        <w:rPr>
          <w:szCs w:val="24"/>
        </w:rPr>
        <w:t>po schválení zákona o státním rozpočtu MF zajistilo přenos databáze rozpočtu OSS z RISPR do RISRE. Závazné ukazatele na rok 2019 jsou nadále bezprostředně po schválení vedením MŠMT organizacím zasílány i v podobě v tabulky „Rozpis rozpočtu závazných ukazatelů“ prostřednictvím datových schránek. Ve všech podkladech bude rozpis těchto ukazatelů uváděn jako schválený rozpočet na rok 2019;</w:t>
      </w:r>
    </w:p>
    <w:p w14:paraId="77A31F3A" w14:textId="77777777" w:rsidR="00680733" w:rsidRPr="003354EA" w:rsidRDefault="00680733" w:rsidP="005B6E93">
      <w:pPr>
        <w:pStyle w:val="Odstavecseseznamem"/>
        <w:numPr>
          <w:ilvl w:val="0"/>
          <w:numId w:val="26"/>
        </w:numPr>
        <w:spacing w:after="60"/>
        <w:ind w:left="714" w:hanging="357"/>
      </w:pPr>
      <w:r w:rsidRPr="00F9415F">
        <w:t>zařazování rozpočtových opatření do systému OS</w:t>
      </w:r>
      <w:r>
        <w:t xml:space="preserve">S provádí buď přímým vstupem </w:t>
      </w:r>
      <w:r w:rsidRPr="003354EA">
        <w:t>do IISSP, nebo prostřednictvím rozhraní ze svého EKIS;</w:t>
      </w:r>
    </w:p>
    <w:p w14:paraId="47F1F4B9" w14:textId="77777777" w:rsidR="00680733" w:rsidRPr="003354EA" w:rsidRDefault="00680733" w:rsidP="005B6E93">
      <w:pPr>
        <w:pStyle w:val="Odstavecseseznamem"/>
        <w:numPr>
          <w:ilvl w:val="0"/>
          <w:numId w:val="26"/>
        </w:numPr>
        <w:spacing w:after="60"/>
        <w:ind w:left="714" w:hanging="357"/>
      </w:pPr>
      <w:r w:rsidRPr="003354EA">
        <w:t>provedená rozpočtová opatření se zařazují v RISRE ROP do chronologické evidence; OSS odpovídá za soulad dat RISRE s daty ve svém EKIS;</w:t>
      </w:r>
    </w:p>
    <w:p w14:paraId="28463267" w14:textId="77777777" w:rsidR="00680733" w:rsidRPr="003354EA" w:rsidRDefault="00680733" w:rsidP="005B6E93">
      <w:pPr>
        <w:numPr>
          <w:ilvl w:val="0"/>
          <w:numId w:val="26"/>
        </w:numPr>
        <w:spacing w:after="60"/>
        <w:ind w:left="714" w:hanging="357"/>
        <w:rPr>
          <w:szCs w:val="24"/>
        </w:rPr>
      </w:pPr>
      <w:r w:rsidRPr="003354EA">
        <w:rPr>
          <w:szCs w:val="24"/>
        </w:rPr>
        <w:t>realizace plateb probíhá v IISSP v rámci RISRE-PS;</w:t>
      </w:r>
    </w:p>
    <w:p w14:paraId="2808610D" w14:textId="77777777" w:rsidR="00680733" w:rsidRPr="00F9415F" w:rsidRDefault="00680733" w:rsidP="005B6E93">
      <w:pPr>
        <w:pStyle w:val="Odstavecseseznamem"/>
        <w:numPr>
          <w:ilvl w:val="0"/>
          <w:numId w:val="26"/>
        </w:numPr>
        <w:spacing w:after="60"/>
        <w:ind w:left="714" w:hanging="357"/>
        <w:rPr>
          <w:b/>
        </w:rPr>
      </w:pPr>
      <w:r w:rsidRPr="003354EA">
        <w:t>dříve než OSS vznikne právní důvod pro výdej peněžních prostředků státního</w:t>
      </w:r>
      <w:r w:rsidRPr="00F9415F">
        <w:t xml:space="preserve"> rozpočtu, rezervuje předpokládanou výši těchto prostředků ve svém rozpočtu, a to v rozsahu identifikace koruny. Takto stanovenou výši rezervace může OSS upravovat, nebo může rezervaci zrušit. </w:t>
      </w:r>
      <w:r w:rsidRPr="00F9415F">
        <w:rPr>
          <w:b/>
        </w:rPr>
        <w:t xml:space="preserve">Předběžná řídící kontrola před vznikem závazku </w:t>
      </w:r>
      <w:r>
        <w:rPr>
          <w:b/>
        </w:rPr>
        <w:t>podle zákona č. </w:t>
      </w:r>
      <w:r w:rsidRPr="00F9415F">
        <w:rPr>
          <w:b/>
        </w:rPr>
        <w:t>320/2001 Sb., o finanční kontrole, ve znění pozdějších předpisů, musí být provedena před provedením rezervace;</w:t>
      </w:r>
    </w:p>
    <w:p w14:paraId="647FFC13" w14:textId="77777777" w:rsidR="00680733" w:rsidRPr="00F9415F" w:rsidRDefault="00680733" w:rsidP="005B6E93">
      <w:pPr>
        <w:pStyle w:val="Odstavecseseznamem"/>
        <w:numPr>
          <w:ilvl w:val="0"/>
          <w:numId w:val="26"/>
        </w:numPr>
        <w:spacing w:after="60"/>
        <w:ind w:left="714" w:hanging="357"/>
      </w:pPr>
      <w:r w:rsidRPr="00F9415F">
        <w:t>každá OSS zasílá platební příkazy do ČNB. Příkazy musí obsahovat údaje o čísle rezervace a položce rezervace;</w:t>
      </w:r>
    </w:p>
    <w:p w14:paraId="1CF64244" w14:textId="77777777" w:rsidR="00680733" w:rsidRDefault="00680733" w:rsidP="005B6E93">
      <w:pPr>
        <w:pStyle w:val="Odstavecseseznamem"/>
        <w:numPr>
          <w:ilvl w:val="0"/>
          <w:numId w:val="26"/>
        </w:numPr>
        <w:spacing w:after="60"/>
        <w:ind w:left="714" w:hanging="357"/>
      </w:pPr>
      <w:r w:rsidRPr="00F9415F">
        <w:t>prostředky státního rozpočtu, které jsou v rozpočtovém systému rezervovány dle bodu 3.7, snižují disponibilitu na dané identifikaci koruny;</w:t>
      </w:r>
    </w:p>
    <w:p w14:paraId="2E58EA9E" w14:textId="1A31451E" w:rsidR="00101BCE" w:rsidRPr="00680733" w:rsidRDefault="00680733" w:rsidP="005B6E93">
      <w:pPr>
        <w:pStyle w:val="Odstavecseseznamem"/>
        <w:numPr>
          <w:ilvl w:val="0"/>
          <w:numId w:val="26"/>
        </w:numPr>
        <w:spacing w:after="60"/>
        <w:ind w:left="714" w:hanging="357"/>
      </w:pPr>
      <w:r w:rsidRPr="00680733">
        <w:rPr>
          <w:szCs w:val="24"/>
        </w:rPr>
        <w:t xml:space="preserve">každá OSS je povinna předávat o informace o „vlastnících“ bankovních účtů, na které byly zaslány prostředky z výdajových účtů státního rozpočtu (SR).  Uvedené </w:t>
      </w:r>
      <w:r w:rsidRPr="00680733">
        <w:rPr>
          <w:szCs w:val="24"/>
        </w:rPr>
        <w:lastRenderedPageBreak/>
        <w:t>informace je nutné poskytnout nejen pro platby realizov</w:t>
      </w:r>
      <w:r w:rsidR="00930504">
        <w:rPr>
          <w:szCs w:val="24"/>
        </w:rPr>
        <w:t>ané po 1. 1. 2019, ale zpětně i </w:t>
      </w:r>
      <w:r w:rsidRPr="00680733">
        <w:rPr>
          <w:szCs w:val="24"/>
        </w:rPr>
        <w:t>pro všechny platby realizované v rozpočtovém info</w:t>
      </w:r>
      <w:r w:rsidR="00930504">
        <w:rPr>
          <w:szCs w:val="24"/>
        </w:rPr>
        <w:t>mačním systému (RISRE) od  1. 1. </w:t>
      </w:r>
      <w:r w:rsidRPr="00680733">
        <w:rPr>
          <w:szCs w:val="24"/>
        </w:rPr>
        <w:t>2013, a to z důvodu zpracování historických dat. Dod</w:t>
      </w:r>
      <w:r w:rsidR="00930504">
        <w:rPr>
          <w:szCs w:val="24"/>
        </w:rPr>
        <w:t>atečné informace o </w:t>
      </w:r>
      <w:r w:rsidRPr="00680733">
        <w:rPr>
          <w:szCs w:val="24"/>
        </w:rPr>
        <w:t xml:space="preserve">příjemcích plateb SR jsou vyžadovány ve formě </w:t>
      </w:r>
      <w:r w:rsidR="00930504">
        <w:rPr>
          <w:szCs w:val="24"/>
        </w:rPr>
        <w:t>seznamu čísel bankovních účtů a </w:t>
      </w:r>
      <w:r w:rsidRPr="00680733">
        <w:rPr>
          <w:szCs w:val="24"/>
        </w:rPr>
        <w:t xml:space="preserve">odpovídajících identifikačních údajů </w:t>
      </w:r>
      <w:r w:rsidR="003111BD">
        <w:rPr>
          <w:szCs w:val="24"/>
        </w:rPr>
        <w:t>„</w:t>
      </w:r>
      <w:r w:rsidRPr="00680733">
        <w:rPr>
          <w:szCs w:val="24"/>
        </w:rPr>
        <w:t>vlastníků</w:t>
      </w:r>
      <w:r w:rsidR="003111BD">
        <w:rPr>
          <w:szCs w:val="24"/>
        </w:rPr>
        <w:t>“</w:t>
      </w:r>
      <w:r w:rsidRPr="00680733">
        <w:rPr>
          <w:szCs w:val="24"/>
        </w:rPr>
        <w:t xml:space="preserve"> účtů (viz Technický manuál RISRE na webových stránkách MF).</w:t>
      </w:r>
    </w:p>
    <w:p w14:paraId="242D86EB" w14:textId="77777777" w:rsidR="00680733" w:rsidRPr="00853611" w:rsidRDefault="00680733" w:rsidP="00680733">
      <w:pPr>
        <w:pStyle w:val="Odstavecseseznamem"/>
        <w:rPr>
          <w:szCs w:val="24"/>
          <w:highlight w:val="yellow"/>
        </w:rPr>
      </w:pPr>
    </w:p>
    <w:p w14:paraId="019D9ED8" w14:textId="77777777" w:rsidR="00680733" w:rsidRPr="0083584E" w:rsidRDefault="00680733" w:rsidP="00680733">
      <w:pPr>
        <w:pStyle w:val="Text"/>
      </w:pPr>
      <w:r w:rsidRPr="0083584E">
        <w:t xml:space="preserve">OSS se prostřednictvím svých nominovaných typových uživatelů a jejich rolí řídí při práci v RISRE-ROP dokumentací koncového uživatele a další potřebnou dokumentací uvedenou v systému IISSP na adrese: </w:t>
      </w:r>
      <w:hyperlink r:id="rId14" w:history="1">
        <w:r w:rsidRPr="0083584E">
          <w:rPr>
            <w:rStyle w:val="Hypertextovodkaz"/>
            <w:color w:val="auto"/>
          </w:rPr>
          <w:t>https://portal.statnipokladna.cz/irj/portal/index.html</w:t>
        </w:r>
      </w:hyperlink>
      <w:r>
        <w:rPr>
          <w:rStyle w:val="Hypertextovodkaz"/>
          <w:color w:val="auto"/>
        </w:rPr>
        <w:t>.</w:t>
      </w:r>
    </w:p>
    <w:p w14:paraId="16E38429" w14:textId="77777777" w:rsidR="00680733" w:rsidRPr="0083584E" w:rsidRDefault="00680733" w:rsidP="00680733">
      <w:pPr>
        <w:rPr>
          <w:i/>
          <w:szCs w:val="24"/>
          <w:u w:val="single"/>
        </w:rPr>
      </w:pPr>
    </w:p>
    <w:p w14:paraId="3151DB82" w14:textId="77777777" w:rsidR="00680733" w:rsidRPr="0083584E" w:rsidRDefault="00680733" w:rsidP="00680733">
      <w:pPr>
        <w:ind w:left="426"/>
        <w:rPr>
          <w:i/>
          <w:szCs w:val="24"/>
          <w:u w:val="single"/>
        </w:rPr>
      </w:pPr>
      <w:r w:rsidRPr="0083584E">
        <w:rPr>
          <w:i/>
          <w:szCs w:val="24"/>
          <w:u w:val="single"/>
        </w:rPr>
        <w:t>Požadavky OSS na rozpočtové opatření</w:t>
      </w:r>
    </w:p>
    <w:p w14:paraId="2C5EDB90" w14:textId="77777777" w:rsidR="00680733" w:rsidRPr="0083584E" w:rsidRDefault="00680733" w:rsidP="00680733">
      <w:pPr>
        <w:rPr>
          <w:szCs w:val="24"/>
        </w:rPr>
      </w:pPr>
    </w:p>
    <w:p w14:paraId="4E19F087" w14:textId="77777777" w:rsidR="00680733" w:rsidRPr="0083584E" w:rsidRDefault="00680733" w:rsidP="00680733">
      <w:pPr>
        <w:pStyle w:val="Text"/>
      </w:pPr>
      <w:r w:rsidRPr="0083584E">
        <w:t>V souladu s dokumentací koncového uživatele OSS vypracovávají rozpočtová opatření (dále jen „ROP“) podle dopadu požadavku do závazných ukazatelů rozpočtu, které IISSP vyhodnocuje druhem ROP 0-5:</w:t>
      </w:r>
    </w:p>
    <w:p w14:paraId="542D38A1" w14:textId="77777777" w:rsidR="00680733" w:rsidRPr="0083584E" w:rsidRDefault="00680733" w:rsidP="00680733">
      <w:pPr>
        <w:rPr>
          <w:b/>
          <w:highlight w:val="cyan"/>
        </w:rPr>
      </w:pPr>
    </w:p>
    <w:p w14:paraId="65E268E1" w14:textId="77777777" w:rsidR="00680733" w:rsidRPr="00636D17" w:rsidRDefault="00680733" w:rsidP="005B6E93">
      <w:pPr>
        <w:numPr>
          <w:ilvl w:val="0"/>
          <w:numId w:val="40"/>
        </w:numPr>
        <w:ind w:left="851" w:hanging="425"/>
        <w:rPr>
          <w:szCs w:val="24"/>
        </w:rPr>
      </w:pPr>
      <w:r w:rsidRPr="00636D17">
        <w:rPr>
          <w:szCs w:val="24"/>
        </w:rPr>
        <w:t xml:space="preserve">Při požadavku s druhem </w:t>
      </w:r>
      <w:r w:rsidRPr="00636D17">
        <w:rPr>
          <w:b/>
          <w:szCs w:val="24"/>
        </w:rPr>
        <w:t>ROP 0–1,</w:t>
      </w:r>
      <w:r w:rsidRPr="00636D17">
        <w:rPr>
          <w:szCs w:val="24"/>
        </w:rPr>
        <w:t xml:space="preserve"> tj. rozpočtová opatření, která nevyvolávají změnu závazných ukazatelů (dále jen „ZU“) stanovených zákonem o státním rozpočtu </w:t>
      </w:r>
      <w:r>
        <w:rPr>
          <w:szCs w:val="24"/>
        </w:rPr>
        <w:t>v </w:t>
      </w:r>
      <w:r w:rsidRPr="00636D17">
        <w:rPr>
          <w:szCs w:val="24"/>
        </w:rPr>
        <w:t>příloze č. 4 (např. pohyb v analytickém členění OSS rozpočtové skladby nebo přesuny mezi položkami v rámci ZU, uvolňování nároků z nespotřebovaných výdajů). Tato ROP vyžadují v IISSP pořízení ROP bez A</w:t>
      </w:r>
      <w:r w:rsidRPr="00636D17">
        <w:rPr>
          <w:szCs w:val="24"/>
        </w:rPr>
        <w:noBreakHyphen/>
        <w:t xml:space="preserve">hlavičky, ale nepodléhají schvalování z úrovně MF. </w:t>
      </w:r>
    </w:p>
    <w:p w14:paraId="39DE6B43" w14:textId="45C57B20" w:rsidR="00680733" w:rsidRPr="00636D17" w:rsidRDefault="00680733" w:rsidP="005B6E93">
      <w:pPr>
        <w:numPr>
          <w:ilvl w:val="0"/>
          <w:numId w:val="41"/>
        </w:numPr>
        <w:ind w:left="1276" w:hanging="425"/>
        <w:rPr>
          <w:szCs w:val="24"/>
        </w:rPr>
      </w:pPr>
      <w:r w:rsidRPr="00636D17">
        <w:rPr>
          <w:szCs w:val="24"/>
        </w:rPr>
        <w:t xml:space="preserve">Pro opatření </w:t>
      </w:r>
      <w:r w:rsidRPr="00636D17">
        <w:rPr>
          <w:b/>
          <w:szCs w:val="24"/>
        </w:rPr>
        <w:t>mimo uvolňování nároků</w:t>
      </w:r>
      <w:r w:rsidRPr="00636D17">
        <w:rPr>
          <w:szCs w:val="24"/>
        </w:rPr>
        <w:t xml:space="preserve"> z nespotřebovaných výdajů OSS zakládá doklady ROP do IISSP – RISR</w:t>
      </w:r>
      <w:r w:rsidR="00930504">
        <w:rPr>
          <w:szCs w:val="24"/>
        </w:rPr>
        <w:t>E bez A-hlavičky a zanese je do </w:t>
      </w:r>
      <w:r w:rsidRPr="00636D17">
        <w:rPr>
          <w:szCs w:val="24"/>
        </w:rPr>
        <w:t xml:space="preserve">chronologické evidence IISSP. </w:t>
      </w:r>
      <w:r w:rsidRPr="00636D17">
        <w:rPr>
          <w:szCs w:val="24"/>
          <w:u w:val="single"/>
        </w:rPr>
        <w:t xml:space="preserve">Nejpozději k poslednímu pracovnímu dni měsíce zašle e-mailem souhrnnou informaci </w:t>
      </w:r>
      <w:r>
        <w:rPr>
          <w:szCs w:val="24"/>
          <w:u w:val="single"/>
        </w:rPr>
        <w:t>správci kapitoly</w:t>
      </w:r>
      <w:r w:rsidRPr="00636D17">
        <w:rPr>
          <w:szCs w:val="24"/>
          <w:u w:val="single"/>
        </w:rPr>
        <w:t xml:space="preserve"> o provedených ROP za uplynulý měsíc.</w:t>
      </w:r>
      <w:r w:rsidRPr="00636D17">
        <w:rPr>
          <w:szCs w:val="24"/>
        </w:rPr>
        <w:t xml:space="preserve"> </w:t>
      </w:r>
    </w:p>
    <w:p w14:paraId="24C5B5EB" w14:textId="023F08E9" w:rsidR="00680733" w:rsidRPr="00147CD3" w:rsidRDefault="00680733" w:rsidP="005B6E93">
      <w:pPr>
        <w:numPr>
          <w:ilvl w:val="0"/>
          <w:numId w:val="41"/>
        </w:numPr>
        <w:ind w:left="1276" w:hanging="425"/>
        <w:rPr>
          <w:szCs w:val="24"/>
        </w:rPr>
      </w:pPr>
      <w:r w:rsidRPr="00147CD3">
        <w:rPr>
          <w:szCs w:val="24"/>
        </w:rPr>
        <w:t xml:space="preserve">Pro opatření </w:t>
      </w:r>
      <w:r w:rsidRPr="00147CD3">
        <w:rPr>
          <w:b/>
          <w:szCs w:val="24"/>
        </w:rPr>
        <w:t>na uvolňování nároků</w:t>
      </w:r>
      <w:r w:rsidRPr="00147CD3">
        <w:rPr>
          <w:szCs w:val="24"/>
        </w:rPr>
        <w:t xml:space="preserve"> z nespotřebovaných výdajů požádá OSS věcně příslušný útvar MŠMT písemně o souhlas s jejich </w:t>
      </w:r>
      <w:r>
        <w:rPr>
          <w:szCs w:val="24"/>
        </w:rPr>
        <w:t>uvolněním</w:t>
      </w:r>
      <w:r w:rsidRPr="00147CD3">
        <w:rPr>
          <w:szCs w:val="24"/>
        </w:rPr>
        <w:t>. Po obdržení souhlasu zakládá doklady ROP do IISSP – RISR</w:t>
      </w:r>
      <w:r w:rsidR="00930504">
        <w:rPr>
          <w:szCs w:val="24"/>
        </w:rPr>
        <w:t>E bez A-hlavičky a zanese je do </w:t>
      </w:r>
      <w:r w:rsidRPr="00147CD3">
        <w:rPr>
          <w:szCs w:val="24"/>
        </w:rPr>
        <w:t xml:space="preserve">chronologické evidence IISSP. Nejpozději </w:t>
      </w:r>
      <w:r>
        <w:rPr>
          <w:szCs w:val="24"/>
        </w:rPr>
        <w:t>k </w:t>
      </w:r>
      <w:r w:rsidRPr="00147CD3">
        <w:rPr>
          <w:szCs w:val="24"/>
        </w:rPr>
        <w:t>poslednímu pracovnímu dni měsíce zašle e-mailem informaci rozpočtujícímu útvaru o provedených rozpočtových opatřeních. Nároky z nespotřebovaných výdajů OSS čerpá zpravidla přednostně před rozpočtem.</w:t>
      </w:r>
    </w:p>
    <w:p w14:paraId="4FE0C446" w14:textId="77777777" w:rsidR="00680733" w:rsidRPr="00D30FF8" w:rsidRDefault="00680733" w:rsidP="00680733">
      <w:pPr>
        <w:ind w:left="709"/>
        <w:rPr>
          <w:color w:val="548DD4" w:themeColor="text2" w:themeTint="99"/>
          <w:szCs w:val="24"/>
        </w:rPr>
      </w:pPr>
    </w:p>
    <w:p w14:paraId="7CD68B57" w14:textId="77777777" w:rsidR="00680733" w:rsidRPr="00063D2E" w:rsidRDefault="00680733" w:rsidP="00680733">
      <w:pPr>
        <w:ind w:left="851"/>
        <w:rPr>
          <w:szCs w:val="24"/>
        </w:rPr>
      </w:pPr>
      <w:r w:rsidRPr="00063D2E">
        <w:rPr>
          <w:szCs w:val="24"/>
        </w:rPr>
        <w:t>OSS udržuje shodu údajů v IISSP se svým EKISem.</w:t>
      </w:r>
    </w:p>
    <w:p w14:paraId="4DAC879C" w14:textId="7CEAC2B4" w:rsidR="00680733" w:rsidRPr="00063D2E" w:rsidRDefault="00680733" w:rsidP="005B6E93">
      <w:pPr>
        <w:pStyle w:val="Odstavecseseznamem"/>
        <w:numPr>
          <w:ilvl w:val="0"/>
          <w:numId w:val="71"/>
        </w:numPr>
        <w:ind w:left="851"/>
      </w:pPr>
      <w:r w:rsidRPr="00063D2E">
        <w:t xml:space="preserve">Při požadavku s druhem </w:t>
      </w:r>
      <w:r w:rsidRPr="00DB2DFD">
        <w:rPr>
          <w:b/>
        </w:rPr>
        <w:t>ROP 2–5</w:t>
      </w:r>
      <w:r w:rsidRPr="00063D2E">
        <w:t xml:space="preserve"> tj. ROP, která vyvolávají změnu ZU stanovených zákonem o státním rozpočtu v příloze č. 4. Tato ROP vyžadují v IISSP pořízení dokladu ROP s A-hlavičkou a zároveň vyžadují schvalovací proces v IISSP. OSS </w:t>
      </w:r>
      <w:r>
        <w:t xml:space="preserve">požádá </w:t>
      </w:r>
      <w:r w:rsidRPr="00063D2E">
        <w:t>příslušnou sekci</w:t>
      </w:r>
      <w:r w:rsidR="003111BD">
        <w:t>/</w:t>
      </w:r>
      <w:r w:rsidRPr="00063D2E">
        <w:t xml:space="preserve"> </w:t>
      </w:r>
      <w:r>
        <w:t>Kancelář ministra</w:t>
      </w:r>
      <w:r w:rsidRPr="00063D2E">
        <w:t xml:space="preserve"> písemnou formou o provedení ROP. Příslušná sekce </w:t>
      </w:r>
      <w:r w:rsidR="003111BD">
        <w:t>/</w:t>
      </w:r>
      <w:r>
        <w:t xml:space="preserve">Kancelář ministra </w:t>
      </w:r>
      <w:r w:rsidRPr="00063D2E">
        <w:t xml:space="preserve">žádost posoudí a v případě souhlasu doporučí </w:t>
      </w:r>
      <w:r w:rsidR="003111BD">
        <w:t>odboru finančního řízení kapitoly</w:t>
      </w:r>
      <w:r w:rsidRPr="00063D2E">
        <w:t xml:space="preserve"> </w:t>
      </w:r>
      <w:r>
        <w:t>jeho realizaci včetně návrhu na </w:t>
      </w:r>
      <w:r w:rsidRPr="00063D2E">
        <w:t>vybilancování požadavku</w:t>
      </w:r>
      <w:r>
        <w:t xml:space="preserve"> </w:t>
      </w:r>
      <w:r w:rsidRPr="00063D2E">
        <w:t>z</w:t>
      </w:r>
      <w:r>
        <w:t xml:space="preserve"> </w:t>
      </w:r>
      <w:r w:rsidRPr="00063D2E">
        <w:t>vnitřních zdrojů kapitoly.</w:t>
      </w:r>
      <w:r>
        <w:t xml:space="preserve"> </w:t>
      </w:r>
      <w:r w:rsidRPr="00063D2E">
        <w:t>Odbor</w:t>
      </w:r>
      <w:r w:rsidR="003111BD">
        <w:t xml:space="preserve"> finančního řízení kapitoly</w:t>
      </w:r>
      <w:r w:rsidRPr="00063D2E">
        <w:t xml:space="preserve"> založí</w:t>
      </w:r>
      <w:r w:rsidR="00930504">
        <w:t xml:space="preserve"> A</w:t>
      </w:r>
      <w:r w:rsidR="00930504">
        <w:noBreakHyphen/>
      </w:r>
      <w:r w:rsidRPr="00063D2E">
        <w:t>hlavičku v IISSP a zároveň ve spolupráci s přísl</w:t>
      </w:r>
      <w:r w:rsidR="00930504">
        <w:t>ušným rozpočtářem nastaví ROP v </w:t>
      </w:r>
      <w:r w:rsidRPr="00063D2E">
        <w:t xml:space="preserve">databázi ISROS. V systému IISSP odbor </w:t>
      </w:r>
      <w:r w:rsidR="00AE0C14">
        <w:t>finančního řízení kapitoly</w:t>
      </w:r>
      <w:r w:rsidRPr="00063D2E">
        <w:t xml:space="preserve"> doplní požadované přílohy a předá A</w:t>
      </w:r>
      <w:r w:rsidRPr="00063D2E">
        <w:noBreakHyphen/>
        <w:t>hlavičku k vyplnění na příslušnou OSS. Po jejím vyplnění OSS</w:t>
      </w:r>
      <w:r>
        <w:t xml:space="preserve"> </w:t>
      </w:r>
      <w:r w:rsidRPr="00063D2E">
        <w:t xml:space="preserve">A-hlavičku převezme, připojí doklad a odešle zpět na MŠMT, které žádost odešle ke schválení na MF. Po schválení ROP MF bude ROP zároveň </w:t>
      </w:r>
      <w:r w:rsidRPr="00063D2E">
        <w:lastRenderedPageBreak/>
        <w:t>systémem schváleno, zaneseno do chronologické evidence a do databáze ISROS. Písemný souhlas zašle financující útvar v obvyklé podobě, tj. úpravou rozpočtu závazných ukazatelů</w:t>
      </w:r>
      <w:r>
        <w:t xml:space="preserve"> prostřednictvím datové schránky</w:t>
      </w:r>
      <w:r w:rsidRPr="00063D2E">
        <w:t xml:space="preserve">. </w:t>
      </w:r>
    </w:p>
    <w:p w14:paraId="6EDB4103" w14:textId="77777777" w:rsidR="00680733" w:rsidRPr="00063D2E" w:rsidRDefault="00680733" w:rsidP="00680733">
      <w:pPr>
        <w:ind w:left="502"/>
        <w:rPr>
          <w:szCs w:val="24"/>
        </w:rPr>
      </w:pPr>
    </w:p>
    <w:p w14:paraId="6C5A0C05" w14:textId="77777777" w:rsidR="00680733" w:rsidRPr="00063D2E" w:rsidRDefault="00680733" w:rsidP="00680733">
      <w:pPr>
        <w:ind w:left="426"/>
        <w:rPr>
          <w:b/>
          <w:szCs w:val="24"/>
        </w:rPr>
      </w:pPr>
      <w:r w:rsidRPr="00063D2E">
        <w:rPr>
          <w:b/>
          <w:szCs w:val="24"/>
        </w:rPr>
        <w:t>Opatření, která budou obsahovat požadavky na změny závazných limitů regulace</w:t>
      </w:r>
      <w:r>
        <w:rPr>
          <w:b/>
          <w:szCs w:val="24"/>
        </w:rPr>
        <w:t xml:space="preserve"> zaměstnanosti</w:t>
      </w:r>
      <w:r w:rsidRPr="00063D2E">
        <w:rPr>
          <w:b/>
          <w:szCs w:val="24"/>
        </w:rPr>
        <w:t>, musí být vždy opatřeny A-hlavičkou.</w:t>
      </w:r>
    </w:p>
    <w:p w14:paraId="558C0670" w14:textId="77777777" w:rsidR="00680733" w:rsidRPr="00D30FF8" w:rsidRDefault="00680733" w:rsidP="00680733">
      <w:pPr>
        <w:ind w:left="709"/>
        <w:rPr>
          <w:color w:val="548DD4" w:themeColor="text2" w:themeTint="99"/>
          <w:szCs w:val="24"/>
        </w:rPr>
      </w:pPr>
    </w:p>
    <w:p w14:paraId="77DFE2CE" w14:textId="786C1FB6" w:rsidR="00680733" w:rsidRPr="001F2CB9" w:rsidRDefault="00680733" w:rsidP="005B6E93">
      <w:pPr>
        <w:numPr>
          <w:ilvl w:val="0"/>
          <w:numId w:val="40"/>
        </w:numPr>
        <w:ind w:left="851" w:hanging="425"/>
      </w:pPr>
      <w:r w:rsidRPr="00063D2E">
        <w:rPr>
          <w:szCs w:val="24"/>
        </w:rPr>
        <w:t xml:space="preserve">V případě přijetí daru a jeho použití pořídí OSS v IISSP doklad s Druhem rozpočtu: rezervní fond (dále jen „RF“) a Druhem ROP: 1-ROP bez schvalování v IISSP, který rozepíše v plné identifikaci koruny a použije položku, na které očekává čerpání. Zanesením dokladu do chronologické evidence se </w:t>
      </w:r>
      <w:r w:rsidR="00923D44">
        <w:rPr>
          <w:szCs w:val="24"/>
        </w:rPr>
        <w:t>zvýší konečný rozpočet a OSS má </w:t>
      </w:r>
      <w:r w:rsidRPr="00063D2E">
        <w:rPr>
          <w:szCs w:val="24"/>
        </w:rPr>
        <w:t>o tuto částku</w:t>
      </w:r>
      <w:r>
        <w:rPr>
          <w:szCs w:val="24"/>
        </w:rPr>
        <w:t xml:space="preserve"> povoleno překročení výdajů. Na </w:t>
      </w:r>
      <w:r w:rsidRPr="00063D2E">
        <w:rPr>
          <w:szCs w:val="24"/>
        </w:rPr>
        <w:t xml:space="preserve">vyvedení prostředků z RF OSS vystaví </w:t>
      </w:r>
      <w:r w:rsidRPr="001F2CB9">
        <w:rPr>
          <w:szCs w:val="24"/>
        </w:rPr>
        <w:t>Platební poukaz (na něm použije výdajovou položku 5345) a dále vystaví Podklad pro příjmovou finanční operaci (s příjmovou položkou 4135). Tyto dva doklady do IISSP nevstupují. Nejpozději k posl</w:t>
      </w:r>
      <w:r w:rsidR="00923D44">
        <w:rPr>
          <w:szCs w:val="24"/>
        </w:rPr>
        <w:t>ednímu pracovnímu dni měsíce po </w:t>
      </w:r>
      <w:r w:rsidRPr="001F2CB9">
        <w:rPr>
          <w:szCs w:val="24"/>
        </w:rPr>
        <w:t xml:space="preserve">obdržení daru zašle OSS e-mailem informaci odboru </w:t>
      </w:r>
      <w:r w:rsidR="00AE0C14">
        <w:rPr>
          <w:szCs w:val="24"/>
        </w:rPr>
        <w:t>finančního řízení kapitoly</w:t>
      </w:r>
      <w:r w:rsidR="00923D44">
        <w:rPr>
          <w:szCs w:val="24"/>
        </w:rPr>
        <w:t xml:space="preserve"> o </w:t>
      </w:r>
      <w:r w:rsidRPr="001F2CB9">
        <w:rPr>
          <w:szCs w:val="24"/>
        </w:rPr>
        <w:t>přijatých darech</w:t>
      </w:r>
      <w:r w:rsidRPr="001F2CB9">
        <w:t>.</w:t>
      </w:r>
    </w:p>
    <w:p w14:paraId="630CFD28" w14:textId="77777777" w:rsidR="00065FD5" w:rsidRPr="001F2CB9" w:rsidRDefault="00065FD5" w:rsidP="00B41918">
      <w:pPr>
        <w:rPr>
          <w:b/>
          <w:u w:val="single"/>
        </w:rPr>
      </w:pPr>
    </w:p>
    <w:p w14:paraId="0458DF58" w14:textId="77777777" w:rsidR="00065FD5" w:rsidRPr="001F2CB9" w:rsidRDefault="00F61FC2" w:rsidP="0031482F">
      <w:pPr>
        <w:pStyle w:val="Nadpis4"/>
      </w:pPr>
      <w:r w:rsidRPr="001F2CB9">
        <w:t xml:space="preserve"> </w:t>
      </w:r>
      <w:bookmarkStart w:id="162" w:name="_Toc5968876"/>
      <w:r w:rsidR="000F1322" w:rsidRPr="001F2CB9">
        <w:t>Specifika jednotlivých organizací</w:t>
      </w:r>
      <w:bookmarkEnd w:id="162"/>
    </w:p>
    <w:p w14:paraId="607CF774" w14:textId="77777777" w:rsidR="00065FD5" w:rsidRPr="001F2CB9" w:rsidRDefault="00065FD5" w:rsidP="00B41918"/>
    <w:p w14:paraId="352DF7BB" w14:textId="77777777" w:rsidR="00680733" w:rsidRPr="002C7BB5" w:rsidRDefault="00680733" w:rsidP="00680733">
      <w:pPr>
        <w:pStyle w:val="Text"/>
      </w:pPr>
      <w:r w:rsidRPr="001F2CB9">
        <w:rPr>
          <w:b/>
        </w:rPr>
        <w:t>Platy a související odvody</w:t>
      </w:r>
      <w:r w:rsidRPr="001F2CB9">
        <w:t xml:space="preserve"> pro všechny OPŘO byly stanoveny z úrovně MŠMT dle bodů 6 a 8 (kapitoly C.VI.1.2) tohoto materiálu</w:t>
      </w:r>
      <w:r w:rsidRPr="002C7BB5">
        <w:t>.</w:t>
      </w:r>
    </w:p>
    <w:p w14:paraId="3F858B90" w14:textId="77777777" w:rsidR="00680733" w:rsidRPr="00ED029B" w:rsidRDefault="00680733" w:rsidP="00680733">
      <w:pPr>
        <w:rPr>
          <w:color w:val="548DD4"/>
          <w:highlight w:val="yellow"/>
        </w:rPr>
      </w:pPr>
    </w:p>
    <w:p w14:paraId="0147E9DC" w14:textId="77777777" w:rsidR="00680733" w:rsidRPr="00330EB6" w:rsidRDefault="00680733" w:rsidP="00680733">
      <w:pPr>
        <w:rPr>
          <w:b/>
          <w:i/>
          <w:u w:val="single"/>
        </w:rPr>
      </w:pPr>
      <w:r w:rsidRPr="00330EB6">
        <w:rPr>
          <w:b/>
          <w:i/>
          <w:u w:val="single"/>
        </w:rPr>
        <w:t>DZS</w:t>
      </w:r>
    </w:p>
    <w:p w14:paraId="3EE34888" w14:textId="77777777" w:rsidR="00680733" w:rsidRPr="00330EB6" w:rsidRDefault="00680733" w:rsidP="00680733">
      <w:pPr>
        <w:pStyle w:val="Text"/>
      </w:pPr>
      <w:r w:rsidRPr="00330EB6">
        <w:t>Základním posláním organizace je napomáhat šíření evropské vzdělávací politiky v oblasti celoživotního učení, v souladu s národní politikou vzdělávání, řádnou implementací evropských vzdělávacích programů a plněním úkolů vyplývajících z vládních usnesení, bilaterálních mezivládních smluv a rozhodnutí MŠMT.</w:t>
      </w:r>
    </w:p>
    <w:p w14:paraId="3062584F" w14:textId="68533447" w:rsidR="00680733" w:rsidRPr="00330EB6" w:rsidRDefault="00680733" w:rsidP="00680733">
      <w:pPr>
        <w:pStyle w:val="Text"/>
      </w:pPr>
      <w:r w:rsidRPr="00330EB6">
        <w:t>V rámci své</w:t>
      </w:r>
      <w:r w:rsidRPr="00330EB6">
        <w:rPr>
          <w:b/>
        </w:rPr>
        <w:t xml:space="preserve"> </w:t>
      </w:r>
      <w:r w:rsidRPr="00330EB6">
        <w:t>činnosti DZS organizuje a zajišťuje různé formy studia a vzdělávání občanů EU a cizinců na vysokých školách v ČR; realizuje rozšiřování nabídky různých forem studia, stáží a dalších pobytů občanů ČR v zahraničí, zabezpečuje Program podpory českého kulturního dědictví v zahraničí, organizuje přijímání učitelů do Evr</w:t>
      </w:r>
      <w:r w:rsidR="00923D44">
        <w:t>opských škol a ke </w:t>
      </w:r>
      <w:r w:rsidRPr="00330EB6">
        <w:t>krajanským komunitám, realizuje a administruje programy CEEPUS a AKTION, řeší úkoly související s realizací, administrací, propagací a hmotným zabezpečením evropských vzdělávacích programů, atd.</w:t>
      </w:r>
    </w:p>
    <w:p w14:paraId="47E297E7" w14:textId="3C641F42" w:rsidR="00680733" w:rsidRPr="002E40ED" w:rsidRDefault="00680733" w:rsidP="00680733">
      <w:pPr>
        <w:pStyle w:val="Text"/>
      </w:pPr>
      <w:r w:rsidRPr="009F2CD0">
        <w:rPr>
          <w:b/>
        </w:rPr>
        <w:t>Rozpočet DZS na rok 2019</w:t>
      </w:r>
      <w:r w:rsidRPr="002E40ED">
        <w:t xml:space="preserve"> je stanoven ve výši </w:t>
      </w:r>
      <w:r w:rsidRPr="002E40ED">
        <w:rPr>
          <w:rFonts w:cs="Times New Roman"/>
          <w:b/>
        </w:rPr>
        <w:t xml:space="preserve">26 545 659 </w:t>
      </w:r>
      <w:r w:rsidRPr="002E40ED">
        <w:rPr>
          <w:b/>
        </w:rPr>
        <w:t>Kč</w:t>
      </w:r>
      <w:r w:rsidRPr="002E40ED">
        <w:t xml:space="preserve"> </w:t>
      </w:r>
      <w:r>
        <w:t>(</w:t>
      </w:r>
      <w:r w:rsidRPr="003F6D67">
        <w:rPr>
          <w:b/>
        </w:rPr>
        <w:t>LPZ je</w:t>
      </w:r>
      <w:r w:rsidR="00923D44">
        <w:t xml:space="preserve"> stanoven ve </w:t>
      </w:r>
      <w:r>
        <w:t xml:space="preserve">výši </w:t>
      </w:r>
      <w:r w:rsidRPr="003F6D67">
        <w:rPr>
          <w:b/>
        </w:rPr>
        <w:t>36,9</w:t>
      </w:r>
      <w:r>
        <w:t xml:space="preserve"> přepočtených úvazků) </w:t>
      </w:r>
      <w:r w:rsidRPr="002E40ED">
        <w:t xml:space="preserve">s tím, že: </w:t>
      </w:r>
    </w:p>
    <w:p w14:paraId="5AEA6484" w14:textId="77777777" w:rsidR="00680733" w:rsidRPr="002E40ED" w:rsidRDefault="00680733" w:rsidP="005B6E93">
      <w:pPr>
        <w:pStyle w:val="Odstavecseseznamem"/>
        <w:numPr>
          <w:ilvl w:val="0"/>
          <w:numId w:val="36"/>
        </w:numPr>
        <w:ind w:left="1134" w:hanging="425"/>
        <w:rPr>
          <w:szCs w:val="24"/>
        </w:rPr>
      </w:pPr>
      <w:r w:rsidRPr="002E40ED">
        <w:rPr>
          <w:szCs w:val="24"/>
        </w:rPr>
        <w:t>platy a související odvody jsou stanoveny z úrovně MŠMT;</w:t>
      </w:r>
    </w:p>
    <w:p w14:paraId="6D1EEF7F" w14:textId="77777777" w:rsidR="00680733" w:rsidRPr="002E40ED" w:rsidRDefault="00680733" w:rsidP="005B6E93">
      <w:pPr>
        <w:pStyle w:val="Odstavecseseznamem"/>
        <w:numPr>
          <w:ilvl w:val="0"/>
          <w:numId w:val="36"/>
        </w:numPr>
        <w:ind w:left="1134" w:hanging="425"/>
        <w:rPr>
          <w:szCs w:val="24"/>
        </w:rPr>
      </w:pPr>
      <w:r w:rsidRPr="002E40ED">
        <w:rPr>
          <w:b/>
          <w:szCs w:val="24"/>
        </w:rPr>
        <w:t>LPZ v kmenové činnosti DZS je snížen o 1 úvazek</w:t>
      </w:r>
      <w:r w:rsidRPr="002E40ED">
        <w:rPr>
          <w:szCs w:val="24"/>
        </w:rPr>
        <w:t xml:space="preserve"> (krácení úvazků za neobsazenost) </w:t>
      </w:r>
      <w:r w:rsidRPr="002E40ED">
        <w:rPr>
          <w:b/>
          <w:szCs w:val="24"/>
        </w:rPr>
        <w:t>a odpovídající finanční prostředky</w:t>
      </w:r>
      <w:r w:rsidRPr="002E40ED">
        <w:rPr>
          <w:szCs w:val="24"/>
        </w:rPr>
        <w:t xml:space="preserve"> v celkové výši 491 281 Kč (platy 361 236 Kč, odvody – 122 820 Kč, FKSP – 7 225 Kč);</w:t>
      </w:r>
    </w:p>
    <w:p w14:paraId="56D6C948" w14:textId="77777777" w:rsidR="00680733" w:rsidRPr="002E40ED" w:rsidRDefault="00680733" w:rsidP="005B6E93">
      <w:pPr>
        <w:pStyle w:val="Odstavecseseznamem"/>
        <w:numPr>
          <w:ilvl w:val="0"/>
          <w:numId w:val="36"/>
        </w:numPr>
        <w:ind w:left="1134" w:hanging="425"/>
        <w:rPr>
          <w:szCs w:val="24"/>
        </w:rPr>
      </w:pPr>
      <w:r w:rsidRPr="002E40ED">
        <w:rPr>
          <w:b/>
          <w:szCs w:val="24"/>
        </w:rPr>
        <w:t>příspěvek na platy a související odvody</w:t>
      </w:r>
      <w:r w:rsidRPr="002E40ED">
        <w:rPr>
          <w:szCs w:val="24"/>
        </w:rPr>
        <w:t xml:space="preserve"> zůstává na úrovni r. 2018 (5% navýšení tarifů je řešeno zapojením rezervního fondu organizace do rozpočtu);  </w:t>
      </w:r>
    </w:p>
    <w:p w14:paraId="08F4A999" w14:textId="08AFF8AD" w:rsidR="00680733" w:rsidRPr="002E40ED" w:rsidRDefault="00680733" w:rsidP="005B6E93">
      <w:pPr>
        <w:pStyle w:val="Odstavecseseznamem"/>
        <w:numPr>
          <w:ilvl w:val="0"/>
          <w:numId w:val="36"/>
        </w:numPr>
        <w:ind w:left="1134" w:hanging="425"/>
        <w:rPr>
          <w:szCs w:val="24"/>
        </w:rPr>
      </w:pPr>
      <w:r w:rsidRPr="002E40ED">
        <w:rPr>
          <w:szCs w:val="24"/>
        </w:rPr>
        <w:t xml:space="preserve">v rozpočtu jsou zapojeny i </w:t>
      </w:r>
      <w:r w:rsidRPr="002E40ED">
        <w:rPr>
          <w:b/>
          <w:szCs w:val="24"/>
        </w:rPr>
        <w:t>výnosy</w:t>
      </w:r>
      <w:r w:rsidRPr="002E40ED">
        <w:rPr>
          <w:szCs w:val="24"/>
        </w:rPr>
        <w:t xml:space="preserve"> ve výši </w:t>
      </w:r>
      <w:r w:rsidRPr="002E40ED">
        <w:rPr>
          <w:b/>
          <w:szCs w:val="24"/>
        </w:rPr>
        <w:t>2 396 683 Kč</w:t>
      </w:r>
      <w:r w:rsidRPr="002E40ED">
        <w:rPr>
          <w:szCs w:val="24"/>
        </w:rPr>
        <w:t xml:space="preserve">, z čehož 1 496 686 Kč tvoří zapojení rezervního fondu (v tom </w:t>
      </w:r>
      <w:r w:rsidR="00923D44">
        <w:rPr>
          <w:szCs w:val="24"/>
        </w:rPr>
        <w:t>do platů ve výši 585 </w:t>
      </w:r>
      <w:r>
        <w:rPr>
          <w:szCs w:val="24"/>
        </w:rPr>
        <w:t>796 Kč, do </w:t>
      </w:r>
      <w:r w:rsidRPr="002E40ED">
        <w:rPr>
          <w:szCs w:val="24"/>
        </w:rPr>
        <w:t>souvisejících odvodů ve výši 210 887 Kč a</w:t>
      </w:r>
      <w:r w:rsidR="00923D44">
        <w:rPr>
          <w:szCs w:val="24"/>
        </w:rPr>
        <w:t> do ostatních běžných výdajů ve </w:t>
      </w:r>
      <w:r w:rsidRPr="002E40ED">
        <w:rPr>
          <w:szCs w:val="24"/>
        </w:rPr>
        <w:t>výši 700 000 Kč).</w:t>
      </w:r>
    </w:p>
    <w:p w14:paraId="0225CF38" w14:textId="77777777" w:rsidR="00680733" w:rsidRPr="00F24154" w:rsidRDefault="00680733" w:rsidP="00680733">
      <w:pPr>
        <w:rPr>
          <w:i/>
          <w:szCs w:val="24"/>
        </w:rPr>
      </w:pPr>
      <w:r w:rsidRPr="00F24154">
        <w:rPr>
          <w:szCs w:val="24"/>
        </w:rPr>
        <w:t xml:space="preserve">Součástí rozpočtu DZS je </w:t>
      </w:r>
      <w:r w:rsidRPr="00F24154">
        <w:rPr>
          <w:b/>
          <w:szCs w:val="24"/>
        </w:rPr>
        <w:t>ubytovací zařízení</w:t>
      </w:r>
      <w:r w:rsidRPr="00F24154">
        <w:rPr>
          <w:szCs w:val="24"/>
        </w:rPr>
        <w:t xml:space="preserve"> Rezidence Dlouhá (viz kap. C.VI.1.5). </w:t>
      </w:r>
    </w:p>
    <w:p w14:paraId="7F8B4233" w14:textId="77777777" w:rsidR="00680733" w:rsidRPr="00F24154" w:rsidRDefault="00680733" w:rsidP="00680733">
      <w:pPr>
        <w:rPr>
          <w:szCs w:val="24"/>
        </w:rPr>
      </w:pPr>
      <w:r w:rsidRPr="00F24154">
        <w:rPr>
          <w:szCs w:val="24"/>
        </w:rPr>
        <w:t xml:space="preserve">Rozpočet </w:t>
      </w:r>
      <w:r w:rsidRPr="00F24154">
        <w:rPr>
          <w:b/>
          <w:szCs w:val="24"/>
        </w:rPr>
        <w:t>resortních projektů</w:t>
      </w:r>
      <w:r w:rsidRPr="00F24154">
        <w:rPr>
          <w:szCs w:val="24"/>
        </w:rPr>
        <w:t xml:space="preserve"> DZS na r. 2019 je popsán v kapitole C.VI.1 6.</w:t>
      </w:r>
    </w:p>
    <w:p w14:paraId="1C779AD7" w14:textId="77777777" w:rsidR="00680733" w:rsidRPr="00F24154" w:rsidRDefault="00680733" w:rsidP="00680733">
      <w:pPr>
        <w:rPr>
          <w:szCs w:val="24"/>
        </w:rPr>
      </w:pPr>
      <w:r w:rsidRPr="00F24154">
        <w:rPr>
          <w:szCs w:val="24"/>
        </w:rPr>
        <w:lastRenderedPageBreak/>
        <w:t xml:space="preserve">Rozpočet </w:t>
      </w:r>
      <w:r w:rsidRPr="00F24154">
        <w:rPr>
          <w:b/>
          <w:szCs w:val="24"/>
        </w:rPr>
        <w:t>účelově vymezených úkolů</w:t>
      </w:r>
      <w:r w:rsidRPr="00F24154">
        <w:rPr>
          <w:szCs w:val="24"/>
        </w:rPr>
        <w:t xml:space="preserve"> DZS na r. 201</w:t>
      </w:r>
      <w:r>
        <w:rPr>
          <w:szCs w:val="24"/>
        </w:rPr>
        <w:t>9</w:t>
      </w:r>
      <w:r w:rsidRPr="00F24154">
        <w:rPr>
          <w:szCs w:val="24"/>
        </w:rPr>
        <w:t xml:space="preserve"> je popsán v kapitole C.VI.1.8.</w:t>
      </w:r>
    </w:p>
    <w:p w14:paraId="337BDB56" w14:textId="77777777" w:rsidR="00680733" w:rsidRPr="00233DB8" w:rsidRDefault="00680733" w:rsidP="00680733">
      <w:pPr>
        <w:rPr>
          <w:szCs w:val="24"/>
        </w:rPr>
      </w:pPr>
      <w:r w:rsidRPr="00233DB8">
        <w:rPr>
          <w:szCs w:val="24"/>
        </w:rPr>
        <w:t xml:space="preserve">DZS realizuje i činnosti v rámci </w:t>
      </w:r>
      <w:r w:rsidRPr="00233DB8">
        <w:rPr>
          <w:b/>
          <w:szCs w:val="24"/>
        </w:rPr>
        <w:t>Komunitárních programů</w:t>
      </w:r>
      <w:r w:rsidRPr="00233DB8">
        <w:rPr>
          <w:szCs w:val="24"/>
        </w:rPr>
        <w:t xml:space="preserve"> – (blíže viz kap. C.VI.1.10)</w:t>
      </w:r>
    </w:p>
    <w:p w14:paraId="319A32AF" w14:textId="77777777" w:rsidR="00680733" w:rsidRPr="00ED029B" w:rsidRDefault="00680733" w:rsidP="00680733">
      <w:pPr>
        <w:rPr>
          <w:b/>
          <w:i/>
          <w:highlight w:val="yellow"/>
          <w:u w:val="single"/>
        </w:rPr>
      </w:pPr>
    </w:p>
    <w:p w14:paraId="03971F25" w14:textId="77777777" w:rsidR="00680733" w:rsidRPr="008A7AE2" w:rsidRDefault="00680733" w:rsidP="00680733">
      <w:pPr>
        <w:rPr>
          <w:b/>
          <w:i/>
          <w:u w:val="single"/>
        </w:rPr>
      </w:pPr>
      <w:r w:rsidRPr="008A7AE2">
        <w:rPr>
          <w:b/>
          <w:i/>
          <w:u w:val="single"/>
        </w:rPr>
        <w:t>NÚV</w:t>
      </w:r>
    </w:p>
    <w:p w14:paraId="5792916D" w14:textId="77777777" w:rsidR="00680733" w:rsidRPr="008A7AE2" w:rsidRDefault="00680733" w:rsidP="00680733">
      <w:pPr>
        <w:pStyle w:val="Text"/>
      </w:pPr>
      <w:r w:rsidRPr="008A7AE2">
        <w:t>NÚV v rámci své hlavní činnosti vykonává činnost školského poradenského zařízení s tím, že poskytuje poradenství odborným pracovníkům škol a školských zařízení, žákům a jejich rodičům. Organizace pracuje na tvorbě metodických, informačních a studijních materiálů a realizuje granty a projekty v oblasti poskytování preventivních a poradenských služeb. Dále vykonává činnosti analytické, vědecké a výzkumné zaměřené na tvorbu a rozvoj vzdělávací politiky státu, koncepční činnosti s důrazem na tvorbu kurikulárních dokumentů a činnosti zařízení pro další vzdělávání pedagogických pracovníků. Organizace také realizuje expertní činnosti, které jsou zaměřené na odborné posuzování některých dokumentů a metodických materiálů, atd.</w:t>
      </w:r>
    </w:p>
    <w:p w14:paraId="2CE1EB46" w14:textId="77777777" w:rsidR="00680733" w:rsidRPr="00ED029B" w:rsidRDefault="00680733" w:rsidP="00680733">
      <w:pPr>
        <w:rPr>
          <w:color w:val="2E74B5"/>
          <w:sz w:val="16"/>
          <w:szCs w:val="16"/>
          <w:highlight w:val="yellow"/>
        </w:rPr>
      </w:pPr>
    </w:p>
    <w:p w14:paraId="720BACC0" w14:textId="77777777" w:rsidR="00680733" w:rsidRPr="008A7AE2" w:rsidRDefault="00680733" w:rsidP="00680733">
      <w:pPr>
        <w:pStyle w:val="Text"/>
        <w:rPr>
          <w:b/>
        </w:rPr>
      </w:pPr>
      <w:r w:rsidRPr="008A7AE2">
        <w:rPr>
          <w:b/>
        </w:rPr>
        <w:t>Rozpočet NÚV na rok 2019</w:t>
      </w:r>
      <w:r w:rsidRPr="008A7AE2">
        <w:t xml:space="preserve"> je stanoven ve výši </w:t>
      </w:r>
      <w:r w:rsidRPr="008A7AE2">
        <w:rPr>
          <w:b/>
        </w:rPr>
        <w:t>90 828 559 Kč</w:t>
      </w:r>
      <w:r>
        <w:rPr>
          <w:b/>
        </w:rPr>
        <w:t xml:space="preserve"> </w:t>
      </w:r>
      <w:r>
        <w:t>(</w:t>
      </w:r>
      <w:r>
        <w:rPr>
          <w:b/>
        </w:rPr>
        <w:t xml:space="preserve">LPZ </w:t>
      </w:r>
      <w:r w:rsidRPr="00984ECB">
        <w:t>je stanoven</w:t>
      </w:r>
      <w:r>
        <w:t xml:space="preserve"> ve </w:t>
      </w:r>
      <w:r w:rsidRPr="00984ECB">
        <w:t>výši</w:t>
      </w:r>
      <w:r>
        <w:rPr>
          <w:b/>
        </w:rPr>
        <w:t xml:space="preserve"> 110,30 </w:t>
      </w:r>
      <w:r>
        <w:t>přepočtených úvazků)</w:t>
      </w:r>
      <w:r>
        <w:rPr>
          <w:b/>
        </w:rPr>
        <w:t>,</w:t>
      </w:r>
      <w:r w:rsidRPr="008A7AE2">
        <w:t xml:space="preserve"> s tím, že:</w:t>
      </w:r>
    </w:p>
    <w:p w14:paraId="44EF372A" w14:textId="77777777" w:rsidR="00680733" w:rsidRPr="00ED029B" w:rsidRDefault="00680733" w:rsidP="00680733">
      <w:pPr>
        <w:ind w:left="993"/>
        <w:rPr>
          <w:color w:val="2E74B5"/>
          <w:sz w:val="16"/>
          <w:szCs w:val="16"/>
          <w:highlight w:val="yellow"/>
        </w:rPr>
      </w:pPr>
    </w:p>
    <w:p w14:paraId="28241203" w14:textId="77777777" w:rsidR="00680733" w:rsidRPr="001B2C4B" w:rsidRDefault="00680733" w:rsidP="005B6E93">
      <w:pPr>
        <w:pStyle w:val="Odstavecseseznamem"/>
        <w:numPr>
          <w:ilvl w:val="0"/>
          <w:numId w:val="36"/>
        </w:numPr>
        <w:ind w:left="1134" w:hanging="425"/>
        <w:rPr>
          <w:szCs w:val="24"/>
        </w:rPr>
      </w:pPr>
      <w:r w:rsidRPr="001B2C4B">
        <w:rPr>
          <w:szCs w:val="24"/>
        </w:rPr>
        <w:t>platy a související odvody jsou stanoveny z úrovně MŠMT;</w:t>
      </w:r>
    </w:p>
    <w:p w14:paraId="0AD3C912" w14:textId="77777777" w:rsidR="00680733" w:rsidRPr="001B2C4B" w:rsidRDefault="00680733" w:rsidP="005B6E93">
      <w:pPr>
        <w:pStyle w:val="Odstavecseseznamem"/>
        <w:numPr>
          <w:ilvl w:val="0"/>
          <w:numId w:val="36"/>
        </w:numPr>
        <w:ind w:left="1134" w:hanging="425"/>
        <w:rPr>
          <w:szCs w:val="24"/>
        </w:rPr>
      </w:pPr>
      <w:r w:rsidRPr="001B2C4B">
        <w:rPr>
          <w:b/>
          <w:szCs w:val="24"/>
        </w:rPr>
        <w:t>LPZ v kmenové činnosti je snížen o 5 přepočtených úvazků</w:t>
      </w:r>
      <w:r w:rsidRPr="001B2C4B">
        <w:rPr>
          <w:szCs w:val="24"/>
        </w:rPr>
        <w:t xml:space="preserve"> (krácení úvazků za neobsazenost) a </w:t>
      </w:r>
      <w:r w:rsidRPr="00D27ADE">
        <w:rPr>
          <w:b/>
          <w:szCs w:val="24"/>
        </w:rPr>
        <w:t>odpovídající finanční prostředky</w:t>
      </w:r>
      <w:r w:rsidRPr="001B2C4B">
        <w:rPr>
          <w:szCs w:val="24"/>
        </w:rPr>
        <w:t xml:space="preserve"> v celkové výši </w:t>
      </w:r>
      <w:r w:rsidRPr="00D27ADE">
        <w:rPr>
          <w:b/>
          <w:szCs w:val="24"/>
        </w:rPr>
        <w:t>2 690 189 Kč</w:t>
      </w:r>
      <w:r w:rsidRPr="001B2C4B">
        <w:rPr>
          <w:szCs w:val="24"/>
        </w:rPr>
        <w:t xml:space="preserve"> (platy 1 978 080 Kč, odvody – 672 547 Kč, FKSP – 39 562 Kč); </w:t>
      </w:r>
      <w:r w:rsidRPr="003F6D67">
        <w:rPr>
          <w:b/>
          <w:szCs w:val="24"/>
        </w:rPr>
        <w:t>v kmenové činnosti je LPZ</w:t>
      </w:r>
      <w:r w:rsidRPr="001B2C4B">
        <w:rPr>
          <w:szCs w:val="24"/>
        </w:rPr>
        <w:t xml:space="preserve"> v souvislostí </w:t>
      </w:r>
      <w:r w:rsidRPr="003F6D67">
        <w:rPr>
          <w:b/>
          <w:szCs w:val="24"/>
        </w:rPr>
        <w:t>s revizí RVP navýšen o 10 přepočtených úvazků</w:t>
      </w:r>
      <w:r w:rsidRPr="001B2C4B">
        <w:rPr>
          <w:szCs w:val="24"/>
        </w:rPr>
        <w:t xml:space="preserve"> vč. finančních prostředků (cca 10,9 mil. Kč);</w:t>
      </w:r>
    </w:p>
    <w:p w14:paraId="79D5720E" w14:textId="77777777" w:rsidR="00680733" w:rsidRPr="001B2C4B" w:rsidRDefault="00680733" w:rsidP="005B6E93">
      <w:pPr>
        <w:pStyle w:val="Odstavecseseznamem"/>
        <w:numPr>
          <w:ilvl w:val="0"/>
          <w:numId w:val="36"/>
        </w:numPr>
        <w:ind w:left="1134" w:hanging="425"/>
        <w:rPr>
          <w:szCs w:val="24"/>
        </w:rPr>
      </w:pPr>
      <w:r w:rsidRPr="003F6D67">
        <w:rPr>
          <w:b/>
          <w:szCs w:val="24"/>
        </w:rPr>
        <w:t>příspěvek platy a související odvody</w:t>
      </w:r>
      <w:r w:rsidRPr="001B2C4B">
        <w:rPr>
          <w:szCs w:val="24"/>
        </w:rPr>
        <w:t xml:space="preserve"> zůstává na úrovni r. 2018 (5% navýšení tarifů je řešeno zapojením rezervního fondu organizace do rozpočtu); </w:t>
      </w:r>
    </w:p>
    <w:p w14:paraId="0C857DF9" w14:textId="77777777" w:rsidR="00680733" w:rsidRPr="003F6D67" w:rsidRDefault="00680733" w:rsidP="005B6E93">
      <w:pPr>
        <w:pStyle w:val="Odstavecseseznamem"/>
        <w:numPr>
          <w:ilvl w:val="0"/>
          <w:numId w:val="36"/>
        </w:numPr>
        <w:ind w:left="1134" w:hanging="425"/>
        <w:rPr>
          <w:b/>
          <w:szCs w:val="24"/>
        </w:rPr>
      </w:pPr>
      <w:r w:rsidRPr="001B2C4B">
        <w:rPr>
          <w:szCs w:val="24"/>
        </w:rPr>
        <w:t xml:space="preserve">součástí rozpočtu jsou finanční prostředky na dokončení převodu </w:t>
      </w:r>
      <w:r w:rsidRPr="003F6D67">
        <w:rPr>
          <w:b/>
          <w:szCs w:val="24"/>
        </w:rPr>
        <w:t xml:space="preserve">AKREDIS </w:t>
      </w:r>
      <w:r w:rsidRPr="001B2C4B">
        <w:rPr>
          <w:szCs w:val="24"/>
        </w:rPr>
        <w:t xml:space="preserve">ve výši </w:t>
      </w:r>
      <w:r w:rsidRPr="003F6D67">
        <w:rPr>
          <w:b/>
          <w:szCs w:val="24"/>
        </w:rPr>
        <w:t xml:space="preserve">150 </w:t>
      </w:r>
      <w:r>
        <w:rPr>
          <w:b/>
          <w:szCs w:val="24"/>
        </w:rPr>
        <w:t>000</w:t>
      </w:r>
      <w:r w:rsidRPr="003F6D67">
        <w:rPr>
          <w:b/>
          <w:szCs w:val="24"/>
        </w:rPr>
        <w:t xml:space="preserve"> Kč;</w:t>
      </w:r>
    </w:p>
    <w:p w14:paraId="783E68BC" w14:textId="77777777" w:rsidR="00680733" w:rsidRDefault="00680733" w:rsidP="005B6E93">
      <w:pPr>
        <w:pStyle w:val="Odstavecseseznamem"/>
        <w:numPr>
          <w:ilvl w:val="0"/>
          <w:numId w:val="36"/>
        </w:numPr>
        <w:ind w:left="1134" w:hanging="425"/>
        <w:rPr>
          <w:szCs w:val="24"/>
        </w:rPr>
      </w:pPr>
      <w:r w:rsidRPr="001B2C4B">
        <w:rPr>
          <w:szCs w:val="24"/>
        </w:rPr>
        <w:t xml:space="preserve">v rozpočtu jsou zapojeny i </w:t>
      </w:r>
      <w:r w:rsidRPr="003F6D67">
        <w:rPr>
          <w:b/>
          <w:szCs w:val="24"/>
        </w:rPr>
        <w:t>výnosy</w:t>
      </w:r>
      <w:r w:rsidRPr="001B2C4B">
        <w:rPr>
          <w:szCs w:val="24"/>
        </w:rPr>
        <w:t xml:space="preserve"> ve výši </w:t>
      </w:r>
      <w:r w:rsidRPr="003F6D67">
        <w:rPr>
          <w:b/>
          <w:szCs w:val="24"/>
        </w:rPr>
        <w:t>5 640 323 Kč</w:t>
      </w:r>
      <w:r w:rsidRPr="001B2C4B">
        <w:rPr>
          <w:szCs w:val="24"/>
        </w:rPr>
        <w:t>, z toho zapojení rezervního fondu v celkové výši 3 323 323 Kč (v tom platy ve výši 2 443 620 Kč a související odvody ve výši 879 703 Kč).</w:t>
      </w:r>
    </w:p>
    <w:p w14:paraId="0D44E5BE" w14:textId="77777777" w:rsidR="00680733" w:rsidRPr="001B2C4B" w:rsidRDefault="00680733" w:rsidP="00680733">
      <w:pPr>
        <w:pStyle w:val="Odstavecseseznamem"/>
        <w:ind w:left="1134"/>
        <w:rPr>
          <w:szCs w:val="24"/>
        </w:rPr>
      </w:pPr>
    </w:p>
    <w:p w14:paraId="272E5DCD" w14:textId="77777777" w:rsidR="00680733" w:rsidRPr="00381433" w:rsidRDefault="00680733" w:rsidP="00680733">
      <w:pPr>
        <w:rPr>
          <w:szCs w:val="24"/>
        </w:rPr>
      </w:pPr>
      <w:r w:rsidRPr="00381433">
        <w:rPr>
          <w:szCs w:val="24"/>
        </w:rPr>
        <w:t xml:space="preserve">Rozpočet </w:t>
      </w:r>
      <w:r w:rsidRPr="00381433">
        <w:rPr>
          <w:b/>
          <w:szCs w:val="24"/>
        </w:rPr>
        <w:t>resortních projektů</w:t>
      </w:r>
      <w:r w:rsidRPr="00381433">
        <w:rPr>
          <w:szCs w:val="24"/>
        </w:rPr>
        <w:t xml:space="preserve"> a </w:t>
      </w:r>
      <w:r w:rsidRPr="00381433">
        <w:rPr>
          <w:b/>
          <w:szCs w:val="24"/>
        </w:rPr>
        <w:t>projektů společného vzdělávání</w:t>
      </w:r>
      <w:r w:rsidRPr="00381433">
        <w:rPr>
          <w:szCs w:val="24"/>
        </w:rPr>
        <w:t xml:space="preserve"> NÚV na r. 2019 je popsán v kapitole č. C.VI.1.6.</w:t>
      </w:r>
    </w:p>
    <w:p w14:paraId="38D148A8" w14:textId="77777777" w:rsidR="00680733" w:rsidRPr="00381433" w:rsidRDefault="00680733" w:rsidP="00680733">
      <w:pPr>
        <w:ind w:left="709" w:hanging="709"/>
        <w:rPr>
          <w:szCs w:val="24"/>
        </w:rPr>
      </w:pPr>
      <w:r w:rsidRPr="00381433">
        <w:rPr>
          <w:szCs w:val="24"/>
        </w:rPr>
        <w:t xml:space="preserve">Zabezpečení </w:t>
      </w:r>
      <w:r w:rsidRPr="00381433">
        <w:rPr>
          <w:b/>
          <w:szCs w:val="24"/>
        </w:rPr>
        <w:t>udržitelnosti projektů</w:t>
      </w:r>
      <w:r w:rsidRPr="00381433">
        <w:rPr>
          <w:szCs w:val="24"/>
        </w:rPr>
        <w:t xml:space="preserve"> NÚV na r. 2019 je uvedeno v kapitole C.VI.1.7.</w:t>
      </w:r>
    </w:p>
    <w:p w14:paraId="4FDD1DF0" w14:textId="77777777" w:rsidR="00680733" w:rsidRPr="00381433" w:rsidRDefault="00680733" w:rsidP="00680733">
      <w:pPr>
        <w:ind w:left="709" w:hanging="709"/>
        <w:rPr>
          <w:szCs w:val="24"/>
        </w:rPr>
      </w:pPr>
      <w:r w:rsidRPr="00381433">
        <w:rPr>
          <w:szCs w:val="24"/>
        </w:rPr>
        <w:t xml:space="preserve">Rozpočet </w:t>
      </w:r>
      <w:r w:rsidRPr="00381433">
        <w:rPr>
          <w:b/>
          <w:szCs w:val="24"/>
        </w:rPr>
        <w:t>účelově vymezených úkolů</w:t>
      </w:r>
      <w:r w:rsidRPr="00381433">
        <w:rPr>
          <w:szCs w:val="24"/>
        </w:rPr>
        <w:t xml:space="preserve"> NÚV na r. 2019 je popsán v kapitole C.VI.1.8.</w:t>
      </w:r>
    </w:p>
    <w:p w14:paraId="70D24FE9" w14:textId="77777777" w:rsidR="00680733" w:rsidRPr="00ED029B" w:rsidRDefault="00680733" w:rsidP="00680733">
      <w:pPr>
        <w:ind w:left="1418"/>
        <w:rPr>
          <w:b/>
          <w:color w:val="00B0F0"/>
          <w:highlight w:val="yellow"/>
          <w:u w:val="single"/>
        </w:rPr>
      </w:pPr>
    </w:p>
    <w:p w14:paraId="2B280A3C" w14:textId="77777777" w:rsidR="00680733" w:rsidRPr="00512A9F" w:rsidRDefault="00680733" w:rsidP="00680733">
      <w:pPr>
        <w:rPr>
          <w:b/>
          <w:i/>
          <w:u w:val="single"/>
        </w:rPr>
      </w:pPr>
      <w:r w:rsidRPr="00512A9F">
        <w:rPr>
          <w:b/>
          <w:i/>
          <w:u w:val="single"/>
        </w:rPr>
        <w:t>NPMK</w:t>
      </w:r>
    </w:p>
    <w:p w14:paraId="3A1D767D" w14:textId="77777777" w:rsidR="00680733" w:rsidRPr="00512A9F" w:rsidRDefault="00680733" w:rsidP="00680733">
      <w:pPr>
        <w:pStyle w:val="Text"/>
      </w:pPr>
      <w:r w:rsidRPr="00512A9F">
        <w:t>NPMK je specializovanou institucí – pedagogickým</w:t>
      </w:r>
      <w:r>
        <w:t xml:space="preserve"> muzeem s veřejnou knihovnou na </w:t>
      </w:r>
      <w:r w:rsidRPr="00512A9F">
        <w:t>centrální úrovni a významným badatelským střediskem, které přispívá k systematickému poznání českého školství, učitelstva a vzdělanosti v interdiscip</w:t>
      </w:r>
      <w:r>
        <w:t>linárním evropském kontextu. Je </w:t>
      </w:r>
      <w:r w:rsidRPr="00512A9F">
        <w:t xml:space="preserve">institucí s funkcí sbírkotvornou, vědeckovýzkumnou, pedagogickou, výstavní, kulturně-vzdělávací, metodickou informační, knihovnickou a propagační. </w:t>
      </w:r>
    </w:p>
    <w:p w14:paraId="11D60573" w14:textId="5E04A1CA" w:rsidR="00680733" w:rsidRPr="00512A9F" w:rsidRDefault="00680733" w:rsidP="00680733">
      <w:pPr>
        <w:pStyle w:val="Text"/>
      </w:pPr>
      <w:r w:rsidRPr="00512A9F">
        <w:rPr>
          <w:b/>
        </w:rPr>
        <w:t>Rozpočet NPMK na rok 2019</w:t>
      </w:r>
      <w:r w:rsidRPr="00512A9F">
        <w:t xml:space="preserve"> je stanoven ve výši </w:t>
      </w:r>
      <w:r w:rsidRPr="00512A9F">
        <w:rPr>
          <w:b/>
        </w:rPr>
        <w:t>36 809 901 Kč</w:t>
      </w:r>
      <w:r w:rsidRPr="00512A9F">
        <w:t xml:space="preserve"> s tím, že: </w:t>
      </w:r>
    </w:p>
    <w:p w14:paraId="5A9BCB44" w14:textId="77777777" w:rsidR="00680733" w:rsidRPr="009E1AC0" w:rsidRDefault="00680733" w:rsidP="005B6E93">
      <w:pPr>
        <w:pStyle w:val="Odstavecseseznamem"/>
        <w:numPr>
          <w:ilvl w:val="0"/>
          <w:numId w:val="36"/>
        </w:numPr>
        <w:ind w:left="1134" w:hanging="425"/>
        <w:rPr>
          <w:szCs w:val="24"/>
        </w:rPr>
      </w:pPr>
      <w:r w:rsidRPr="00002427">
        <w:rPr>
          <w:b/>
          <w:szCs w:val="24"/>
        </w:rPr>
        <w:t>LPZ</w:t>
      </w:r>
      <w:r w:rsidRPr="009E1AC0">
        <w:rPr>
          <w:szCs w:val="24"/>
        </w:rPr>
        <w:t xml:space="preserve"> se stanovuje v úrovni r. 2018, tj. ve výši </w:t>
      </w:r>
      <w:r w:rsidRPr="00002427">
        <w:rPr>
          <w:b/>
          <w:szCs w:val="24"/>
        </w:rPr>
        <w:t>48,24</w:t>
      </w:r>
      <w:r w:rsidRPr="009E1AC0">
        <w:rPr>
          <w:szCs w:val="24"/>
        </w:rPr>
        <w:t xml:space="preserve"> přepočtených úvazků;</w:t>
      </w:r>
    </w:p>
    <w:p w14:paraId="25D1DC47" w14:textId="77777777" w:rsidR="00680733" w:rsidRPr="009E1AC0" w:rsidRDefault="00680733" w:rsidP="005B6E93">
      <w:pPr>
        <w:pStyle w:val="Odstavecseseznamem"/>
        <w:numPr>
          <w:ilvl w:val="0"/>
          <w:numId w:val="36"/>
        </w:numPr>
        <w:ind w:left="1134" w:hanging="425"/>
        <w:rPr>
          <w:szCs w:val="24"/>
        </w:rPr>
      </w:pPr>
      <w:r w:rsidRPr="00002427">
        <w:rPr>
          <w:b/>
          <w:szCs w:val="24"/>
        </w:rPr>
        <w:t>příspěvek na platy a související odvody</w:t>
      </w:r>
      <w:r w:rsidRPr="00512A9F">
        <w:rPr>
          <w:szCs w:val="24"/>
        </w:rPr>
        <w:t xml:space="preserve"> </w:t>
      </w:r>
      <w:r w:rsidRPr="009E1AC0">
        <w:rPr>
          <w:szCs w:val="24"/>
        </w:rPr>
        <w:t xml:space="preserve">zůstává na úrovni r. 2018 (5% navýšení tarifů je řešeno zapojením rezervního fondu organizace do rozpočtu); </w:t>
      </w:r>
    </w:p>
    <w:p w14:paraId="7EFC4AD5" w14:textId="77777777" w:rsidR="00680733" w:rsidRPr="009E1AC0" w:rsidRDefault="00680733" w:rsidP="005B6E93">
      <w:pPr>
        <w:pStyle w:val="Odstavecseseznamem"/>
        <w:numPr>
          <w:ilvl w:val="0"/>
          <w:numId w:val="36"/>
        </w:numPr>
        <w:ind w:left="1134" w:hanging="425"/>
        <w:rPr>
          <w:szCs w:val="24"/>
        </w:rPr>
      </w:pPr>
      <w:r w:rsidRPr="009E1AC0">
        <w:rPr>
          <w:szCs w:val="24"/>
        </w:rPr>
        <w:t xml:space="preserve">v rozpočtu jsou zapojeny i </w:t>
      </w:r>
      <w:r w:rsidRPr="00002427">
        <w:rPr>
          <w:b/>
          <w:szCs w:val="24"/>
        </w:rPr>
        <w:t>výnosy</w:t>
      </w:r>
      <w:r w:rsidRPr="009E1AC0">
        <w:rPr>
          <w:szCs w:val="24"/>
        </w:rPr>
        <w:t xml:space="preserve"> ve výši</w:t>
      </w:r>
      <w:r w:rsidRPr="00512A9F">
        <w:rPr>
          <w:szCs w:val="24"/>
        </w:rPr>
        <w:t xml:space="preserve"> </w:t>
      </w:r>
      <w:r w:rsidRPr="00002427">
        <w:rPr>
          <w:b/>
          <w:szCs w:val="24"/>
        </w:rPr>
        <w:t>1 737 934 Kč</w:t>
      </w:r>
      <w:r w:rsidRPr="00512A9F">
        <w:rPr>
          <w:szCs w:val="24"/>
        </w:rPr>
        <w:t xml:space="preserve"> </w:t>
      </w:r>
      <w:r w:rsidRPr="009E1AC0">
        <w:rPr>
          <w:szCs w:val="24"/>
        </w:rPr>
        <w:t>(z toho činí 1 137 934 Kč zapojení rezervního fondu do platů a souvisejících odvodů</w:t>
      </w:r>
      <w:r>
        <w:rPr>
          <w:szCs w:val="24"/>
        </w:rPr>
        <w:t>).</w:t>
      </w:r>
    </w:p>
    <w:p w14:paraId="2FCFD2AD" w14:textId="77777777" w:rsidR="00680733" w:rsidRPr="00ED029B" w:rsidRDefault="00680733" w:rsidP="00680733">
      <w:pPr>
        <w:ind w:left="709" w:hanging="567"/>
        <w:rPr>
          <w:color w:val="2E74B5"/>
          <w:szCs w:val="24"/>
          <w:highlight w:val="yellow"/>
        </w:rPr>
      </w:pPr>
    </w:p>
    <w:p w14:paraId="52D21615" w14:textId="77777777" w:rsidR="00680733" w:rsidRPr="00002427" w:rsidRDefault="00680733" w:rsidP="00680733">
      <w:pPr>
        <w:ind w:left="709" w:hanging="567"/>
        <w:rPr>
          <w:szCs w:val="24"/>
        </w:rPr>
      </w:pPr>
      <w:r w:rsidRPr="00002427">
        <w:rPr>
          <w:szCs w:val="24"/>
        </w:rPr>
        <w:lastRenderedPageBreak/>
        <w:t xml:space="preserve">Rozpočet </w:t>
      </w:r>
      <w:r w:rsidRPr="00002427">
        <w:rPr>
          <w:b/>
          <w:szCs w:val="24"/>
        </w:rPr>
        <w:t>resortních projektů</w:t>
      </w:r>
      <w:r w:rsidRPr="00002427">
        <w:rPr>
          <w:szCs w:val="24"/>
        </w:rPr>
        <w:t xml:space="preserve"> NPMK na r. 201</w:t>
      </w:r>
      <w:r>
        <w:rPr>
          <w:szCs w:val="24"/>
        </w:rPr>
        <w:t>9</w:t>
      </w:r>
      <w:r w:rsidRPr="00002427">
        <w:rPr>
          <w:szCs w:val="24"/>
        </w:rPr>
        <w:t xml:space="preserve"> je popsán v kapitole C.VI.1.6.</w:t>
      </w:r>
    </w:p>
    <w:p w14:paraId="60A5F84C" w14:textId="77777777" w:rsidR="00680733" w:rsidRPr="00ED029B" w:rsidRDefault="00680733" w:rsidP="00680733">
      <w:pPr>
        <w:rPr>
          <w:color w:val="2E74B5"/>
          <w:szCs w:val="24"/>
          <w:highlight w:val="yellow"/>
        </w:rPr>
      </w:pPr>
    </w:p>
    <w:p w14:paraId="5A335F30" w14:textId="77777777" w:rsidR="00680733" w:rsidRPr="00ED029B" w:rsidRDefault="00680733" w:rsidP="00680733">
      <w:pPr>
        <w:rPr>
          <w:color w:val="2E74B5"/>
          <w:sz w:val="16"/>
          <w:szCs w:val="16"/>
          <w:highlight w:val="yellow"/>
        </w:rPr>
      </w:pPr>
    </w:p>
    <w:p w14:paraId="7FD79DA2" w14:textId="77777777" w:rsidR="00680733" w:rsidRPr="00002427" w:rsidRDefault="00680733" w:rsidP="00680733">
      <w:pPr>
        <w:rPr>
          <w:b/>
          <w:i/>
          <w:u w:val="single"/>
        </w:rPr>
      </w:pPr>
      <w:r w:rsidRPr="00002427">
        <w:rPr>
          <w:b/>
          <w:i/>
          <w:u w:val="single"/>
        </w:rPr>
        <w:t>NTK</w:t>
      </w:r>
    </w:p>
    <w:p w14:paraId="0DC750F5" w14:textId="57954D67" w:rsidR="00680733" w:rsidRPr="00002427" w:rsidRDefault="00680733" w:rsidP="00680733">
      <w:pPr>
        <w:pStyle w:val="Text"/>
        <w:rPr>
          <w:rFonts w:eastAsia="Calibri"/>
          <w:lang w:eastAsia="en-US"/>
        </w:rPr>
      </w:pPr>
      <w:r w:rsidRPr="00002427">
        <w:rPr>
          <w:rFonts w:eastAsia="Calibri"/>
          <w:lang w:eastAsia="en-US"/>
        </w:rPr>
        <w:t>Hlavním úkolem organizace jako specializované knihovny s celostátní působností, je poskytování služeb především vysokým školám, ústavům Akademie věd České republiky (dále jen „AV ČR“) a dalším výzkumným ústavům, a dále studentům a výzkumným pracovníkům. Pro celou akademickou a výzkumnou sfér</w:t>
      </w:r>
      <w:r w:rsidR="002C25AF">
        <w:rPr>
          <w:rFonts w:eastAsia="Calibri"/>
          <w:lang w:eastAsia="en-US"/>
        </w:rPr>
        <w:t>u NTK koordinuje a zajišťuje na </w:t>
      </w:r>
      <w:r w:rsidRPr="00002427">
        <w:rPr>
          <w:rFonts w:eastAsia="Calibri"/>
          <w:lang w:eastAsia="en-US"/>
        </w:rPr>
        <w:t>celostátní úrovni řadu aktivit, např. konsorcionální přístup do klíčových elektronických informačních zdrojů v oblasti technických a aplikovaných přírodních věd, zajištění bibliometrických dat o výzkumu na vysokých školách, podporu otevřeného přístupu, poskytování mezinárodních výpůjčních služeb a další. Současně zajišťuje členství ČR v mezinárodních organizacích, zejména ISSN</w:t>
      </w:r>
      <w:r w:rsidRPr="00002427">
        <w:rPr>
          <w:rStyle w:val="Znakapoznpodarou"/>
          <w:rFonts w:eastAsia="Calibri"/>
          <w:lang w:eastAsia="en-US"/>
        </w:rPr>
        <w:footnoteReference w:id="26"/>
      </w:r>
      <w:r w:rsidRPr="00002427">
        <w:rPr>
          <w:rFonts w:eastAsia="Calibri"/>
          <w:lang w:eastAsia="en-US"/>
        </w:rPr>
        <w:t xml:space="preserve"> a LIBER</w:t>
      </w:r>
      <w:r w:rsidRPr="00002427">
        <w:rPr>
          <w:rStyle w:val="Znakapoznpodarou"/>
          <w:rFonts w:eastAsia="Calibri"/>
          <w:lang w:eastAsia="en-US"/>
        </w:rPr>
        <w:footnoteReference w:id="27"/>
      </w:r>
      <w:r w:rsidRPr="00002427">
        <w:rPr>
          <w:rFonts w:eastAsia="Calibri"/>
          <w:lang w:eastAsia="en-US"/>
        </w:rPr>
        <w:t>.</w:t>
      </w:r>
    </w:p>
    <w:p w14:paraId="32797948" w14:textId="77777777" w:rsidR="00680733" w:rsidRPr="00002427" w:rsidRDefault="00680733" w:rsidP="00680733">
      <w:pPr>
        <w:tabs>
          <w:tab w:val="left" w:pos="709"/>
        </w:tabs>
        <w:rPr>
          <w:b/>
          <w:color w:val="2E74B5"/>
        </w:rPr>
      </w:pPr>
    </w:p>
    <w:p w14:paraId="792E946C" w14:textId="77777777" w:rsidR="00680733" w:rsidRPr="00002427" w:rsidRDefault="00680733" w:rsidP="00680733">
      <w:pPr>
        <w:pStyle w:val="Text"/>
      </w:pPr>
      <w:r w:rsidRPr="00002427">
        <w:rPr>
          <w:b/>
        </w:rPr>
        <w:t>Rozpočet NTK na rok 2019</w:t>
      </w:r>
      <w:r w:rsidRPr="00002427">
        <w:t xml:space="preserve"> je stanoven ve výši </w:t>
      </w:r>
      <w:r w:rsidRPr="00002427">
        <w:rPr>
          <w:b/>
        </w:rPr>
        <w:t>123 560 109 Kč</w:t>
      </w:r>
      <w:r w:rsidRPr="00002427">
        <w:t xml:space="preserve"> (</w:t>
      </w:r>
      <w:r w:rsidRPr="00002427">
        <w:rPr>
          <w:b/>
        </w:rPr>
        <w:t>LZP</w:t>
      </w:r>
      <w:r>
        <w:t xml:space="preserve"> je stanoven ve </w:t>
      </w:r>
      <w:r w:rsidRPr="00002427">
        <w:t xml:space="preserve">výši </w:t>
      </w:r>
      <w:r w:rsidRPr="00002427">
        <w:rPr>
          <w:b/>
        </w:rPr>
        <w:t>140,39</w:t>
      </w:r>
      <w:r w:rsidRPr="00002427">
        <w:t xml:space="preserve"> přepočtených úvazků</w:t>
      </w:r>
      <w:r w:rsidRPr="00002427">
        <w:rPr>
          <w:b/>
        </w:rPr>
        <w:t>)</w:t>
      </w:r>
      <w:r w:rsidRPr="00002427">
        <w:t xml:space="preserve"> s tím, že:</w:t>
      </w:r>
    </w:p>
    <w:p w14:paraId="0B00E833" w14:textId="77777777" w:rsidR="00680733" w:rsidRPr="00002427" w:rsidRDefault="00680733" w:rsidP="005B6E93">
      <w:pPr>
        <w:pStyle w:val="Odstavecseseznamem"/>
        <w:numPr>
          <w:ilvl w:val="0"/>
          <w:numId w:val="36"/>
        </w:numPr>
        <w:ind w:left="1134" w:hanging="425"/>
        <w:rPr>
          <w:szCs w:val="24"/>
        </w:rPr>
      </w:pPr>
      <w:r w:rsidRPr="00002427">
        <w:rPr>
          <w:szCs w:val="24"/>
        </w:rPr>
        <w:t>platy a související odvody jsou stanoveny z úrovně MŠMT;</w:t>
      </w:r>
    </w:p>
    <w:p w14:paraId="3CD8B4D5" w14:textId="77777777" w:rsidR="00680733" w:rsidRPr="00002427" w:rsidRDefault="00680733" w:rsidP="005B6E93">
      <w:pPr>
        <w:pStyle w:val="Odstavecseseznamem"/>
        <w:numPr>
          <w:ilvl w:val="0"/>
          <w:numId w:val="36"/>
        </w:numPr>
        <w:ind w:left="1134" w:hanging="425"/>
        <w:rPr>
          <w:szCs w:val="24"/>
        </w:rPr>
      </w:pPr>
      <w:r w:rsidRPr="00002427">
        <w:rPr>
          <w:b/>
          <w:szCs w:val="24"/>
        </w:rPr>
        <w:t>LPZ v kmenové činnosti NTK je snížen o 5 úvazků</w:t>
      </w:r>
      <w:r w:rsidRPr="00002427">
        <w:rPr>
          <w:szCs w:val="24"/>
        </w:rPr>
        <w:t xml:space="preserve"> (krácení úvazků za neobsazenost) </w:t>
      </w:r>
      <w:r w:rsidRPr="00002427">
        <w:rPr>
          <w:b/>
          <w:szCs w:val="24"/>
        </w:rPr>
        <w:t>a odpovídající finanční prostředky</w:t>
      </w:r>
      <w:r w:rsidRPr="00002427">
        <w:rPr>
          <w:szCs w:val="24"/>
        </w:rPr>
        <w:t xml:space="preserve"> v celkové výši </w:t>
      </w:r>
      <w:r w:rsidRPr="00002427">
        <w:rPr>
          <w:b/>
          <w:szCs w:val="24"/>
        </w:rPr>
        <w:t>2 369 827 Kč</w:t>
      </w:r>
      <w:r w:rsidRPr="00002427">
        <w:rPr>
          <w:szCs w:val="24"/>
        </w:rPr>
        <w:t xml:space="preserve"> (platy 1 742 520 Kč, odvody – 592 457 Kč, FKSP – 34 850 Kč);</w:t>
      </w:r>
    </w:p>
    <w:p w14:paraId="609E3415" w14:textId="77777777" w:rsidR="00680733" w:rsidRPr="00002427" w:rsidRDefault="00680733" w:rsidP="005B6E93">
      <w:pPr>
        <w:pStyle w:val="Odstavecseseznamem"/>
        <w:numPr>
          <w:ilvl w:val="0"/>
          <w:numId w:val="36"/>
        </w:numPr>
        <w:ind w:left="1134" w:hanging="425"/>
        <w:rPr>
          <w:szCs w:val="24"/>
        </w:rPr>
      </w:pPr>
      <w:r w:rsidRPr="00002427">
        <w:rPr>
          <w:b/>
          <w:szCs w:val="24"/>
        </w:rPr>
        <w:t>příspěvek na platy a související odvody</w:t>
      </w:r>
      <w:r w:rsidRPr="00002427">
        <w:rPr>
          <w:szCs w:val="24"/>
        </w:rPr>
        <w:t xml:space="preserve"> zůstává na úrovni r. 2018 (5% navýšení tarifů je řešeno zapojením rezervního fondu organizace do rozpočtu); </w:t>
      </w:r>
    </w:p>
    <w:p w14:paraId="3040E844" w14:textId="77777777" w:rsidR="00680733" w:rsidRPr="00002427" w:rsidRDefault="00680733" w:rsidP="005B6E93">
      <w:pPr>
        <w:pStyle w:val="Odstavecseseznamem"/>
        <w:numPr>
          <w:ilvl w:val="0"/>
          <w:numId w:val="36"/>
        </w:numPr>
        <w:ind w:left="1134" w:hanging="425"/>
        <w:rPr>
          <w:szCs w:val="24"/>
        </w:rPr>
      </w:pPr>
      <w:r w:rsidRPr="00002427">
        <w:rPr>
          <w:b/>
          <w:szCs w:val="24"/>
        </w:rPr>
        <w:t>trvalé navýšení</w:t>
      </w:r>
      <w:r w:rsidRPr="00002427">
        <w:rPr>
          <w:szCs w:val="24"/>
        </w:rPr>
        <w:t xml:space="preserve"> na konsorciální poplatky činí </w:t>
      </w:r>
      <w:r w:rsidRPr="00002427">
        <w:rPr>
          <w:b/>
          <w:szCs w:val="24"/>
        </w:rPr>
        <w:t>4 mil. Kč</w:t>
      </w:r>
      <w:r w:rsidRPr="00002427">
        <w:rPr>
          <w:szCs w:val="24"/>
        </w:rPr>
        <w:t xml:space="preserve"> (v r. 2018 financováno z nároků nespotřebovaných neprofilujících výdajů);</w:t>
      </w:r>
    </w:p>
    <w:p w14:paraId="451B3BFD" w14:textId="77777777" w:rsidR="00680733" w:rsidRPr="00002427" w:rsidRDefault="00680733" w:rsidP="005B6E93">
      <w:pPr>
        <w:pStyle w:val="Odstavecseseznamem"/>
        <w:numPr>
          <w:ilvl w:val="0"/>
          <w:numId w:val="36"/>
        </w:numPr>
        <w:ind w:left="1134" w:hanging="425"/>
        <w:rPr>
          <w:szCs w:val="24"/>
        </w:rPr>
      </w:pPr>
      <w:r w:rsidRPr="00002427">
        <w:rPr>
          <w:szCs w:val="24"/>
        </w:rPr>
        <w:t xml:space="preserve">v rozpočtu jsou zapojeny i </w:t>
      </w:r>
      <w:r w:rsidRPr="00002427">
        <w:rPr>
          <w:b/>
          <w:szCs w:val="24"/>
        </w:rPr>
        <w:t>výnosy</w:t>
      </w:r>
      <w:r w:rsidRPr="00002427">
        <w:rPr>
          <w:szCs w:val="24"/>
        </w:rPr>
        <w:t xml:space="preserve"> ve výši </w:t>
      </w:r>
      <w:r w:rsidRPr="00002427">
        <w:rPr>
          <w:b/>
          <w:szCs w:val="24"/>
        </w:rPr>
        <w:t>15 500 000 Kč</w:t>
      </w:r>
      <w:r w:rsidRPr="00002427">
        <w:rPr>
          <w:szCs w:val="24"/>
        </w:rPr>
        <w:t xml:space="preserve">, z toho </w:t>
      </w:r>
      <w:r w:rsidRPr="00002427">
        <w:rPr>
          <w:b/>
          <w:szCs w:val="24"/>
        </w:rPr>
        <w:t>zapojení rezervního fondu</w:t>
      </w:r>
      <w:r w:rsidRPr="00002427">
        <w:rPr>
          <w:szCs w:val="24"/>
        </w:rPr>
        <w:t xml:space="preserve"> v celkové výši </w:t>
      </w:r>
      <w:r w:rsidRPr="00002427">
        <w:rPr>
          <w:b/>
          <w:szCs w:val="24"/>
        </w:rPr>
        <w:t>3 083 031 Kč</w:t>
      </w:r>
      <w:r w:rsidRPr="00002427">
        <w:rPr>
          <w:szCs w:val="24"/>
        </w:rPr>
        <w:t xml:space="preserve"> (v tom do platů ve výši 2 102 481 Kč, do souvisejících odvodů ve výši 756 893 Kč a do ostatních běžných výdajů ve výši 223 657 Kč). </w:t>
      </w:r>
    </w:p>
    <w:p w14:paraId="40D93718" w14:textId="77777777" w:rsidR="00680733" w:rsidRPr="00ED029B" w:rsidRDefault="00680733" w:rsidP="00680733">
      <w:pPr>
        <w:rPr>
          <w:color w:val="2E74B5"/>
          <w:szCs w:val="24"/>
          <w:highlight w:val="yellow"/>
        </w:rPr>
      </w:pPr>
    </w:p>
    <w:p w14:paraId="682379EB" w14:textId="77777777" w:rsidR="00680733" w:rsidRPr="00002427" w:rsidRDefault="00680733" w:rsidP="00680733">
      <w:pPr>
        <w:rPr>
          <w:szCs w:val="24"/>
        </w:rPr>
      </w:pPr>
      <w:r w:rsidRPr="00002427">
        <w:rPr>
          <w:szCs w:val="24"/>
        </w:rPr>
        <w:t xml:space="preserve">Rozpočet </w:t>
      </w:r>
      <w:r w:rsidRPr="00002427">
        <w:rPr>
          <w:b/>
          <w:szCs w:val="24"/>
        </w:rPr>
        <w:t>resortního projektu</w:t>
      </w:r>
      <w:r w:rsidRPr="00002427">
        <w:rPr>
          <w:szCs w:val="24"/>
        </w:rPr>
        <w:t xml:space="preserve"> Hybridní knihovna NTK na r. 201</w:t>
      </w:r>
      <w:r>
        <w:rPr>
          <w:szCs w:val="24"/>
        </w:rPr>
        <w:t>9</w:t>
      </w:r>
      <w:r w:rsidRPr="00002427">
        <w:rPr>
          <w:szCs w:val="24"/>
        </w:rPr>
        <w:t xml:space="preserve"> je popsán v kapitole C.VI.1.6.</w:t>
      </w:r>
    </w:p>
    <w:p w14:paraId="34092349" w14:textId="77777777" w:rsidR="00680733" w:rsidRPr="00002427" w:rsidRDefault="00680733" w:rsidP="00680733">
      <w:pPr>
        <w:rPr>
          <w:b/>
          <w:i/>
          <w:color w:val="2E74B5"/>
          <w:u w:val="single"/>
        </w:rPr>
      </w:pPr>
    </w:p>
    <w:p w14:paraId="5D9B651C" w14:textId="77777777" w:rsidR="00680733" w:rsidRPr="00002427" w:rsidRDefault="00680733" w:rsidP="00680733">
      <w:pPr>
        <w:rPr>
          <w:b/>
          <w:i/>
          <w:u w:val="single"/>
        </w:rPr>
      </w:pPr>
      <w:r w:rsidRPr="00002427">
        <w:rPr>
          <w:b/>
          <w:i/>
          <w:u w:val="single"/>
        </w:rPr>
        <w:t>NIDV</w:t>
      </w:r>
    </w:p>
    <w:p w14:paraId="2D82C8DA" w14:textId="77777777" w:rsidR="00680733" w:rsidRPr="00002427" w:rsidRDefault="00680733" w:rsidP="00680733">
      <w:pPr>
        <w:pStyle w:val="Text"/>
      </w:pPr>
      <w:r w:rsidRPr="00002427">
        <w:t>NIDV vykonává v rámci své hlavní činnosti činnost pro další vzdělávání pedagogických pracovníků, dále poskytuje služby školám, školským zařízením i dalším institucím v oblasti školství a vzdělávání. Organizace zajišťuje i úkoly, které vyplývají z priorit státní vzdělávací politiky, a které vedou k systematické profesní podpoře cílových skupin pedagogických pracovníků škol a školských zařízení se zvláštním zřetelem na školská zařízení pro zájmové vzdělávání a pracovníky pracujících s dětmi a mládeží ve volném čase. Organizace také zabezpečuje profesní rozvoj pedagogických pracovníků (kariérní systém) a pracovníků pracujících s dětmi a mládeží, realizuje a zprostředkovává mezinárodní aktivity. NIDV poskytuje ubytovací a stravovací služby spojené s pořádáním vzdělávacích, informačních a jiných aktivit.</w:t>
      </w:r>
    </w:p>
    <w:p w14:paraId="0D601955" w14:textId="77777777" w:rsidR="00680733" w:rsidRPr="00002427" w:rsidRDefault="00680733" w:rsidP="00680733">
      <w:pPr>
        <w:ind w:firstLine="567"/>
        <w:rPr>
          <w:color w:val="2E74B5"/>
          <w:sz w:val="16"/>
          <w:szCs w:val="16"/>
        </w:rPr>
      </w:pPr>
    </w:p>
    <w:p w14:paraId="3AB885F4" w14:textId="77777777" w:rsidR="00680733" w:rsidRPr="00002427" w:rsidRDefault="00680733" w:rsidP="00680733">
      <w:pPr>
        <w:pStyle w:val="Text"/>
      </w:pPr>
      <w:r w:rsidRPr="00002427">
        <w:rPr>
          <w:b/>
        </w:rPr>
        <w:lastRenderedPageBreak/>
        <w:t>Rozpočet</w:t>
      </w:r>
      <w:r w:rsidRPr="00002427">
        <w:t xml:space="preserve"> </w:t>
      </w:r>
      <w:r w:rsidRPr="00002427">
        <w:rPr>
          <w:b/>
        </w:rPr>
        <w:t>NIDV</w:t>
      </w:r>
      <w:r w:rsidRPr="00002427">
        <w:t xml:space="preserve"> na rok 201</w:t>
      </w:r>
      <w:r>
        <w:t>9</w:t>
      </w:r>
      <w:r w:rsidRPr="00002427">
        <w:t xml:space="preserve"> je stanoven ve výši </w:t>
      </w:r>
      <w:r>
        <w:rPr>
          <w:b/>
        </w:rPr>
        <w:t xml:space="preserve">99 026 582 Kč </w:t>
      </w:r>
      <w:r>
        <w:t>(</w:t>
      </w:r>
      <w:r>
        <w:rPr>
          <w:b/>
        </w:rPr>
        <w:t xml:space="preserve">LPZ </w:t>
      </w:r>
      <w:r>
        <w:t>je stanoven ve </w:t>
      </w:r>
      <w:r w:rsidRPr="00984ECB">
        <w:t>výši</w:t>
      </w:r>
      <w:r>
        <w:rPr>
          <w:b/>
        </w:rPr>
        <w:t xml:space="preserve"> 113,38 </w:t>
      </w:r>
      <w:r w:rsidRPr="00984ECB">
        <w:t>přepočtených úvazků)</w:t>
      </w:r>
      <w:r>
        <w:rPr>
          <w:b/>
        </w:rPr>
        <w:t xml:space="preserve"> </w:t>
      </w:r>
      <w:r w:rsidRPr="00002427">
        <w:t xml:space="preserve">s tím, že: </w:t>
      </w:r>
    </w:p>
    <w:p w14:paraId="53F7C4B2" w14:textId="77777777" w:rsidR="00680733" w:rsidRDefault="00680733" w:rsidP="005B6E93">
      <w:pPr>
        <w:pStyle w:val="Odstavecseseznamem"/>
        <w:numPr>
          <w:ilvl w:val="0"/>
          <w:numId w:val="36"/>
        </w:numPr>
        <w:ind w:left="1134" w:hanging="425"/>
        <w:rPr>
          <w:szCs w:val="24"/>
        </w:rPr>
      </w:pPr>
      <w:r w:rsidRPr="00984ECB">
        <w:rPr>
          <w:szCs w:val="24"/>
        </w:rPr>
        <w:t>platy a související odvody jsou stanoveny z úrovně MŠMT</w:t>
      </w:r>
      <w:r>
        <w:rPr>
          <w:szCs w:val="24"/>
        </w:rPr>
        <w:t>;</w:t>
      </w:r>
      <w:r w:rsidRPr="00984ECB">
        <w:rPr>
          <w:szCs w:val="24"/>
        </w:rPr>
        <w:t xml:space="preserve"> </w:t>
      </w:r>
    </w:p>
    <w:p w14:paraId="6341BF72" w14:textId="4EEE1372" w:rsidR="00680733" w:rsidRPr="009E1AC0" w:rsidRDefault="00680733" w:rsidP="005B6E93">
      <w:pPr>
        <w:pStyle w:val="Odstavecseseznamem"/>
        <w:numPr>
          <w:ilvl w:val="0"/>
          <w:numId w:val="36"/>
        </w:numPr>
        <w:ind w:left="1134" w:hanging="425"/>
        <w:rPr>
          <w:szCs w:val="24"/>
        </w:rPr>
      </w:pPr>
      <w:r w:rsidRPr="00547AD8">
        <w:rPr>
          <w:b/>
          <w:szCs w:val="24"/>
        </w:rPr>
        <w:t>LPZ v kmenové činnosti je snížen o 1 úvazek</w:t>
      </w:r>
      <w:r w:rsidRPr="00984ECB">
        <w:rPr>
          <w:szCs w:val="24"/>
        </w:rPr>
        <w:t xml:space="preserve"> </w:t>
      </w:r>
      <w:r w:rsidRPr="009E1AC0">
        <w:rPr>
          <w:szCs w:val="24"/>
        </w:rPr>
        <w:t>(krácení úvazků za neobsazenost</w:t>
      </w:r>
      <w:r w:rsidRPr="00984ECB">
        <w:rPr>
          <w:szCs w:val="24"/>
        </w:rPr>
        <w:t xml:space="preserve">) </w:t>
      </w:r>
      <w:r w:rsidRPr="00547AD8">
        <w:rPr>
          <w:b/>
          <w:szCs w:val="24"/>
        </w:rPr>
        <w:t>a odpovídající finanční prostředky</w:t>
      </w:r>
      <w:r w:rsidRPr="009E1AC0">
        <w:rPr>
          <w:szCs w:val="24"/>
        </w:rPr>
        <w:t xml:space="preserve"> v celkové</w:t>
      </w:r>
      <w:r w:rsidR="00691319">
        <w:rPr>
          <w:szCs w:val="24"/>
        </w:rPr>
        <w:t xml:space="preserve"> výši 560 152 Kč (platy 411 876 </w:t>
      </w:r>
      <w:r w:rsidRPr="009E1AC0">
        <w:rPr>
          <w:szCs w:val="24"/>
        </w:rPr>
        <w:t xml:space="preserve">Kč, odvody – 140 038 Kč, FKSP – 8 238 Kč); zároveň je trvale </w:t>
      </w:r>
      <w:r w:rsidRPr="00547AD8">
        <w:rPr>
          <w:b/>
          <w:szCs w:val="24"/>
        </w:rPr>
        <w:t>navýšen o 3 úvazky (cca 3,5 mil. Kč) na administraci dotačních výzev</w:t>
      </w:r>
      <w:r w:rsidR="00691319">
        <w:rPr>
          <w:szCs w:val="24"/>
        </w:rPr>
        <w:t xml:space="preserve"> (převod z RgŠ a </w:t>
      </w:r>
      <w:r w:rsidRPr="009E1AC0">
        <w:rPr>
          <w:szCs w:val="24"/>
        </w:rPr>
        <w:t xml:space="preserve">sportu) a o </w:t>
      </w:r>
      <w:r w:rsidRPr="00547AD8">
        <w:rPr>
          <w:b/>
          <w:szCs w:val="24"/>
        </w:rPr>
        <w:t>4,2 úvazky</w:t>
      </w:r>
      <w:r w:rsidRPr="00984ECB">
        <w:rPr>
          <w:szCs w:val="24"/>
        </w:rPr>
        <w:t xml:space="preserve"> </w:t>
      </w:r>
      <w:r w:rsidRPr="009E1AC0">
        <w:rPr>
          <w:szCs w:val="24"/>
        </w:rPr>
        <w:t xml:space="preserve">na asistentky krajských pracovišť (bez zajištění mzdových prostředků); </w:t>
      </w:r>
    </w:p>
    <w:p w14:paraId="6C5A6FFF" w14:textId="77777777" w:rsidR="00680733" w:rsidRPr="009E1AC0" w:rsidRDefault="00680733" w:rsidP="005B6E93">
      <w:pPr>
        <w:pStyle w:val="Odstavecseseznamem"/>
        <w:numPr>
          <w:ilvl w:val="0"/>
          <w:numId w:val="36"/>
        </w:numPr>
        <w:ind w:left="1134" w:hanging="425"/>
        <w:rPr>
          <w:szCs w:val="24"/>
        </w:rPr>
      </w:pPr>
      <w:r w:rsidRPr="00984ECB">
        <w:rPr>
          <w:szCs w:val="24"/>
        </w:rPr>
        <w:t xml:space="preserve">příspěvek na platy a související odvody </w:t>
      </w:r>
      <w:r w:rsidRPr="009E1AC0">
        <w:rPr>
          <w:szCs w:val="24"/>
        </w:rPr>
        <w:t xml:space="preserve">zůstává na úrovni r. 2018 (5% navýšení tarifů </w:t>
      </w:r>
      <w:r>
        <w:rPr>
          <w:szCs w:val="24"/>
        </w:rPr>
        <w:t>je</w:t>
      </w:r>
      <w:r w:rsidRPr="009E1AC0">
        <w:rPr>
          <w:szCs w:val="24"/>
        </w:rPr>
        <w:t xml:space="preserve"> řešeno zapojením rezervního fondu organizace do rozpočtu); </w:t>
      </w:r>
    </w:p>
    <w:p w14:paraId="648785F1" w14:textId="77777777" w:rsidR="003A622F" w:rsidRDefault="00680733" w:rsidP="005B6E93">
      <w:pPr>
        <w:pStyle w:val="Odstavecseseznamem"/>
        <w:numPr>
          <w:ilvl w:val="0"/>
          <w:numId w:val="36"/>
        </w:numPr>
        <w:ind w:left="1134" w:hanging="425"/>
        <w:rPr>
          <w:szCs w:val="24"/>
        </w:rPr>
      </w:pPr>
      <w:r w:rsidRPr="003A622F">
        <w:rPr>
          <w:szCs w:val="24"/>
        </w:rPr>
        <w:t xml:space="preserve">rozpočet </w:t>
      </w:r>
      <w:r w:rsidRPr="003A622F">
        <w:rPr>
          <w:b/>
          <w:szCs w:val="24"/>
        </w:rPr>
        <w:t>kmenové činnosti je navýšen o 4,5 mil. Kč</w:t>
      </w:r>
      <w:r w:rsidRPr="003A622F">
        <w:rPr>
          <w:szCs w:val="24"/>
        </w:rPr>
        <w:t xml:space="preserve">  - přesun prostředků na soutěže a systém podpory nadání z rozpočtu mládeže (přesun z resortních projektů);</w:t>
      </w:r>
    </w:p>
    <w:p w14:paraId="3E2A5594" w14:textId="06C420F5" w:rsidR="00680733" w:rsidRPr="003A622F" w:rsidRDefault="003A622F" w:rsidP="005B6E93">
      <w:pPr>
        <w:pStyle w:val="Odstavecseseznamem"/>
        <w:numPr>
          <w:ilvl w:val="0"/>
          <w:numId w:val="36"/>
        </w:numPr>
        <w:ind w:left="1134" w:hanging="425"/>
        <w:rPr>
          <w:szCs w:val="24"/>
        </w:rPr>
      </w:pPr>
      <w:r w:rsidRPr="003A622F">
        <w:rPr>
          <w:szCs w:val="24"/>
        </w:rPr>
        <w:t xml:space="preserve">v rozpočtu jsou zapojeny i </w:t>
      </w:r>
      <w:r w:rsidRPr="003A622F">
        <w:rPr>
          <w:b/>
          <w:szCs w:val="24"/>
        </w:rPr>
        <w:t>výnosy</w:t>
      </w:r>
      <w:r w:rsidRPr="003A622F">
        <w:rPr>
          <w:szCs w:val="24"/>
        </w:rPr>
        <w:t xml:space="preserve"> ve výši </w:t>
      </w:r>
      <w:r w:rsidR="002C25AF">
        <w:rPr>
          <w:b/>
          <w:szCs w:val="24"/>
        </w:rPr>
        <w:t>52 890 </w:t>
      </w:r>
      <w:r w:rsidRPr="003A622F">
        <w:rPr>
          <w:b/>
          <w:szCs w:val="24"/>
        </w:rPr>
        <w:t>000 Kč</w:t>
      </w:r>
      <w:r w:rsidRPr="003A622F">
        <w:rPr>
          <w:szCs w:val="24"/>
        </w:rPr>
        <w:t>, z toho zapojení rezervního fondu činí 10 000 000 Kč (z toho pl</w:t>
      </w:r>
      <w:r w:rsidR="00691319">
        <w:rPr>
          <w:szCs w:val="24"/>
        </w:rPr>
        <w:t>aty 2 000 000 Kč, OON 5 000 000 </w:t>
      </w:r>
      <w:r w:rsidRPr="003A622F">
        <w:rPr>
          <w:szCs w:val="24"/>
        </w:rPr>
        <w:t>Kč, související odvody 720 000 Kč).</w:t>
      </w:r>
    </w:p>
    <w:p w14:paraId="7921DF3C" w14:textId="77777777" w:rsidR="003A622F" w:rsidRPr="00984ECB" w:rsidRDefault="003A622F" w:rsidP="00680733">
      <w:pPr>
        <w:pStyle w:val="Odstavecseseznamem"/>
        <w:ind w:left="1134"/>
        <w:rPr>
          <w:szCs w:val="24"/>
        </w:rPr>
      </w:pPr>
    </w:p>
    <w:p w14:paraId="237E0426" w14:textId="77777777" w:rsidR="00680733" w:rsidRPr="00002427" w:rsidRDefault="00680733" w:rsidP="00680733">
      <w:pPr>
        <w:rPr>
          <w:szCs w:val="24"/>
        </w:rPr>
      </w:pPr>
      <w:r w:rsidRPr="00002427">
        <w:rPr>
          <w:szCs w:val="24"/>
        </w:rPr>
        <w:t xml:space="preserve">Součástí NIDV je </w:t>
      </w:r>
      <w:r w:rsidRPr="00002427">
        <w:rPr>
          <w:b/>
          <w:szCs w:val="24"/>
        </w:rPr>
        <w:t>ubytovací a vzdělávací zařízení</w:t>
      </w:r>
      <w:r w:rsidRPr="00002427">
        <w:rPr>
          <w:szCs w:val="24"/>
        </w:rPr>
        <w:t xml:space="preserve"> Richtrovy boudy (viz kapitola C.VI.1.5).</w:t>
      </w:r>
    </w:p>
    <w:p w14:paraId="3471E951" w14:textId="77777777" w:rsidR="00680733" w:rsidRPr="00002427" w:rsidRDefault="00680733" w:rsidP="00680733">
      <w:pPr>
        <w:ind w:left="709" w:hanging="709"/>
        <w:rPr>
          <w:szCs w:val="24"/>
        </w:rPr>
      </w:pPr>
      <w:r w:rsidRPr="00002427">
        <w:rPr>
          <w:szCs w:val="24"/>
        </w:rPr>
        <w:t xml:space="preserve">Rozpočet </w:t>
      </w:r>
      <w:r w:rsidRPr="00002427">
        <w:rPr>
          <w:b/>
          <w:szCs w:val="24"/>
        </w:rPr>
        <w:t>resortních projektů</w:t>
      </w:r>
      <w:r w:rsidRPr="00002427">
        <w:rPr>
          <w:szCs w:val="24"/>
        </w:rPr>
        <w:t xml:space="preserve"> NIDV na r. 201</w:t>
      </w:r>
      <w:r>
        <w:rPr>
          <w:szCs w:val="24"/>
        </w:rPr>
        <w:t>9</w:t>
      </w:r>
      <w:r w:rsidRPr="00002427">
        <w:rPr>
          <w:szCs w:val="24"/>
        </w:rPr>
        <w:t xml:space="preserve"> je popsán v kapitole C.VI.1.6.</w:t>
      </w:r>
    </w:p>
    <w:p w14:paraId="11109528" w14:textId="77777777" w:rsidR="00680733" w:rsidRPr="00002427" w:rsidRDefault="00680733" w:rsidP="00680733">
      <w:pPr>
        <w:ind w:left="709" w:hanging="709"/>
        <w:rPr>
          <w:szCs w:val="24"/>
        </w:rPr>
      </w:pPr>
      <w:r w:rsidRPr="00002427">
        <w:rPr>
          <w:szCs w:val="24"/>
        </w:rPr>
        <w:t xml:space="preserve">Rozpočet </w:t>
      </w:r>
      <w:r w:rsidRPr="00002427">
        <w:rPr>
          <w:b/>
          <w:szCs w:val="24"/>
        </w:rPr>
        <w:t>účelově vymezených úkolů</w:t>
      </w:r>
      <w:r w:rsidRPr="00002427">
        <w:rPr>
          <w:szCs w:val="24"/>
        </w:rPr>
        <w:t xml:space="preserve"> NIDV na r. 201</w:t>
      </w:r>
      <w:r>
        <w:rPr>
          <w:szCs w:val="24"/>
        </w:rPr>
        <w:t>9</w:t>
      </w:r>
      <w:r w:rsidRPr="00002427">
        <w:rPr>
          <w:szCs w:val="24"/>
        </w:rPr>
        <w:t xml:space="preserve"> je popsán v kapitole C.VI.1.8.</w:t>
      </w:r>
    </w:p>
    <w:p w14:paraId="4436D302" w14:textId="77777777" w:rsidR="00680733" w:rsidRPr="00ED029B" w:rsidRDefault="00680733" w:rsidP="00680733">
      <w:pPr>
        <w:rPr>
          <w:b/>
          <w:i/>
          <w:sz w:val="16"/>
          <w:szCs w:val="16"/>
          <w:highlight w:val="yellow"/>
          <w:u w:val="single"/>
        </w:rPr>
      </w:pPr>
    </w:p>
    <w:p w14:paraId="0649C567" w14:textId="77777777" w:rsidR="00680733" w:rsidRPr="00547AD8" w:rsidRDefault="00680733" w:rsidP="00680733">
      <w:pPr>
        <w:rPr>
          <w:b/>
          <w:i/>
          <w:u w:val="single"/>
        </w:rPr>
      </w:pPr>
      <w:r w:rsidRPr="00547AD8">
        <w:rPr>
          <w:b/>
          <w:i/>
          <w:u w:val="single"/>
        </w:rPr>
        <w:t>CZVV</w:t>
      </w:r>
    </w:p>
    <w:p w14:paraId="5726B371" w14:textId="77777777" w:rsidR="00680733" w:rsidRPr="00547AD8" w:rsidRDefault="00680733" w:rsidP="00680733">
      <w:pPr>
        <w:pStyle w:val="Text"/>
      </w:pPr>
      <w:r w:rsidRPr="00547AD8">
        <w:t xml:space="preserve">CZVV v rámci své hlavní činnosti zajišťuje společnou část maturitní zkoušky a jednotlivé zkoušky. Organizace připravuje katalogy požadavků k maturitní zkoušce a zajišťuje zpracování a distribuci didaktických testů a písemných prací do jednotlivých zkušebních míst. Dále CZVV zajišťuje i odbornou přípravu pedagogických pracovníků k výkonu funkcí maturitních komisařů (které i na návrh ředitele školy jmenuje), hodnotitelů a zadavatelů. Organizace je správcem registru pedagogických pracovníků, kteří jsou oprávněni k výkonu funkce školních maturitních komisařů, zadavatelů a hodnotitelů, dále je správcem informačního systému, který slouží k evidenci údajů z přihlášek žáků k maturitní zkoušce a dále slouží k evidenci výsledků společné části maturitní zkoušky. </w:t>
      </w:r>
    </w:p>
    <w:p w14:paraId="02BEEAA5" w14:textId="77777777" w:rsidR="00680733" w:rsidRPr="00547AD8" w:rsidRDefault="00680733" w:rsidP="00680733">
      <w:pPr>
        <w:tabs>
          <w:tab w:val="left" w:pos="709"/>
        </w:tabs>
        <w:rPr>
          <w:b/>
          <w:color w:val="2E74B5"/>
        </w:rPr>
      </w:pPr>
    </w:p>
    <w:p w14:paraId="713C6154" w14:textId="77777777" w:rsidR="00680733" w:rsidRPr="00547AD8" w:rsidRDefault="00680733" w:rsidP="00680733">
      <w:pPr>
        <w:pStyle w:val="Text"/>
      </w:pPr>
      <w:r w:rsidRPr="00547AD8">
        <w:rPr>
          <w:b/>
        </w:rPr>
        <w:t>Rozpočet na rok 201</w:t>
      </w:r>
      <w:r>
        <w:rPr>
          <w:b/>
        </w:rPr>
        <w:t>9</w:t>
      </w:r>
      <w:r w:rsidRPr="00547AD8">
        <w:rPr>
          <w:b/>
        </w:rPr>
        <w:t xml:space="preserve"> je stanoven ve výši </w:t>
      </w:r>
      <w:r>
        <w:rPr>
          <w:b/>
        </w:rPr>
        <w:t>223</w:t>
      </w:r>
      <w:r w:rsidRPr="00547AD8">
        <w:rPr>
          <w:b/>
        </w:rPr>
        <w:t> </w:t>
      </w:r>
      <w:r>
        <w:rPr>
          <w:b/>
        </w:rPr>
        <w:t>697</w:t>
      </w:r>
      <w:r w:rsidRPr="00547AD8">
        <w:rPr>
          <w:b/>
        </w:rPr>
        <w:t xml:space="preserve"> </w:t>
      </w:r>
      <w:r>
        <w:rPr>
          <w:b/>
        </w:rPr>
        <w:t>553</w:t>
      </w:r>
      <w:r w:rsidRPr="00547AD8">
        <w:rPr>
          <w:b/>
        </w:rPr>
        <w:t xml:space="preserve"> Kč </w:t>
      </w:r>
      <w:r>
        <w:rPr>
          <w:b/>
        </w:rPr>
        <w:t xml:space="preserve">(LPZ </w:t>
      </w:r>
      <w:r w:rsidRPr="00DD4EBF">
        <w:t>činí</w:t>
      </w:r>
      <w:r>
        <w:rPr>
          <w:b/>
        </w:rPr>
        <w:t xml:space="preserve"> 76,0 </w:t>
      </w:r>
      <w:r w:rsidRPr="00DD4EBF">
        <w:t>přepočtených úvazků)</w:t>
      </w:r>
      <w:r>
        <w:rPr>
          <w:b/>
        </w:rPr>
        <w:t xml:space="preserve"> </w:t>
      </w:r>
      <w:r w:rsidRPr="00547AD8">
        <w:t>s tím, že:</w:t>
      </w:r>
    </w:p>
    <w:p w14:paraId="346EC5DC" w14:textId="77777777" w:rsidR="00680733" w:rsidRPr="00547AD8" w:rsidRDefault="00680733" w:rsidP="005B6E93">
      <w:pPr>
        <w:pStyle w:val="Odstavecseseznamem"/>
        <w:numPr>
          <w:ilvl w:val="0"/>
          <w:numId w:val="36"/>
        </w:numPr>
        <w:ind w:left="1134" w:hanging="425"/>
        <w:rPr>
          <w:szCs w:val="24"/>
        </w:rPr>
      </w:pPr>
      <w:r w:rsidRPr="00547AD8">
        <w:rPr>
          <w:szCs w:val="24"/>
        </w:rPr>
        <w:t>platy a související odvody jsou stanoveny z úrovně MŠMT;</w:t>
      </w:r>
    </w:p>
    <w:p w14:paraId="18A95A86" w14:textId="77777777" w:rsidR="00680733" w:rsidRPr="003A622F" w:rsidRDefault="00680733" w:rsidP="005B6E93">
      <w:pPr>
        <w:pStyle w:val="Odstavecseseznamem"/>
        <w:numPr>
          <w:ilvl w:val="0"/>
          <w:numId w:val="36"/>
        </w:numPr>
        <w:ind w:left="1134" w:hanging="425"/>
        <w:rPr>
          <w:szCs w:val="24"/>
        </w:rPr>
      </w:pPr>
      <w:r w:rsidRPr="009E1AC0">
        <w:rPr>
          <w:szCs w:val="24"/>
        </w:rPr>
        <w:t>vzhledem k </w:t>
      </w:r>
      <w:r w:rsidRPr="003A622F">
        <w:rPr>
          <w:szCs w:val="24"/>
        </w:rPr>
        <w:t xml:space="preserve">plnění LPZ (na 98,7 %) </w:t>
      </w:r>
      <w:r w:rsidRPr="003A622F">
        <w:rPr>
          <w:b/>
          <w:szCs w:val="24"/>
        </w:rPr>
        <w:t>zůstává počet úvazků v kmenové činnosti na úrovni r. 2018</w:t>
      </w:r>
      <w:r w:rsidRPr="003A622F">
        <w:rPr>
          <w:szCs w:val="24"/>
        </w:rPr>
        <w:t xml:space="preserve"> (včetně navýšení 2 úvazků na novou sekci z roku 2018);</w:t>
      </w:r>
    </w:p>
    <w:p w14:paraId="340272BD" w14:textId="77777777" w:rsidR="00680733" w:rsidRPr="003A622F" w:rsidRDefault="00680733" w:rsidP="005B6E93">
      <w:pPr>
        <w:pStyle w:val="Odstavecseseznamem"/>
        <w:numPr>
          <w:ilvl w:val="0"/>
          <w:numId w:val="36"/>
        </w:numPr>
        <w:ind w:left="1134" w:hanging="425"/>
        <w:rPr>
          <w:szCs w:val="24"/>
        </w:rPr>
      </w:pPr>
      <w:r w:rsidRPr="003A622F">
        <w:rPr>
          <w:b/>
          <w:szCs w:val="24"/>
        </w:rPr>
        <w:t>příspěvek na platy a související odvody</w:t>
      </w:r>
      <w:r w:rsidRPr="003A622F">
        <w:rPr>
          <w:szCs w:val="24"/>
        </w:rPr>
        <w:t xml:space="preserve"> zůstává na úrovni r. 2018 (5% navýšení tarifů je řešeno zapojením rezervního fondu organizace do rozpočtu); </w:t>
      </w:r>
    </w:p>
    <w:p w14:paraId="5CF88F01" w14:textId="77777777" w:rsidR="00680733" w:rsidRPr="003A622F" w:rsidRDefault="00680733" w:rsidP="005B6E93">
      <w:pPr>
        <w:pStyle w:val="Odstavecseseznamem"/>
        <w:numPr>
          <w:ilvl w:val="0"/>
          <w:numId w:val="36"/>
        </w:numPr>
        <w:ind w:left="1134" w:hanging="425"/>
        <w:rPr>
          <w:b/>
          <w:szCs w:val="24"/>
        </w:rPr>
      </w:pPr>
      <w:r w:rsidRPr="003A622F">
        <w:rPr>
          <w:szCs w:val="24"/>
        </w:rPr>
        <w:t xml:space="preserve">rozpočet CZVV byl </w:t>
      </w:r>
      <w:r w:rsidRPr="003A622F">
        <w:rPr>
          <w:b/>
          <w:szCs w:val="24"/>
        </w:rPr>
        <w:t>snížen o finanční prostředky související s náklady spádových škol</w:t>
      </w:r>
      <w:r w:rsidRPr="003A622F">
        <w:rPr>
          <w:szCs w:val="24"/>
        </w:rPr>
        <w:t xml:space="preserve"> na podzimní </w:t>
      </w:r>
      <w:r w:rsidR="003A622F" w:rsidRPr="003A622F">
        <w:rPr>
          <w:szCs w:val="24"/>
        </w:rPr>
        <w:t xml:space="preserve">maturitu </w:t>
      </w:r>
      <w:r w:rsidR="003A622F" w:rsidRPr="003A622F">
        <w:rPr>
          <w:b/>
          <w:szCs w:val="24"/>
        </w:rPr>
        <w:t xml:space="preserve">o 3 738 418 </w:t>
      </w:r>
      <w:r w:rsidR="003A622F">
        <w:rPr>
          <w:b/>
          <w:szCs w:val="24"/>
        </w:rPr>
        <w:t>Kč;</w:t>
      </w:r>
      <w:r w:rsidR="003A622F">
        <w:rPr>
          <w:b/>
          <w:szCs w:val="24"/>
          <w:shd w:val="clear" w:color="auto" w:fill="FFFF00"/>
        </w:rPr>
        <w:t xml:space="preserve">    </w:t>
      </w:r>
    </w:p>
    <w:p w14:paraId="46930B1B" w14:textId="77777777" w:rsidR="00680733" w:rsidRPr="003A622F" w:rsidRDefault="00680733" w:rsidP="005B6E93">
      <w:pPr>
        <w:pStyle w:val="Odstavecseseznamem"/>
        <w:numPr>
          <w:ilvl w:val="0"/>
          <w:numId w:val="36"/>
        </w:numPr>
        <w:ind w:left="1134" w:hanging="425"/>
        <w:rPr>
          <w:szCs w:val="24"/>
        </w:rPr>
      </w:pPr>
      <w:r w:rsidRPr="003A622F">
        <w:rPr>
          <w:b/>
          <w:szCs w:val="24"/>
        </w:rPr>
        <w:t xml:space="preserve">kmenová činnost je zvýšena o 4 250 </w:t>
      </w:r>
      <w:r w:rsidR="003A622F" w:rsidRPr="003A622F">
        <w:rPr>
          <w:b/>
          <w:szCs w:val="24"/>
        </w:rPr>
        <w:t>000</w:t>
      </w:r>
      <w:r w:rsidRPr="003A622F">
        <w:rPr>
          <w:b/>
          <w:szCs w:val="24"/>
        </w:rPr>
        <w:t xml:space="preserve"> Kč</w:t>
      </w:r>
      <w:r w:rsidRPr="003A622F">
        <w:rPr>
          <w:szCs w:val="24"/>
        </w:rPr>
        <w:t xml:space="preserve"> (OBV) na revitalizaci balícího a kompletačního systému </w:t>
      </w:r>
      <w:r w:rsidRPr="003A622F">
        <w:rPr>
          <w:b/>
          <w:szCs w:val="24"/>
        </w:rPr>
        <w:t>KERN</w:t>
      </w:r>
      <w:r w:rsidRPr="003A622F">
        <w:rPr>
          <w:szCs w:val="24"/>
        </w:rPr>
        <w:t xml:space="preserve"> (částka je zabezpečena z krácených prostředků na podzimní maturity, zbývajících </w:t>
      </w:r>
      <w:r w:rsidR="003A622F" w:rsidRPr="003A622F">
        <w:rPr>
          <w:szCs w:val="24"/>
        </w:rPr>
        <w:t xml:space="preserve">511 582 </w:t>
      </w:r>
      <w:r w:rsidRPr="003A622F">
        <w:rPr>
          <w:szCs w:val="24"/>
        </w:rPr>
        <w:t>Kč  je zabezpečeno převodem z RgŠ);</w:t>
      </w:r>
    </w:p>
    <w:p w14:paraId="121DDA50" w14:textId="77777777" w:rsidR="00680733" w:rsidRPr="003A622F" w:rsidRDefault="00680733" w:rsidP="005B6E93">
      <w:pPr>
        <w:pStyle w:val="Odstavecseseznamem"/>
        <w:numPr>
          <w:ilvl w:val="0"/>
          <w:numId w:val="36"/>
        </w:numPr>
        <w:ind w:left="1134" w:hanging="425"/>
        <w:rPr>
          <w:szCs w:val="24"/>
        </w:rPr>
      </w:pPr>
      <w:r w:rsidRPr="003A622F">
        <w:rPr>
          <w:b/>
          <w:szCs w:val="24"/>
        </w:rPr>
        <w:t>kmenová činnost je zvýšena o prostředky</w:t>
      </w:r>
      <w:r w:rsidRPr="003A622F">
        <w:rPr>
          <w:szCs w:val="24"/>
        </w:rPr>
        <w:t xml:space="preserve"> související s pronájmem prostor pro MŠMT ve výši </w:t>
      </w:r>
      <w:r w:rsidRPr="003A622F">
        <w:rPr>
          <w:b/>
          <w:szCs w:val="24"/>
        </w:rPr>
        <w:t>462 866 Kč;</w:t>
      </w:r>
    </w:p>
    <w:p w14:paraId="1E4CD7D3" w14:textId="7522A96F" w:rsidR="00680733" w:rsidRPr="009E1AC0" w:rsidRDefault="00680733" w:rsidP="005B6E93">
      <w:pPr>
        <w:pStyle w:val="Odstavecseseznamem"/>
        <w:numPr>
          <w:ilvl w:val="0"/>
          <w:numId w:val="36"/>
        </w:numPr>
        <w:ind w:left="1134" w:hanging="425"/>
        <w:rPr>
          <w:szCs w:val="24"/>
        </w:rPr>
      </w:pPr>
      <w:r w:rsidRPr="009E1AC0">
        <w:rPr>
          <w:szCs w:val="24"/>
        </w:rPr>
        <w:lastRenderedPageBreak/>
        <w:t xml:space="preserve">v rozpočtu jsou zapojeny i </w:t>
      </w:r>
      <w:r w:rsidRPr="00DD4EBF">
        <w:rPr>
          <w:szCs w:val="24"/>
        </w:rPr>
        <w:t>výnosy</w:t>
      </w:r>
      <w:r w:rsidRPr="009E1AC0">
        <w:rPr>
          <w:szCs w:val="24"/>
        </w:rPr>
        <w:t xml:space="preserve"> ve výši </w:t>
      </w:r>
      <w:r w:rsidRPr="003441E5">
        <w:rPr>
          <w:b/>
          <w:szCs w:val="24"/>
        </w:rPr>
        <w:t>7 050 000 Kč,</w:t>
      </w:r>
      <w:r w:rsidRPr="00DD4EBF">
        <w:rPr>
          <w:szCs w:val="24"/>
        </w:rPr>
        <w:t xml:space="preserve"> </w:t>
      </w:r>
      <w:r w:rsidR="00923D44">
        <w:rPr>
          <w:szCs w:val="24"/>
        </w:rPr>
        <w:t>(z toho činí 7 </w:t>
      </w:r>
      <w:r>
        <w:rPr>
          <w:szCs w:val="24"/>
        </w:rPr>
        <w:t>000</w:t>
      </w:r>
      <w:r w:rsidR="00923D44">
        <w:rPr>
          <w:szCs w:val="24"/>
        </w:rPr>
        <w:t> </w:t>
      </w:r>
      <w:r>
        <w:rPr>
          <w:szCs w:val="24"/>
        </w:rPr>
        <w:t>000</w:t>
      </w:r>
      <w:r w:rsidR="00923D44">
        <w:rPr>
          <w:szCs w:val="24"/>
        </w:rPr>
        <w:t> </w:t>
      </w:r>
      <w:r w:rsidRPr="009E1AC0">
        <w:rPr>
          <w:szCs w:val="24"/>
        </w:rPr>
        <w:t>Kč zapojení rezervního fondu, (z toho do platů</w:t>
      </w:r>
      <w:r w:rsidR="00923D44">
        <w:rPr>
          <w:szCs w:val="24"/>
        </w:rPr>
        <w:t xml:space="preserve"> 1 284 096 Kč, do OON 3 </w:t>
      </w:r>
      <w:r>
        <w:rPr>
          <w:szCs w:val="24"/>
        </w:rPr>
        <w:t>253 629 Kč a </w:t>
      </w:r>
      <w:r w:rsidRPr="009E1AC0">
        <w:rPr>
          <w:szCs w:val="24"/>
        </w:rPr>
        <w:t>do souvisejících odvodů 462 275 Kč).</w:t>
      </w:r>
    </w:p>
    <w:p w14:paraId="05008C4D" w14:textId="77777777" w:rsidR="00680733" w:rsidRPr="00547AD8" w:rsidRDefault="00680733" w:rsidP="00680733">
      <w:pPr>
        <w:rPr>
          <w:color w:val="2E74B5"/>
          <w:szCs w:val="24"/>
        </w:rPr>
      </w:pPr>
    </w:p>
    <w:p w14:paraId="011326DD" w14:textId="77777777" w:rsidR="00680733" w:rsidRDefault="00680733" w:rsidP="00680733">
      <w:pPr>
        <w:rPr>
          <w:szCs w:val="24"/>
        </w:rPr>
      </w:pPr>
      <w:r w:rsidRPr="00547AD8">
        <w:rPr>
          <w:szCs w:val="24"/>
        </w:rPr>
        <w:t xml:space="preserve">Rozpočet </w:t>
      </w:r>
      <w:r w:rsidRPr="00547AD8">
        <w:rPr>
          <w:b/>
          <w:szCs w:val="24"/>
        </w:rPr>
        <w:t>účelově vymezeného úkolů</w:t>
      </w:r>
      <w:r w:rsidRPr="00547AD8">
        <w:rPr>
          <w:szCs w:val="24"/>
        </w:rPr>
        <w:t xml:space="preserve"> CZVV </w:t>
      </w:r>
      <w:r w:rsidRPr="003441E5">
        <w:rPr>
          <w:b/>
          <w:szCs w:val="24"/>
        </w:rPr>
        <w:t>Matematika+</w:t>
      </w:r>
      <w:r w:rsidRPr="00547AD8">
        <w:rPr>
          <w:szCs w:val="24"/>
        </w:rPr>
        <w:t xml:space="preserve"> na r. 201</w:t>
      </w:r>
      <w:r>
        <w:rPr>
          <w:szCs w:val="24"/>
        </w:rPr>
        <w:t>9</w:t>
      </w:r>
      <w:r w:rsidRPr="00547AD8">
        <w:rPr>
          <w:szCs w:val="24"/>
        </w:rPr>
        <w:t xml:space="preserve"> je uveden v kapitole C.VI.1.8.</w:t>
      </w:r>
    </w:p>
    <w:p w14:paraId="56C6AB4C" w14:textId="77777777" w:rsidR="00680733" w:rsidRPr="00547AD8" w:rsidRDefault="00680733" w:rsidP="00680733">
      <w:pPr>
        <w:rPr>
          <w:szCs w:val="24"/>
        </w:rPr>
      </w:pPr>
    </w:p>
    <w:p w14:paraId="1EA67999" w14:textId="77777777" w:rsidR="00680733" w:rsidRDefault="00680733" w:rsidP="00680733">
      <w:pPr>
        <w:rPr>
          <w:b/>
          <w:i/>
          <w:u w:val="single"/>
        </w:rPr>
      </w:pPr>
      <w:r w:rsidRPr="00DC031C">
        <w:rPr>
          <w:b/>
          <w:i/>
          <w:u w:val="single"/>
        </w:rPr>
        <w:t>PC Český Těšín</w:t>
      </w:r>
    </w:p>
    <w:p w14:paraId="7393B29A" w14:textId="77777777" w:rsidR="00C00D6D" w:rsidRPr="00DC031C" w:rsidRDefault="00C00D6D" w:rsidP="00680733">
      <w:pPr>
        <w:rPr>
          <w:b/>
          <w:i/>
          <w:u w:val="single"/>
        </w:rPr>
      </w:pPr>
    </w:p>
    <w:p w14:paraId="0437BDDA" w14:textId="787715C2" w:rsidR="00680733" w:rsidRPr="00DC031C" w:rsidRDefault="00680733" w:rsidP="00680733">
      <w:pPr>
        <w:pStyle w:val="Text"/>
      </w:pPr>
      <w:r w:rsidRPr="00DC031C">
        <w:t xml:space="preserve">PC Český Těšín v rámci své hlavní činnosti poskytuje informační a metodickou pomoc školám a školským zařízením, zabezpečuje další vzdělávání pedagogických pracovníků. Dále organizace realizuje programy pro nepedagogickou veřejnost, </w:t>
      </w:r>
      <w:r w:rsidR="00923D44">
        <w:t>nabízí služby související např. </w:t>
      </w:r>
      <w:r w:rsidRPr="00DC031C">
        <w:t>s učebními pomůckami (dle objednávek škol) nebo zajišťuje polskou mutaci učebnic.</w:t>
      </w:r>
    </w:p>
    <w:p w14:paraId="697B0A11" w14:textId="77777777" w:rsidR="00680733" w:rsidRPr="00DC031C" w:rsidRDefault="00680733" w:rsidP="00680733">
      <w:pPr>
        <w:pStyle w:val="Text"/>
      </w:pPr>
      <w:r w:rsidRPr="00DC031C">
        <w:rPr>
          <w:b/>
        </w:rPr>
        <w:t>Rozpočet na rok 201</w:t>
      </w:r>
      <w:r>
        <w:rPr>
          <w:b/>
        </w:rPr>
        <w:t>9</w:t>
      </w:r>
      <w:r w:rsidRPr="00DC031C">
        <w:rPr>
          <w:b/>
        </w:rPr>
        <w:t xml:space="preserve"> je stanoven ve výši 6 043 617 Kč</w:t>
      </w:r>
      <w:r>
        <w:rPr>
          <w:b/>
        </w:rPr>
        <w:t xml:space="preserve"> </w:t>
      </w:r>
      <w:r w:rsidRPr="00750AC2">
        <w:t>(</w:t>
      </w:r>
      <w:r>
        <w:rPr>
          <w:b/>
        </w:rPr>
        <w:t xml:space="preserve">LPZ </w:t>
      </w:r>
      <w:r w:rsidRPr="00750AC2">
        <w:t>ve výši</w:t>
      </w:r>
      <w:r>
        <w:rPr>
          <w:b/>
        </w:rPr>
        <w:t xml:space="preserve"> 6,00 </w:t>
      </w:r>
      <w:r w:rsidRPr="00750AC2">
        <w:t>přepočtených úvazků)</w:t>
      </w:r>
      <w:r w:rsidRPr="00DC031C">
        <w:rPr>
          <w:b/>
        </w:rPr>
        <w:t xml:space="preserve"> </w:t>
      </w:r>
      <w:r w:rsidRPr="00DC031C">
        <w:t>s tím, že:</w:t>
      </w:r>
    </w:p>
    <w:p w14:paraId="303E1F05" w14:textId="77777777" w:rsidR="00680733" w:rsidRPr="009E1AC0" w:rsidRDefault="00680733" w:rsidP="005B6E93">
      <w:pPr>
        <w:pStyle w:val="Odstavecseseznamem"/>
        <w:numPr>
          <w:ilvl w:val="0"/>
          <w:numId w:val="36"/>
        </w:numPr>
        <w:ind w:left="1134" w:hanging="425"/>
        <w:rPr>
          <w:szCs w:val="24"/>
        </w:rPr>
      </w:pPr>
      <w:r w:rsidRPr="009E1AC0">
        <w:rPr>
          <w:szCs w:val="24"/>
        </w:rPr>
        <w:t>platy a související odvody jsou sta</w:t>
      </w:r>
      <w:r>
        <w:rPr>
          <w:szCs w:val="24"/>
        </w:rPr>
        <w:t>noveny z úrovně MŠMT</w:t>
      </w:r>
      <w:r w:rsidRPr="009E1AC0">
        <w:rPr>
          <w:szCs w:val="24"/>
        </w:rPr>
        <w:t>;</w:t>
      </w:r>
    </w:p>
    <w:p w14:paraId="5A38CB6C" w14:textId="77777777" w:rsidR="00680733" w:rsidRPr="009E1AC0" w:rsidRDefault="00680733" w:rsidP="005B6E93">
      <w:pPr>
        <w:pStyle w:val="Odstavecseseznamem"/>
        <w:numPr>
          <w:ilvl w:val="0"/>
          <w:numId w:val="36"/>
        </w:numPr>
        <w:ind w:left="1134" w:hanging="425"/>
        <w:rPr>
          <w:szCs w:val="24"/>
        </w:rPr>
      </w:pPr>
      <w:r w:rsidRPr="009E1AC0">
        <w:rPr>
          <w:szCs w:val="24"/>
        </w:rPr>
        <w:t>vzhledem k plnění LPZ (na 98,9 %) zůstává počet úvazků na úrovni r. 2018;</w:t>
      </w:r>
    </w:p>
    <w:p w14:paraId="4FE0C873" w14:textId="77777777" w:rsidR="00680733" w:rsidRPr="009E1AC0" w:rsidRDefault="00680733" w:rsidP="005B6E93">
      <w:pPr>
        <w:pStyle w:val="Odstavecseseznamem"/>
        <w:numPr>
          <w:ilvl w:val="0"/>
          <w:numId w:val="36"/>
        </w:numPr>
        <w:ind w:left="1134" w:hanging="425"/>
        <w:rPr>
          <w:szCs w:val="24"/>
        </w:rPr>
      </w:pPr>
      <w:r w:rsidRPr="00750AC2">
        <w:rPr>
          <w:szCs w:val="24"/>
        </w:rPr>
        <w:t xml:space="preserve">příspěvek na platy a související odvody </w:t>
      </w:r>
      <w:r w:rsidRPr="009E1AC0">
        <w:rPr>
          <w:szCs w:val="24"/>
        </w:rPr>
        <w:t xml:space="preserve">zůstává na úrovni r. 2018 (5% navýšení tarifů </w:t>
      </w:r>
      <w:r>
        <w:rPr>
          <w:szCs w:val="24"/>
        </w:rPr>
        <w:t>je</w:t>
      </w:r>
      <w:r w:rsidRPr="009E1AC0">
        <w:rPr>
          <w:szCs w:val="24"/>
        </w:rPr>
        <w:t xml:space="preserve"> řešeno zapojením rezervního fondu organizace do rozpočtu); </w:t>
      </w:r>
    </w:p>
    <w:p w14:paraId="7D76B1ED" w14:textId="77777777" w:rsidR="00680733" w:rsidRPr="009E1AC0" w:rsidRDefault="00680733" w:rsidP="005B6E93">
      <w:pPr>
        <w:pStyle w:val="Odstavecseseznamem"/>
        <w:numPr>
          <w:ilvl w:val="0"/>
          <w:numId w:val="36"/>
        </w:numPr>
        <w:ind w:left="1134" w:hanging="425"/>
        <w:rPr>
          <w:szCs w:val="24"/>
        </w:rPr>
      </w:pPr>
      <w:r w:rsidRPr="009E1AC0">
        <w:rPr>
          <w:szCs w:val="24"/>
        </w:rPr>
        <w:t xml:space="preserve">v rozpočtu jsou zapojeny i </w:t>
      </w:r>
      <w:r w:rsidRPr="00750AC2">
        <w:rPr>
          <w:szCs w:val="24"/>
        </w:rPr>
        <w:t>výnosy</w:t>
      </w:r>
      <w:r w:rsidRPr="009E1AC0">
        <w:rPr>
          <w:szCs w:val="24"/>
        </w:rPr>
        <w:t xml:space="preserve"> ve výši </w:t>
      </w:r>
      <w:r w:rsidRPr="00750AC2">
        <w:rPr>
          <w:szCs w:val="24"/>
        </w:rPr>
        <w:t>978 471 Kč</w:t>
      </w:r>
      <w:r w:rsidRPr="009E1AC0">
        <w:rPr>
          <w:szCs w:val="24"/>
        </w:rPr>
        <w:t>, (z toho zapojení rezervního fondu do kmenové činnosti činí 148 471 Kč, v tom platy jsou ve výši 109 170 Kč, související odvody činí 39 301 Kč).</w:t>
      </w:r>
    </w:p>
    <w:p w14:paraId="4D94BC3F" w14:textId="77777777" w:rsidR="00680733" w:rsidRPr="00DC031C" w:rsidRDefault="00680733" w:rsidP="00680733">
      <w:pPr>
        <w:ind w:left="709" w:hanging="709"/>
        <w:rPr>
          <w:color w:val="2E74B5"/>
        </w:rPr>
      </w:pPr>
    </w:p>
    <w:p w14:paraId="5E068D22" w14:textId="348FFDE7" w:rsidR="00680733" w:rsidRPr="009E1AC0" w:rsidRDefault="00680733" w:rsidP="00997C1E">
      <w:pPr>
        <w:pStyle w:val="Text"/>
      </w:pPr>
      <w:r w:rsidRPr="009E1AC0">
        <w:t xml:space="preserve">Z rezervního fondu organizace </w:t>
      </w:r>
      <w:r>
        <w:t>js</w:t>
      </w:r>
      <w:r w:rsidRPr="009E1AC0">
        <w:t>ou zabezpečeny i úko</w:t>
      </w:r>
      <w:r w:rsidR="00923D44">
        <w:t>ly přeshraniční spolupráce, tj. </w:t>
      </w:r>
      <w:r w:rsidRPr="009E1AC0">
        <w:t>projekt Akcent net a Zvyšování jazykové kompetence budoucích absolventů na přeshraničním trhu práce v celkové výši 680 000 Kč.</w:t>
      </w:r>
    </w:p>
    <w:p w14:paraId="3C613FCC" w14:textId="77777777" w:rsidR="00680733" w:rsidRPr="00DC031C" w:rsidRDefault="00680733" w:rsidP="00680733">
      <w:pPr>
        <w:ind w:left="709" w:hanging="709"/>
      </w:pPr>
      <w:r w:rsidRPr="00DC031C">
        <w:t xml:space="preserve">Rozpočet </w:t>
      </w:r>
      <w:r w:rsidRPr="00DC031C">
        <w:rPr>
          <w:b/>
        </w:rPr>
        <w:t>resortního projektu</w:t>
      </w:r>
      <w:r w:rsidRPr="00DC031C">
        <w:t xml:space="preserve"> PC ČT na r. 201</w:t>
      </w:r>
      <w:r>
        <w:t>9</w:t>
      </w:r>
      <w:r w:rsidRPr="00DC031C">
        <w:t xml:space="preserve"> je uveden v kapitole C.VI.1.6.</w:t>
      </w:r>
    </w:p>
    <w:p w14:paraId="79D944E8" w14:textId="77777777" w:rsidR="00680733" w:rsidRPr="00DC031C" w:rsidRDefault="00680733" w:rsidP="00680733">
      <w:pPr>
        <w:ind w:left="709" w:hanging="709"/>
      </w:pPr>
      <w:r w:rsidRPr="00DC031C">
        <w:t xml:space="preserve">Rozpočet </w:t>
      </w:r>
      <w:r w:rsidRPr="00DC031C">
        <w:rPr>
          <w:b/>
        </w:rPr>
        <w:t>účelově vymezeného úkolů</w:t>
      </w:r>
      <w:r w:rsidRPr="00DC031C">
        <w:t xml:space="preserve"> PC ČT na r. 201</w:t>
      </w:r>
      <w:r>
        <w:t>9</w:t>
      </w:r>
      <w:r w:rsidRPr="00DC031C">
        <w:t xml:space="preserve"> je uveden v kapitole C.VI.1.8.</w:t>
      </w:r>
    </w:p>
    <w:p w14:paraId="1F356348" w14:textId="77777777" w:rsidR="00680733" w:rsidRPr="00ED029B" w:rsidRDefault="00680733" w:rsidP="00680733">
      <w:pPr>
        <w:ind w:left="993"/>
        <w:rPr>
          <w:b/>
          <w:color w:val="2E74B5"/>
          <w:highlight w:val="yellow"/>
          <w:u w:val="single"/>
        </w:rPr>
      </w:pPr>
    </w:p>
    <w:p w14:paraId="5E2E8351" w14:textId="77777777" w:rsidR="00680733" w:rsidRPr="007E4720" w:rsidRDefault="00680733" w:rsidP="00680733">
      <w:pPr>
        <w:rPr>
          <w:b/>
          <w:i/>
          <w:u w:val="single"/>
        </w:rPr>
      </w:pPr>
      <w:r w:rsidRPr="007E4720">
        <w:rPr>
          <w:b/>
          <w:i/>
          <w:u w:val="single"/>
        </w:rPr>
        <w:t>KJWF</w:t>
      </w:r>
    </w:p>
    <w:p w14:paraId="3970A32D" w14:textId="77777777" w:rsidR="00680733" w:rsidRPr="007E4720" w:rsidRDefault="00680733" w:rsidP="00680733">
      <w:pPr>
        <w:pStyle w:val="Text"/>
      </w:pPr>
      <w:r w:rsidRPr="007E4720">
        <w:t>Hlavním cílem KJWF je podpora vzdělávacích, vědeckých a kulturních výměn mezi ČR a USA. KJWF administruje aktivity zahrnující stipendia, granty a další programy pro studium, výuku a výzkum v ČR a USA. Správa těchto programů zahrnuje přijímání návrhů, organizaci výběrových řízení, zajišťování pobytů českých stipendistů v USA a výběr a péči o americké stipendisty pobývající v ČR.</w:t>
      </w:r>
    </w:p>
    <w:p w14:paraId="3130CCA4" w14:textId="77777777" w:rsidR="00680733" w:rsidRPr="007E4720" w:rsidRDefault="00680733" w:rsidP="00680733">
      <w:pPr>
        <w:pStyle w:val="Text"/>
      </w:pPr>
      <w:r w:rsidRPr="007E4720">
        <w:t xml:space="preserve">Organizaci je přiznán příspěvek ve výši </w:t>
      </w:r>
      <w:r w:rsidRPr="007E4720">
        <w:rPr>
          <w:b/>
        </w:rPr>
        <w:t>15 245 000 Kč</w:t>
      </w:r>
      <w:r w:rsidRPr="007E4720">
        <w:t xml:space="preserve"> na základě mezinárodní smlouvy uzavřené mezi ČR a USA. Zahrnuje navýšení příspěvku na zvýšený počet asistentů pro výuku anglického jazyka ve výši 1 </w:t>
      </w:r>
      <w:r>
        <w:t>500</w:t>
      </w:r>
      <w:r w:rsidRPr="007E4720">
        <w:t xml:space="preserve"> 000 Kč.</w:t>
      </w:r>
    </w:p>
    <w:p w14:paraId="38277A82" w14:textId="77777777" w:rsidR="00680733" w:rsidRPr="00ED029B" w:rsidRDefault="00680733" w:rsidP="00680733">
      <w:pPr>
        <w:rPr>
          <w:b/>
          <w:i/>
          <w:color w:val="2E74B5"/>
          <w:highlight w:val="yellow"/>
          <w:u w:val="single"/>
        </w:rPr>
      </w:pPr>
    </w:p>
    <w:p w14:paraId="5D939947" w14:textId="77777777" w:rsidR="00680733" w:rsidRPr="004134C9" w:rsidRDefault="00680733" w:rsidP="00680733">
      <w:pPr>
        <w:rPr>
          <w:b/>
          <w:i/>
          <w:u w:val="single"/>
        </w:rPr>
      </w:pPr>
      <w:r w:rsidRPr="004134C9">
        <w:rPr>
          <w:b/>
          <w:i/>
          <w:u w:val="single"/>
        </w:rPr>
        <w:t>ADV</w:t>
      </w:r>
    </w:p>
    <w:p w14:paraId="026C20A6" w14:textId="77777777" w:rsidR="00680733" w:rsidRPr="004134C9" w:rsidRDefault="00680733" w:rsidP="00680733">
      <w:pPr>
        <w:pStyle w:val="Text"/>
        <w:rPr>
          <w:b/>
        </w:rPr>
      </w:pPr>
      <w:r w:rsidRPr="004134C9">
        <w:t>ADV je národní antidopingovou organizací, která je signatářem nového „Světového antidopingového kodexu“ a je odpovědná za uplatňování antidopingového programu v ČR.</w:t>
      </w:r>
    </w:p>
    <w:p w14:paraId="092D2A58" w14:textId="77777777" w:rsidR="00680733" w:rsidRPr="004134C9" w:rsidRDefault="00680733" w:rsidP="00680733">
      <w:pPr>
        <w:pStyle w:val="Text"/>
        <w:rPr>
          <w:b/>
        </w:rPr>
      </w:pPr>
      <w:r>
        <w:rPr>
          <w:b/>
        </w:rPr>
        <w:t xml:space="preserve">Rozpočet ADV na rok 2019 </w:t>
      </w:r>
      <w:r w:rsidRPr="004134C9">
        <w:t>je stanoven ve výši</w:t>
      </w:r>
      <w:r w:rsidRPr="004134C9">
        <w:rPr>
          <w:b/>
        </w:rPr>
        <w:t xml:space="preserve"> 18 794 383 Kč </w:t>
      </w:r>
      <w:r w:rsidRPr="004134C9">
        <w:t>(</w:t>
      </w:r>
      <w:r w:rsidRPr="009E1AC0">
        <w:rPr>
          <w:b/>
        </w:rPr>
        <w:t xml:space="preserve">LPZ </w:t>
      </w:r>
      <w:r>
        <w:t>je stanoven ve </w:t>
      </w:r>
      <w:r w:rsidRPr="004134C9">
        <w:t>výši</w:t>
      </w:r>
      <w:r w:rsidRPr="009E1AC0">
        <w:rPr>
          <w:b/>
        </w:rPr>
        <w:t xml:space="preserve"> 8,0 </w:t>
      </w:r>
      <w:r w:rsidRPr="004134C9">
        <w:t>přepočtených úvazků)</w:t>
      </w:r>
      <w:r w:rsidRPr="004134C9">
        <w:rPr>
          <w:b/>
        </w:rPr>
        <w:t xml:space="preserve"> </w:t>
      </w:r>
      <w:r w:rsidRPr="004134C9">
        <w:t>s tím, že:</w:t>
      </w:r>
    </w:p>
    <w:p w14:paraId="24BE21A1" w14:textId="77777777" w:rsidR="00680733" w:rsidRPr="009E1AC0" w:rsidRDefault="00680733" w:rsidP="005B6E93">
      <w:pPr>
        <w:pStyle w:val="Odstavecseseznamem"/>
        <w:numPr>
          <w:ilvl w:val="0"/>
          <w:numId w:val="36"/>
        </w:numPr>
        <w:ind w:left="1134" w:hanging="425"/>
        <w:rPr>
          <w:szCs w:val="24"/>
        </w:rPr>
      </w:pPr>
      <w:r w:rsidRPr="009E1AC0">
        <w:rPr>
          <w:szCs w:val="24"/>
        </w:rPr>
        <w:t xml:space="preserve">navýšení prostředků na platy proti r. 2018 činí 48 </w:t>
      </w:r>
      <w:r>
        <w:rPr>
          <w:szCs w:val="24"/>
        </w:rPr>
        <w:t>000</w:t>
      </w:r>
      <w:r w:rsidRPr="009E1AC0">
        <w:rPr>
          <w:szCs w:val="24"/>
        </w:rPr>
        <w:t xml:space="preserve"> Kč;</w:t>
      </w:r>
    </w:p>
    <w:p w14:paraId="2D1CD5AD" w14:textId="77777777" w:rsidR="00680733" w:rsidRPr="009E1AC0" w:rsidRDefault="00680733" w:rsidP="005B6E93">
      <w:pPr>
        <w:pStyle w:val="Odstavecseseznamem"/>
        <w:numPr>
          <w:ilvl w:val="0"/>
          <w:numId w:val="36"/>
        </w:numPr>
        <w:ind w:left="1134" w:hanging="425"/>
        <w:rPr>
          <w:szCs w:val="24"/>
        </w:rPr>
      </w:pPr>
      <w:r w:rsidRPr="009E1AC0">
        <w:rPr>
          <w:szCs w:val="24"/>
        </w:rPr>
        <w:t xml:space="preserve">byl zpracován přesun 30 </w:t>
      </w:r>
      <w:r>
        <w:rPr>
          <w:szCs w:val="24"/>
        </w:rPr>
        <w:t>000</w:t>
      </w:r>
      <w:r w:rsidRPr="009E1AC0">
        <w:rPr>
          <w:szCs w:val="24"/>
        </w:rPr>
        <w:t xml:space="preserve"> Kč z OBV do OON z důvodu navýšení potřeby dopingových kontrol;</w:t>
      </w:r>
    </w:p>
    <w:p w14:paraId="463E2148" w14:textId="77777777" w:rsidR="00680733" w:rsidRPr="009E1AC0" w:rsidRDefault="00680733" w:rsidP="005B6E93">
      <w:pPr>
        <w:pStyle w:val="Odstavecseseznamem"/>
        <w:numPr>
          <w:ilvl w:val="0"/>
          <w:numId w:val="36"/>
        </w:numPr>
        <w:ind w:left="1134" w:hanging="425"/>
        <w:rPr>
          <w:szCs w:val="24"/>
        </w:rPr>
      </w:pPr>
      <w:r w:rsidRPr="009E1AC0">
        <w:rPr>
          <w:szCs w:val="24"/>
        </w:rPr>
        <w:lastRenderedPageBreak/>
        <w:t xml:space="preserve">objem ostatních běžných výdajů byl navýšen o 1 730 </w:t>
      </w:r>
      <w:r>
        <w:rPr>
          <w:szCs w:val="24"/>
        </w:rPr>
        <w:t>000 Kč;</w:t>
      </w:r>
      <w:r w:rsidRPr="009E1AC0">
        <w:rPr>
          <w:szCs w:val="24"/>
        </w:rPr>
        <w:t xml:space="preserve"> </w:t>
      </w:r>
    </w:p>
    <w:p w14:paraId="588F97AA" w14:textId="77777777" w:rsidR="00680733" w:rsidRPr="00100161" w:rsidRDefault="00680733" w:rsidP="00100161">
      <w:pPr>
        <w:pStyle w:val="Odstavecseseznamem"/>
        <w:numPr>
          <w:ilvl w:val="0"/>
          <w:numId w:val="36"/>
        </w:numPr>
        <w:ind w:left="1134" w:hanging="425"/>
        <w:rPr>
          <w:szCs w:val="24"/>
        </w:rPr>
      </w:pPr>
      <w:r w:rsidRPr="009E1AC0">
        <w:rPr>
          <w:szCs w:val="24"/>
        </w:rPr>
        <w:t xml:space="preserve">v rozpočtu jsou zapojeny i </w:t>
      </w:r>
      <w:r w:rsidRPr="004134C9">
        <w:rPr>
          <w:szCs w:val="24"/>
        </w:rPr>
        <w:t>výnosy</w:t>
      </w:r>
      <w:r w:rsidRPr="009E1AC0">
        <w:rPr>
          <w:szCs w:val="24"/>
        </w:rPr>
        <w:t xml:space="preserve"> ve výši 1 150 000 Kč (z toho zapojení rezervního fondu činí 50 000 Kč). </w:t>
      </w:r>
    </w:p>
    <w:p w14:paraId="17BA4873" w14:textId="77777777" w:rsidR="00680733" w:rsidRPr="00ED029B" w:rsidRDefault="00680733" w:rsidP="00680733">
      <w:pPr>
        <w:rPr>
          <w:b/>
          <w:i/>
          <w:color w:val="2E74B5"/>
          <w:sz w:val="16"/>
          <w:szCs w:val="16"/>
          <w:highlight w:val="yellow"/>
          <w:u w:val="single"/>
        </w:rPr>
      </w:pPr>
    </w:p>
    <w:p w14:paraId="607A28A3" w14:textId="77777777" w:rsidR="00680733" w:rsidRPr="00610255" w:rsidRDefault="00680733" w:rsidP="00680733">
      <w:pPr>
        <w:rPr>
          <w:b/>
          <w:i/>
          <w:u w:val="single"/>
        </w:rPr>
      </w:pPr>
      <w:r w:rsidRPr="00610255">
        <w:rPr>
          <w:b/>
          <w:i/>
          <w:u w:val="single"/>
        </w:rPr>
        <w:t>VSC</w:t>
      </w:r>
    </w:p>
    <w:p w14:paraId="4975CC48" w14:textId="77777777" w:rsidR="00680733" w:rsidRPr="00610255" w:rsidRDefault="00680733" w:rsidP="00680733">
      <w:pPr>
        <w:rPr>
          <w:color w:val="2E74B5"/>
          <w:sz w:val="16"/>
          <w:szCs w:val="16"/>
        </w:rPr>
      </w:pPr>
    </w:p>
    <w:p w14:paraId="472AC28B" w14:textId="77777777" w:rsidR="00680733" w:rsidRDefault="00680733" w:rsidP="00680733">
      <w:pPr>
        <w:pStyle w:val="Text"/>
      </w:pPr>
      <w:r w:rsidRPr="00610255">
        <w:t>VSC je pedagogické odborné pracoviště vytvářející mat</w:t>
      </w:r>
      <w:r>
        <w:t>eriální, sociální, personální a </w:t>
      </w:r>
      <w:r w:rsidRPr="00610255">
        <w:t xml:space="preserve">sportovně technické podmínky pro přípravu vrcholových sportovců ve vybraných sportovních odvětvích pro potřeby státní sportovní reprezentace ČR. </w:t>
      </w:r>
    </w:p>
    <w:p w14:paraId="4E7626E9" w14:textId="77777777" w:rsidR="00680733" w:rsidRPr="0047628B" w:rsidRDefault="00680733" w:rsidP="00680733">
      <w:pPr>
        <w:pStyle w:val="Text"/>
      </w:pPr>
      <w:r w:rsidRPr="0047628B">
        <w:rPr>
          <w:b/>
        </w:rPr>
        <w:t>Rozpočet na rok 2019 byl nas</w:t>
      </w:r>
      <w:r>
        <w:rPr>
          <w:b/>
        </w:rPr>
        <w:t>taven v IISSP RISPR ve výši 191 </w:t>
      </w:r>
      <w:r w:rsidRPr="0047628B">
        <w:rPr>
          <w:b/>
        </w:rPr>
        <w:t xml:space="preserve">036 320 </w:t>
      </w:r>
      <w:r w:rsidRPr="00CE30A1">
        <w:rPr>
          <w:b/>
        </w:rPr>
        <w:t>Kč</w:t>
      </w:r>
      <w:r w:rsidRPr="0047628B">
        <w:t xml:space="preserve"> (</w:t>
      </w:r>
      <w:r w:rsidRPr="0047628B">
        <w:rPr>
          <w:b/>
        </w:rPr>
        <w:t xml:space="preserve">LPZ </w:t>
      </w:r>
      <w:r w:rsidRPr="0047628B">
        <w:t>je</w:t>
      </w:r>
      <w:r>
        <w:rPr>
          <w:b/>
        </w:rPr>
        <w:t> </w:t>
      </w:r>
      <w:r w:rsidRPr="0047628B">
        <w:t>stanoven ve výši</w:t>
      </w:r>
      <w:r w:rsidRPr="0047628B">
        <w:rPr>
          <w:b/>
        </w:rPr>
        <w:t xml:space="preserve"> 127,0 </w:t>
      </w:r>
      <w:r w:rsidRPr="0047628B">
        <w:t>přepočtených úvazků) s tím, že:</w:t>
      </w:r>
    </w:p>
    <w:p w14:paraId="25BF9F60" w14:textId="77777777" w:rsidR="00680733" w:rsidRPr="0047628B" w:rsidRDefault="00680733" w:rsidP="00680733">
      <w:pPr>
        <w:pStyle w:val="Default"/>
        <w:ind w:left="709"/>
        <w:jc w:val="both"/>
        <w:rPr>
          <w:color w:val="auto"/>
          <w:sz w:val="16"/>
          <w:szCs w:val="16"/>
        </w:rPr>
      </w:pPr>
    </w:p>
    <w:p w14:paraId="4351DA7A" w14:textId="77777777" w:rsidR="00680733" w:rsidRPr="00610255" w:rsidRDefault="00680733" w:rsidP="005B6E93">
      <w:pPr>
        <w:pStyle w:val="Odstavecseseznamem"/>
        <w:numPr>
          <w:ilvl w:val="0"/>
          <w:numId w:val="36"/>
        </w:numPr>
        <w:ind w:left="1134" w:hanging="425"/>
        <w:rPr>
          <w:szCs w:val="24"/>
        </w:rPr>
      </w:pPr>
      <w:r w:rsidRPr="00E56244">
        <w:rPr>
          <w:b/>
          <w:szCs w:val="24"/>
        </w:rPr>
        <w:t>LPZ – snížení o 3 úvazky</w:t>
      </w:r>
      <w:r w:rsidRPr="00610255">
        <w:rPr>
          <w:szCs w:val="24"/>
        </w:rPr>
        <w:t xml:space="preserve"> (krácení úvazků za neobsazenost) a odpovídající finanční prostředky;</w:t>
      </w:r>
    </w:p>
    <w:p w14:paraId="3637416E" w14:textId="77777777" w:rsidR="00680733" w:rsidRPr="00610255" w:rsidRDefault="00680733" w:rsidP="005B6E93">
      <w:pPr>
        <w:pStyle w:val="Odstavecseseznamem"/>
        <w:numPr>
          <w:ilvl w:val="0"/>
          <w:numId w:val="36"/>
        </w:numPr>
        <w:ind w:left="1134" w:hanging="425"/>
        <w:rPr>
          <w:szCs w:val="24"/>
        </w:rPr>
      </w:pPr>
      <w:r w:rsidRPr="00610255">
        <w:rPr>
          <w:szCs w:val="24"/>
        </w:rPr>
        <w:t>snížený limit prostředků na platy by</w:t>
      </w:r>
      <w:r>
        <w:rPr>
          <w:szCs w:val="24"/>
        </w:rPr>
        <w:t>l dle možností rozpočtu navýšen</w:t>
      </w:r>
      <w:r w:rsidR="00D805CD">
        <w:rPr>
          <w:szCs w:val="24"/>
        </w:rPr>
        <w:t xml:space="preserve"> o cca 3,3 %</w:t>
      </w:r>
      <w:r w:rsidRPr="00610255">
        <w:rPr>
          <w:szCs w:val="24"/>
        </w:rPr>
        <w:t>;</w:t>
      </w:r>
    </w:p>
    <w:p w14:paraId="00D5DAE7" w14:textId="77777777" w:rsidR="00680733" w:rsidRPr="00610255" w:rsidRDefault="00680733" w:rsidP="005B6E93">
      <w:pPr>
        <w:pStyle w:val="Odstavecseseznamem"/>
        <w:numPr>
          <w:ilvl w:val="0"/>
          <w:numId w:val="36"/>
        </w:numPr>
        <w:ind w:left="1134" w:hanging="425"/>
        <w:rPr>
          <w:szCs w:val="24"/>
        </w:rPr>
      </w:pPr>
      <w:r w:rsidRPr="00610255">
        <w:rPr>
          <w:szCs w:val="24"/>
        </w:rPr>
        <w:t xml:space="preserve">bylo akceptováno požadované navýšení prostředků na OPPP o </w:t>
      </w:r>
      <w:r w:rsidRPr="00A4007D">
        <w:rPr>
          <w:szCs w:val="24"/>
        </w:rPr>
        <w:t>5 500 000</w:t>
      </w:r>
      <w:r>
        <w:rPr>
          <w:szCs w:val="24"/>
        </w:rPr>
        <w:t xml:space="preserve"> </w:t>
      </w:r>
      <w:r w:rsidRPr="00610255">
        <w:rPr>
          <w:szCs w:val="24"/>
        </w:rPr>
        <w:t>Kč (přesunem z OBV), důvodem tohoto navýšení bylo zajištění financování základních potřeb sportovců hrazených dosud na základě inominátní smlouvy;</w:t>
      </w:r>
    </w:p>
    <w:p w14:paraId="273B7D67" w14:textId="6640C3B9" w:rsidR="00680733" w:rsidRPr="00610255" w:rsidRDefault="00680733" w:rsidP="005B6E93">
      <w:pPr>
        <w:pStyle w:val="Odstavecseseznamem"/>
        <w:numPr>
          <w:ilvl w:val="0"/>
          <w:numId w:val="36"/>
        </w:numPr>
        <w:ind w:left="1134" w:hanging="425"/>
        <w:rPr>
          <w:szCs w:val="24"/>
        </w:rPr>
      </w:pPr>
      <w:r w:rsidRPr="00610255">
        <w:rPr>
          <w:szCs w:val="24"/>
        </w:rPr>
        <w:t>rozpočet OBV je</w:t>
      </w:r>
      <w:r>
        <w:rPr>
          <w:szCs w:val="24"/>
        </w:rPr>
        <w:t> navýšen o </w:t>
      </w:r>
      <w:r w:rsidRPr="00A4007D">
        <w:rPr>
          <w:szCs w:val="24"/>
        </w:rPr>
        <w:t>27</w:t>
      </w:r>
      <w:r>
        <w:rPr>
          <w:szCs w:val="24"/>
        </w:rPr>
        <w:t> 772 919 Kč;</w:t>
      </w:r>
    </w:p>
    <w:p w14:paraId="304695B6" w14:textId="77777777" w:rsidR="00680733" w:rsidRPr="00325ABA" w:rsidRDefault="00680733" w:rsidP="005B6E93">
      <w:pPr>
        <w:pStyle w:val="Odstavecseseznamem"/>
        <w:numPr>
          <w:ilvl w:val="0"/>
          <w:numId w:val="36"/>
        </w:numPr>
        <w:ind w:left="1134" w:hanging="425"/>
        <w:rPr>
          <w:b/>
          <w:szCs w:val="24"/>
        </w:rPr>
      </w:pPr>
      <w:r w:rsidRPr="00325ABA">
        <w:rPr>
          <w:b/>
          <w:szCs w:val="24"/>
        </w:rPr>
        <w:t>Příjmy</w:t>
      </w:r>
      <w:r w:rsidRPr="00325ABA">
        <w:rPr>
          <w:szCs w:val="24"/>
        </w:rPr>
        <w:t xml:space="preserve"> VSC jsou rozpočtovány ve výši </w:t>
      </w:r>
      <w:r w:rsidRPr="00325ABA">
        <w:rPr>
          <w:b/>
          <w:szCs w:val="24"/>
        </w:rPr>
        <w:t>66 000 Kč.</w:t>
      </w:r>
    </w:p>
    <w:p w14:paraId="1EEA3C6D" w14:textId="77777777" w:rsidR="00521285" w:rsidRPr="00325ABA" w:rsidRDefault="00521285" w:rsidP="00521285">
      <w:pPr>
        <w:rPr>
          <w:b/>
          <w:u w:val="single"/>
        </w:rPr>
      </w:pPr>
    </w:p>
    <w:p w14:paraId="1B1CE081" w14:textId="77777777" w:rsidR="00065FD5" w:rsidRPr="00325ABA" w:rsidRDefault="00F61FC2" w:rsidP="0031482F">
      <w:pPr>
        <w:pStyle w:val="Nadpis4"/>
      </w:pPr>
      <w:r w:rsidRPr="00325ABA">
        <w:t xml:space="preserve"> </w:t>
      </w:r>
      <w:bookmarkStart w:id="163" w:name="_Toc5968877"/>
      <w:r w:rsidR="000F1322" w:rsidRPr="00325ABA">
        <w:t>Principy rozpisu rozpočtu běžných výdajů</w:t>
      </w:r>
      <w:r w:rsidR="00E01C38" w:rsidRPr="00325ABA">
        <w:t xml:space="preserve"> u vybraných organizací</w:t>
      </w:r>
      <w:bookmarkEnd w:id="163"/>
    </w:p>
    <w:p w14:paraId="3DDD67DA" w14:textId="77777777" w:rsidR="00065FD5" w:rsidRPr="00853611" w:rsidRDefault="00065FD5" w:rsidP="00B41918">
      <w:pPr>
        <w:rPr>
          <w:b/>
          <w:highlight w:val="yellow"/>
          <w:u w:val="single"/>
        </w:rPr>
      </w:pPr>
    </w:p>
    <w:p w14:paraId="71E5F41D" w14:textId="77777777" w:rsidR="001C002F" w:rsidRPr="007729B1" w:rsidRDefault="001C002F" w:rsidP="00047CD5">
      <w:pPr>
        <w:pStyle w:val="Text"/>
        <w:ind w:left="426" w:hanging="426"/>
      </w:pPr>
      <w:r>
        <w:t>Zařízení</w:t>
      </w:r>
      <w:r w:rsidRPr="00941ED1">
        <w:t xml:space="preserve"> poskytující ubytovací služby, které jsou součástí OPŘO</w:t>
      </w:r>
      <w:r>
        <w:t>:</w:t>
      </w:r>
    </w:p>
    <w:p w14:paraId="1DD303DC" w14:textId="77777777" w:rsidR="001C002F" w:rsidRPr="001C002F" w:rsidRDefault="001C002F" w:rsidP="005B6E93">
      <w:pPr>
        <w:numPr>
          <w:ilvl w:val="1"/>
          <w:numId w:val="37"/>
        </w:numPr>
        <w:tabs>
          <w:tab w:val="clear" w:pos="1440"/>
          <w:tab w:val="left" w:pos="426"/>
          <w:tab w:val="num" w:pos="1080"/>
          <w:tab w:val="num" w:pos="1495"/>
        </w:tabs>
        <w:spacing w:after="120"/>
        <w:ind w:left="426" w:hanging="426"/>
      </w:pPr>
      <w:r w:rsidRPr="001C002F">
        <w:rPr>
          <w:b/>
        </w:rPr>
        <w:t>ubytovací zařízení v Dlouhé ul. (DZS)</w:t>
      </w:r>
      <w:r w:rsidRPr="007729B1">
        <w:t xml:space="preserve"> – na služby </w:t>
      </w:r>
      <w:r>
        <w:t>pro MŠMT – tj. úhradu služeb za </w:t>
      </w:r>
      <w:r w:rsidRPr="007729B1">
        <w:t xml:space="preserve">neplatící hosty – jsou ponechány nerozepsané prostředky u příkazce svodných rozpočtových operací, a </w:t>
      </w:r>
      <w:r w:rsidRPr="001C002F">
        <w:rPr>
          <w:b/>
        </w:rPr>
        <w:t xml:space="preserve">budou uvolňovány úpravou rozpočtu na základě skutečného vyúčtování služeb pro MŠMT a s nimi souvisejících vynaložených nákladů po předchozím souhlasu sekce legislativy a mezinárodních vztahů </w:t>
      </w:r>
      <w:r w:rsidRPr="007729B1">
        <w:t>(např. čtvrtletně, nejpozději však do 15.</w:t>
      </w:r>
      <w:r w:rsidRPr="001C002F">
        <w:rPr>
          <w:sz w:val="28"/>
        </w:rPr>
        <w:t> </w:t>
      </w:r>
      <w:r w:rsidRPr="007729B1">
        <w:t>listopadu 201</w:t>
      </w:r>
      <w:r>
        <w:t>9</w:t>
      </w:r>
      <w:r w:rsidRPr="007729B1">
        <w:t>);</w:t>
      </w:r>
      <w:r w:rsidRPr="001C002F">
        <w:rPr>
          <w:b/>
        </w:rPr>
        <w:t xml:space="preserve"> </w:t>
      </w:r>
    </w:p>
    <w:p w14:paraId="4347C432" w14:textId="7333CAF3" w:rsidR="000F1322" w:rsidRPr="00325ABA" w:rsidRDefault="001C002F" w:rsidP="005B6E93">
      <w:pPr>
        <w:numPr>
          <w:ilvl w:val="1"/>
          <w:numId w:val="37"/>
        </w:numPr>
        <w:tabs>
          <w:tab w:val="left" w:pos="426"/>
          <w:tab w:val="num" w:pos="1495"/>
        </w:tabs>
        <w:spacing w:after="120"/>
        <w:ind w:left="426" w:hanging="426"/>
      </w:pPr>
      <w:r w:rsidRPr="001C002F">
        <w:rPr>
          <w:b/>
        </w:rPr>
        <w:t xml:space="preserve">zařízení Učební středisko Richtrovy boudy (NIDV) – </w:t>
      </w:r>
      <w:r w:rsidRPr="009E1AC0">
        <w:t>k 31.</w:t>
      </w:r>
      <w:r>
        <w:t xml:space="preserve"> </w:t>
      </w:r>
      <w:r w:rsidRPr="009E1AC0">
        <w:t>12.</w:t>
      </w:r>
      <w:r>
        <w:t xml:space="preserve"> </w:t>
      </w:r>
      <w:r w:rsidRPr="009E1AC0">
        <w:t xml:space="preserve">2018 </w:t>
      </w:r>
      <w:r w:rsidRPr="001C002F">
        <w:rPr>
          <w:rFonts w:cstheme="minorHAnsi"/>
          <w:szCs w:val="24"/>
        </w:rPr>
        <w:t>na základě Příkazu ředitelky NIDV</w:t>
      </w:r>
      <w:r w:rsidRPr="009E1AC0">
        <w:t xml:space="preserve"> byl ukončen provoz zařízení.</w:t>
      </w:r>
      <w:r w:rsidR="00047CD5" w:rsidRPr="00047CD5">
        <w:t>)</w:t>
      </w:r>
      <w:r w:rsidRPr="009E1AC0">
        <w:t xml:space="preserve"> V návaznosti na konkrétní podmínky a harmonogram převodu na </w:t>
      </w:r>
      <w:r w:rsidR="003A2C99">
        <w:t>jinou státní organizaci</w:t>
      </w:r>
      <w:r w:rsidRPr="009E1AC0">
        <w:t xml:space="preserve"> </w:t>
      </w:r>
      <w:r w:rsidRPr="00325ABA">
        <w:t>bude upraven rozpočet NIDV.</w:t>
      </w:r>
    </w:p>
    <w:p w14:paraId="333E91A0" w14:textId="77777777" w:rsidR="001C002F" w:rsidRPr="00325ABA" w:rsidRDefault="001C002F" w:rsidP="001C002F">
      <w:pPr>
        <w:rPr>
          <w:b/>
          <w:u w:val="single"/>
        </w:rPr>
      </w:pPr>
    </w:p>
    <w:p w14:paraId="02656A57" w14:textId="77777777" w:rsidR="000F1322" w:rsidRPr="00325ABA" w:rsidRDefault="009F490A" w:rsidP="0031482F">
      <w:pPr>
        <w:pStyle w:val="Nadpis4"/>
      </w:pPr>
      <w:r w:rsidRPr="00325ABA">
        <w:t xml:space="preserve"> </w:t>
      </w:r>
      <w:bookmarkStart w:id="164" w:name="_Toc5968878"/>
      <w:r w:rsidR="00D63C1E" w:rsidRPr="00325ABA">
        <w:t>Resortní projekty</w:t>
      </w:r>
      <w:bookmarkEnd w:id="164"/>
    </w:p>
    <w:p w14:paraId="07AD3C76" w14:textId="77777777" w:rsidR="00F61FC2" w:rsidRPr="00325ABA" w:rsidRDefault="00F61FC2" w:rsidP="00F61FC2">
      <w:pPr>
        <w:rPr>
          <w:lang w:eastAsia="en-US"/>
        </w:rPr>
      </w:pPr>
    </w:p>
    <w:p w14:paraId="1BF53ED5" w14:textId="77777777" w:rsidR="001C002F" w:rsidRPr="00E77DF5" w:rsidRDefault="001C002F" w:rsidP="00997C1E">
      <w:pPr>
        <w:pStyle w:val="Text"/>
      </w:pPr>
      <w:r w:rsidRPr="00325ABA">
        <w:t xml:space="preserve">Na </w:t>
      </w:r>
      <w:r w:rsidRPr="00325ABA">
        <w:rPr>
          <w:b/>
        </w:rPr>
        <w:t>resortní projekty</w:t>
      </w:r>
      <w:r w:rsidRPr="00E77DF5">
        <w:t xml:space="preserve"> (úkoly resortu, jejichž realizací pověřilo MŠMT jednotlivé organizace) je pro rok 2019 vyčleněn stejný objem jako v r. 2018 ve </w:t>
      </w:r>
      <w:r w:rsidRPr="00E77DF5">
        <w:rPr>
          <w:b/>
        </w:rPr>
        <w:t>výši 61 182 973 Kč</w:t>
      </w:r>
      <w:r>
        <w:t xml:space="preserve"> vč. </w:t>
      </w:r>
      <w:r w:rsidRPr="00E77DF5">
        <w:rPr>
          <w:b/>
        </w:rPr>
        <w:t>LPZ</w:t>
      </w:r>
      <w:r w:rsidRPr="00E77DF5">
        <w:t xml:space="preserve"> ve výši </w:t>
      </w:r>
      <w:r w:rsidRPr="00E77DF5">
        <w:rPr>
          <w:b/>
        </w:rPr>
        <w:t>2,75</w:t>
      </w:r>
      <w:r w:rsidRPr="00E77DF5">
        <w:t xml:space="preserve"> přepočtených úvazků. V rozpočtu resortních projektů byly zohledněny zpřesněné požadavky jednotlivých sekcí. Z celkového objemu je vyčleněno pro: </w:t>
      </w:r>
    </w:p>
    <w:p w14:paraId="2A78322F" w14:textId="77777777" w:rsidR="001C002F" w:rsidRDefault="001C002F" w:rsidP="001C002F">
      <w:pPr>
        <w:pStyle w:val="Text"/>
        <w:rPr>
          <w:highlight w:val="yellow"/>
        </w:rPr>
      </w:pPr>
    </w:p>
    <w:p w14:paraId="602A043C" w14:textId="77777777" w:rsidR="001C002F" w:rsidRPr="009E1AC0" w:rsidRDefault="001C002F" w:rsidP="001C002F">
      <w:pPr>
        <w:ind w:left="709"/>
        <w:rPr>
          <w:szCs w:val="24"/>
        </w:rPr>
      </w:pPr>
      <w:r w:rsidRPr="009E1AC0">
        <w:rPr>
          <w:szCs w:val="24"/>
        </w:rPr>
        <w:t>DZS</w:t>
      </w:r>
      <w:r w:rsidRPr="009E1AC0">
        <w:rPr>
          <w:szCs w:val="24"/>
        </w:rPr>
        <w:tab/>
      </w:r>
      <w:r w:rsidRPr="009E1AC0">
        <w:rPr>
          <w:szCs w:val="24"/>
        </w:rPr>
        <w:tab/>
        <w:t xml:space="preserve">  4 183 000 Kč</w:t>
      </w:r>
    </w:p>
    <w:p w14:paraId="46F15B1C" w14:textId="77777777" w:rsidR="001C002F" w:rsidRPr="009E1AC0" w:rsidRDefault="001C002F" w:rsidP="001C002F">
      <w:pPr>
        <w:ind w:left="709"/>
        <w:rPr>
          <w:szCs w:val="24"/>
        </w:rPr>
      </w:pPr>
      <w:r w:rsidRPr="009E1AC0">
        <w:rPr>
          <w:szCs w:val="24"/>
        </w:rPr>
        <w:t>NPMK</w:t>
      </w:r>
      <w:r w:rsidRPr="009E1AC0">
        <w:rPr>
          <w:szCs w:val="24"/>
        </w:rPr>
        <w:tab/>
      </w:r>
      <w:r w:rsidRPr="009E1AC0">
        <w:rPr>
          <w:szCs w:val="24"/>
        </w:rPr>
        <w:tab/>
        <w:t xml:space="preserve">  1 534 463 Kč</w:t>
      </w:r>
    </w:p>
    <w:p w14:paraId="34411325" w14:textId="77777777" w:rsidR="001C002F" w:rsidRPr="009E1AC0" w:rsidRDefault="001C002F" w:rsidP="001C002F">
      <w:pPr>
        <w:ind w:left="709"/>
        <w:rPr>
          <w:szCs w:val="24"/>
        </w:rPr>
      </w:pPr>
      <w:r w:rsidRPr="009E1AC0">
        <w:rPr>
          <w:szCs w:val="24"/>
        </w:rPr>
        <w:t>NIDV</w:t>
      </w:r>
      <w:r w:rsidRPr="009E1AC0">
        <w:rPr>
          <w:szCs w:val="24"/>
        </w:rPr>
        <w:tab/>
      </w:r>
      <w:r w:rsidRPr="009E1AC0">
        <w:rPr>
          <w:szCs w:val="24"/>
        </w:rPr>
        <w:tab/>
        <w:t xml:space="preserve">  7 139 350 Kč</w:t>
      </w:r>
    </w:p>
    <w:p w14:paraId="3F884157" w14:textId="77777777" w:rsidR="001C002F" w:rsidRPr="009E1AC0" w:rsidRDefault="001C002F" w:rsidP="001C002F">
      <w:pPr>
        <w:ind w:left="709"/>
        <w:rPr>
          <w:szCs w:val="24"/>
        </w:rPr>
      </w:pPr>
      <w:r w:rsidRPr="009E1AC0">
        <w:rPr>
          <w:szCs w:val="24"/>
        </w:rPr>
        <w:t>NÚV</w:t>
      </w:r>
      <w:r w:rsidRPr="009E1AC0">
        <w:rPr>
          <w:szCs w:val="24"/>
        </w:rPr>
        <w:tab/>
      </w:r>
      <w:r w:rsidRPr="009E1AC0">
        <w:rPr>
          <w:szCs w:val="24"/>
        </w:rPr>
        <w:tab/>
        <w:t xml:space="preserve">  5 216 160 Kč</w:t>
      </w:r>
    </w:p>
    <w:p w14:paraId="693F8AB5" w14:textId="77777777" w:rsidR="001C002F" w:rsidRPr="009E1AC0" w:rsidRDefault="001C002F" w:rsidP="001C002F">
      <w:pPr>
        <w:ind w:left="709"/>
        <w:rPr>
          <w:szCs w:val="24"/>
        </w:rPr>
      </w:pPr>
      <w:r w:rsidRPr="009E1AC0">
        <w:rPr>
          <w:szCs w:val="24"/>
        </w:rPr>
        <w:t>PC ČT</w:t>
      </w:r>
      <w:r w:rsidRPr="009E1AC0">
        <w:rPr>
          <w:szCs w:val="24"/>
        </w:rPr>
        <w:tab/>
      </w:r>
      <w:r w:rsidRPr="009E1AC0">
        <w:rPr>
          <w:szCs w:val="24"/>
        </w:rPr>
        <w:tab/>
        <w:t xml:space="preserve">     100 000 Kč</w:t>
      </w:r>
    </w:p>
    <w:p w14:paraId="45B9355E" w14:textId="77777777" w:rsidR="001C002F" w:rsidRPr="009E1AC0" w:rsidRDefault="001C002F" w:rsidP="001C002F">
      <w:pPr>
        <w:ind w:left="709"/>
        <w:rPr>
          <w:szCs w:val="24"/>
        </w:rPr>
      </w:pPr>
      <w:r w:rsidRPr="009E1AC0">
        <w:rPr>
          <w:szCs w:val="24"/>
        </w:rPr>
        <w:t>NTK</w:t>
      </w:r>
      <w:r w:rsidRPr="009E1AC0">
        <w:rPr>
          <w:szCs w:val="24"/>
        </w:rPr>
        <w:tab/>
      </w:r>
      <w:r w:rsidRPr="009E1AC0">
        <w:rPr>
          <w:szCs w:val="24"/>
        </w:rPr>
        <w:tab/>
        <w:t>43 010 000 Kč</w:t>
      </w:r>
    </w:p>
    <w:p w14:paraId="7A90B99A" w14:textId="77777777" w:rsidR="001C002F" w:rsidRPr="00253FF9" w:rsidRDefault="001C002F" w:rsidP="001C002F">
      <w:pPr>
        <w:pStyle w:val="Text"/>
        <w:rPr>
          <w:sz w:val="16"/>
          <w:szCs w:val="16"/>
        </w:rPr>
      </w:pPr>
      <w:r w:rsidRPr="00253FF9">
        <w:lastRenderedPageBreak/>
        <w:t xml:space="preserve">Aby byl zajištěn soulad financování kmenové činnosti a resortních projektů v jednotlivých organizacích a nedošlo k financování jednoho úkolu duplicitně, budou </w:t>
      </w:r>
      <w:r w:rsidRPr="00253FF9">
        <w:rPr>
          <w:b/>
        </w:rPr>
        <w:t xml:space="preserve">finanční prostředky na resortní projekty </w:t>
      </w:r>
      <w:r w:rsidRPr="00253FF9">
        <w:t>rozepisovány</w:t>
      </w:r>
      <w:r w:rsidRPr="00253FF9">
        <w:rPr>
          <w:b/>
        </w:rPr>
        <w:t xml:space="preserve"> do rozpočtů organizací postupně v návaznosti na projednání PHÚ v poradě vedení, </w:t>
      </w:r>
      <w:r w:rsidRPr="00253FF9">
        <w:t>a to</w:t>
      </w:r>
      <w:r w:rsidRPr="00253FF9">
        <w:rPr>
          <w:b/>
        </w:rPr>
        <w:t xml:space="preserve"> </w:t>
      </w:r>
      <w:r w:rsidRPr="00253FF9">
        <w:t>ve 2 etapách:</w:t>
      </w:r>
    </w:p>
    <w:p w14:paraId="1D2D4B66" w14:textId="77777777" w:rsidR="001C002F" w:rsidRPr="00253FF9" w:rsidRDefault="001C002F" w:rsidP="001C002F">
      <w:pPr>
        <w:ind w:left="851"/>
        <w:rPr>
          <w:color w:val="2E74B5"/>
          <w:sz w:val="16"/>
          <w:szCs w:val="16"/>
        </w:rPr>
      </w:pPr>
    </w:p>
    <w:p w14:paraId="6DB244AB" w14:textId="77777777" w:rsidR="001C002F" w:rsidRPr="00253FF9" w:rsidRDefault="001C002F" w:rsidP="005B6E93">
      <w:pPr>
        <w:numPr>
          <w:ilvl w:val="0"/>
          <w:numId w:val="38"/>
        </w:numPr>
        <w:ind w:left="1418" w:hanging="567"/>
        <w:rPr>
          <w:sz w:val="16"/>
          <w:szCs w:val="16"/>
        </w:rPr>
      </w:pPr>
      <w:r w:rsidRPr="00253FF9">
        <w:rPr>
          <w:b/>
        </w:rPr>
        <w:t xml:space="preserve">1. etapa – </w:t>
      </w:r>
      <w:r w:rsidRPr="00253FF9">
        <w:t xml:space="preserve">bude rozepsáno 75 % schváleného rozpočtu resortních projektů </w:t>
      </w:r>
    </w:p>
    <w:p w14:paraId="6B01524C" w14:textId="36E82473" w:rsidR="001C002F" w:rsidRPr="00253FF9" w:rsidRDefault="001C002F" w:rsidP="001C002F">
      <w:pPr>
        <w:ind w:left="851"/>
        <w:jc w:val="right"/>
      </w:pPr>
      <w:r w:rsidRPr="00253FF9">
        <w:t xml:space="preserve">          po schválení PHÚ;</w:t>
      </w:r>
    </w:p>
    <w:p w14:paraId="2CBF2951" w14:textId="77777777" w:rsidR="001C002F" w:rsidRPr="00253FF9" w:rsidRDefault="001C002F" w:rsidP="001C002F">
      <w:pPr>
        <w:ind w:left="851"/>
        <w:jc w:val="right"/>
        <w:rPr>
          <w:sz w:val="16"/>
          <w:szCs w:val="16"/>
        </w:rPr>
      </w:pPr>
    </w:p>
    <w:p w14:paraId="3CA0DE12" w14:textId="77777777" w:rsidR="001C002F" w:rsidRPr="00253FF9" w:rsidRDefault="001C002F" w:rsidP="001C002F">
      <w:pPr>
        <w:pStyle w:val="Zkladntext"/>
        <w:spacing w:after="0"/>
        <w:ind w:left="1418" w:hanging="567"/>
        <w:rPr>
          <w:b/>
        </w:rPr>
      </w:pPr>
      <w:r w:rsidRPr="00253FF9">
        <w:t>b)</w:t>
      </w:r>
      <w:r w:rsidRPr="00253FF9">
        <w:rPr>
          <w:b/>
        </w:rPr>
        <w:t xml:space="preserve"> </w:t>
      </w:r>
      <w:r w:rsidRPr="00253FF9">
        <w:rPr>
          <w:b/>
        </w:rPr>
        <w:tab/>
        <w:t xml:space="preserve">2. etapa </w:t>
      </w:r>
      <w:r w:rsidRPr="00253FF9">
        <w:t xml:space="preserve">– dofinancování - po vyhodnocení </w:t>
      </w:r>
      <w:r w:rsidRPr="00253FF9">
        <w:rPr>
          <w:b/>
        </w:rPr>
        <w:t>předpokládaných výsledků realizace projektu, čerpání rozpočtu a předložení návrhu na dofinancování věcně příslušnou sekcí sekci ekonomické.</w:t>
      </w:r>
      <w:r w:rsidRPr="00253FF9">
        <w:rPr>
          <w:b/>
        </w:rPr>
        <w:tab/>
      </w:r>
    </w:p>
    <w:p w14:paraId="0274239F" w14:textId="77777777" w:rsidR="001C002F" w:rsidRPr="00253FF9" w:rsidRDefault="001C002F" w:rsidP="001C002F">
      <w:pPr>
        <w:pStyle w:val="Zkladntext"/>
        <w:spacing w:after="0"/>
        <w:ind w:left="1418" w:hanging="567"/>
        <w:jc w:val="right"/>
      </w:pPr>
      <w:r w:rsidRPr="00253FF9">
        <w:rPr>
          <w:b/>
        </w:rPr>
        <w:t xml:space="preserve">        </w:t>
      </w:r>
      <w:r w:rsidRPr="00253FF9">
        <w:rPr>
          <w:b/>
        </w:rPr>
        <w:tab/>
        <w:t xml:space="preserve">  </w:t>
      </w:r>
      <w:r w:rsidRPr="00253FF9">
        <w:rPr>
          <w:b/>
        </w:rPr>
        <w:tab/>
        <w:t xml:space="preserve">        </w:t>
      </w:r>
      <w:r w:rsidRPr="00253FF9">
        <w:rPr>
          <w:b/>
        </w:rPr>
        <w:tab/>
        <w:t xml:space="preserve">          </w:t>
      </w:r>
      <w:r w:rsidRPr="00253FF9">
        <w:t>do 30. 9. 201</w:t>
      </w:r>
      <w:r>
        <w:t>9</w:t>
      </w:r>
      <w:r w:rsidRPr="00253FF9">
        <w:t>.</w:t>
      </w:r>
    </w:p>
    <w:p w14:paraId="3C873E63" w14:textId="77777777" w:rsidR="001C002F" w:rsidRPr="001C002F" w:rsidRDefault="001C002F" w:rsidP="001C002F">
      <w:pPr>
        <w:pStyle w:val="Text"/>
      </w:pPr>
      <w:r w:rsidRPr="00253FF9">
        <w:t xml:space="preserve">Prostředky </w:t>
      </w:r>
      <w:r w:rsidRPr="001C002F">
        <w:t>na resortní projekty budou v souladu s výše uvedeným harmonogramem organizacím poskytovány v pravidelných měsíčních intervalech stejně jako finanční prostředky na kmenovou činnost.</w:t>
      </w:r>
    </w:p>
    <w:p w14:paraId="2B713B94" w14:textId="77777777" w:rsidR="006C2085" w:rsidRPr="001C002F" w:rsidRDefault="006C2085" w:rsidP="00DA5A48">
      <w:pPr>
        <w:pStyle w:val="Text"/>
      </w:pPr>
    </w:p>
    <w:p w14:paraId="32075E8E" w14:textId="77777777" w:rsidR="00C84117" w:rsidRPr="001C002F" w:rsidRDefault="00C84117" w:rsidP="0031482F">
      <w:pPr>
        <w:pStyle w:val="Nadpis4"/>
      </w:pPr>
      <w:bookmarkStart w:id="165" w:name="_Toc414438472"/>
      <w:bookmarkStart w:id="166" w:name="_Toc5968879"/>
      <w:r w:rsidRPr="001C002F">
        <w:t xml:space="preserve">Zabezpečení </w:t>
      </w:r>
      <w:r w:rsidR="001C002F" w:rsidRPr="001C002F">
        <w:t xml:space="preserve">tzv. povinné </w:t>
      </w:r>
      <w:r w:rsidRPr="001C002F">
        <w:t>udržitelnosti projektů</w:t>
      </w:r>
      <w:bookmarkEnd w:id="165"/>
      <w:bookmarkEnd w:id="166"/>
    </w:p>
    <w:p w14:paraId="5FC3337E" w14:textId="77777777" w:rsidR="00C84117" w:rsidRPr="001C002F" w:rsidRDefault="00C84117" w:rsidP="00C84117">
      <w:pPr>
        <w:rPr>
          <w:color w:val="8496B0"/>
          <w:sz w:val="16"/>
          <w:szCs w:val="16"/>
          <w:lang w:eastAsia="en-US"/>
        </w:rPr>
      </w:pPr>
    </w:p>
    <w:p w14:paraId="5E9B54AB" w14:textId="2E05E372" w:rsidR="001C002F" w:rsidRPr="00817C11" w:rsidRDefault="001C002F" w:rsidP="00997C1E">
      <w:pPr>
        <w:pStyle w:val="Text"/>
      </w:pPr>
      <w:r w:rsidRPr="001C002F">
        <w:t>Stejně jako v předchozích letech, je i v r. 2019 nezbytné zabezpečit tzv. povinnou udržitelnost projektů financovaných v rámci</w:t>
      </w:r>
      <w:r w:rsidRPr="00817C11">
        <w:t xml:space="preserve"> Operačního programu Vzdělávání pro konkurenceschopnost, které byly realizovány jednotlivými OPŘO. Celková částka na financování těchto projektů (NSK II a VIP II-KP) v roce 2019</w:t>
      </w:r>
      <w:r w:rsidRPr="00817C11">
        <w:rPr>
          <w:color w:val="2E74B5"/>
        </w:rPr>
        <w:t xml:space="preserve"> </w:t>
      </w:r>
      <w:r w:rsidRPr="00817C11">
        <w:t xml:space="preserve">činí </w:t>
      </w:r>
      <w:r>
        <w:t>3</w:t>
      </w:r>
      <w:r w:rsidRPr="00817C11">
        <w:t>7 </w:t>
      </w:r>
      <w:r>
        <w:t>291</w:t>
      </w:r>
      <w:r w:rsidRPr="00817C11">
        <w:t> </w:t>
      </w:r>
      <w:r>
        <w:t xml:space="preserve">335 Kč </w:t>
      </w:r>
      <w:r w:rsidRPr="0081511F">
        <w:t xml:space="preserve">(vč. </w:t>
      </w:r>
      <w:r>
        <w:t xml:space="preserve">17,15 </w:t>
      </w:r>
      <w:r w:rsidRPr="0081511F">
        <w:t>LPZ).</w:t>
      </w:r>
      <w:r>
        <w:t xml:space="preserve"> </w:t>
      </w:r>
    </w:p>
    <w:p w14:paraId="080C138B" w14:textId="77777777" w:rsidR="001C002F" w:rsidRPr="00817C11" w:rsidRDefault="001C002F" w:rsidP="00100161">
      <w:pPr>
        <w:pStyle w:val="Text"/>
      </w:pPr>
      <w:r w:rsidRPr="00817C11">
        <w:t>Prostředky na zabezpečení projektů udržitelnosti budou uvolňovány na základě schváleného PHÚ a žádosti organizace.</w:t>
      </w:r>
    </w:p>
    <w:p w14:paraId="525672CB" w14:textId="77777777" w:rsidR="00C84117" w:rsidRPr="00325ABA" w:rsidRDefault="001C002F" w:rsidP="001C002F">
      <w:pPr>
        <w:pStyle w:val="Text"/>
      </w:pPr>
      <w:r w:rsidRPr="00817C11">
        <w:t xml:space="preserve">Součástí žádosti o uvolnění schválených prostředků na zabezpečení udržitelnosti projektů bude náležité </w:t>
      </w:r>
      <w:r w:rsidRPr="0081511F">
        <w:rPr>
          <w:b/>
        </w:rPr>
        <w:t>zdůvodnění</w:t>
      </w:r>
      <w:r w:rsidRPr="00817C11">
        <w:t xml:space="preserve"> při požadovaném uvolnění celkového objemu (100 % </w:t>
      </w:r>
      <w:r w:rsidRPr="00325ABA">
        <w:t>schváleného rozpočtu).</w:t>
      </w:r>
    </w:p>
    <w:p w14:paraId="597EB188" w14:textId="77777777" w:rsidR="001C002F" w:rsidRPr="00325ABA" w:rsidRDefault="001C002F" w:rsidP="001C002F">
      <w:pPr>
        <w:pStyle w:val="Text"/>
      </w:pPr>
    </w:p>
    <w:p w14:paraId="6C6D9BCD" w14:textId="77777777" w:rsidR="00B06282" w:rsidRPr="00325ABA" w:rsidRDefault="00B06282" w:rsidP="0031482F">
      <w:pPr>
        <w:pStyle w:val="Nadpis4"/>
      </w:pPr>
      <w:bookmarkStart w:id="167" w:name="_Toc5968880"/>
      <w:r w:rsidRPr="00325ABA">
        <w:t>Účelově vymezené úkoly</w:t>
      </w:r>
      <w:bookmarkEnd w:id="167"/>
    </w:p>
    <w:p w14:paraId="43FEE8CE" w14:textId="77777777" w:rsidR="00B06282" w:rsidRPr="00325ABA" w:rsidRDefault="00B06282" w:rsidP="00C069EF">
      <w:pPr>
        <w:ind w:left="426"/>
        <w:rPr>
          <w:b/>
          <w:u w:val="single"/>
        </w:rPr>
      </w:pPr>
    </w:p>
    <w:p w14:paraId="2535FEE1" w14:textId="363709CE" w:rsidR="00B0764F" w:rsidRPr="00CE3E81" w:rsidRDefault="00B0764F" w:rsidP="00B0764F">
      <w:pPr>
        <w:pStyle w:val="Text"/>
        <w:rPr>
          <w:color w:val="2E74B5"/>
        </w:rPr>
      </w:pPr>
      <w:r w:rsidRPr="00325ABA">
        <w:rPr>
          <w:b/>
        </w:rPr>
        <w:t>Na účelově vymezené úkoly uvedené</w:t>
      </w:r>
      <w:r w:rsidRPr="00CE3E81">
        <w:rPr>
          <w:b/>
        </w:rPr>
        <w:t xml:space="preserve"> v této části materiálu </w:t>
      </w:r>
      <w:r w:rsidRPr="00CE3E81">
        <w:t xml:space="preserve">(včetně úkolů spojených s integrací cizinců) </w:t>
      </w:r>
      <w:r w:rsidRPr="00CE3E81">
        <w:rPr>
          <w:b/>
        </w:rPr>
        <w:t>jsou na rok 201</w:t>
      </w:r>
      <w:r>
        <w:rPr>
          <w:b/>
        </w:rPr>
        <w:t>9</w:t>
      </w:r>
      <w:r w:rsidRPr="00CE3E81">
        <w:rPr>
          <w:b/>
        </w:rPr>
        <w:t xml:space="preserve"> zabezpečeny výdaje ve výši 2</w:t>
      </w:r>
      <w:r>
        <w:rPr>
          <w:b/>
        </w:rPr>
        <w:t>5</w:t>
      </w:r>
      <w:r w:rsidRPr="00CE3E81">
        <w:rPr>
          <w:b/>
        </w:rPr>
        <w:t> </w:t>
      </w:r>
      <w:r>
        <w:rPr>
          <w:b/>
        </w:rPr>
        <w:t xml:space="preserve">761 257 </w:t>
      </w:r>
      <w:r w:rsidRPr="00CE3E81">
        <w:rPr>
          <w:b/>
        </w:rPr>
        <w:t xml:space="preserve">Kč. </w:t>
      </w:r>
      <w:r w:rsidRPr="00CE3E81">
        <w:t>Účelově vymezenými úkoly jsou časově omezené úkoly, jejichž realizace nevychází ze schválených resortních projektů, ale např. z mezinárodních dohod a smluv, usne</w:t>
      </w:r>
      <w:r w:rsidR="00DB182B">
        <w:t>sení vlády,</w:t>
      </w:r>
      <w:r w:rsidRPr="00CE3E81">
        <w:t xml:space="preserve"> atd. Rozpočet těchto úkolů odpovídá schváleným dokumentům, možnostem rozpočtu a reálné potřebě v roce 201</w:t>
      </w:r>
      <w:r>
        <w:t>9</w:t>
      </w:r>
      <w:r w:rsidRPr="00CE3E81">
        <w:t>.</w:t>
      </w:r>
    </w:p>
    <w:p w14:paraId="237FC1A0" w14:textId="77777777" w:rsidR="00B0764F" w:rsidRPr="00CE3E81" w:rsidRDefault="00B0764F" w:rsidP="00B0764F">
      <w:pPr>
        <w:rPr>
          <w:b/>
        </w:rPr>
      </w:pPr>
    </w:p>
    <w:p w14:paraId="7733E054" w14:textId="77777777" w:rsidR="00B0764F" w:rsidRPr="00CE3E81" w:rsidRDefault="00B0764F" w:rsidP="00B0764F">
      <w:pPr>
        <w:rPr>
          <w:b/>
        </w:rPr>
      </w:pPr>
      <w:r w:rsidRPr="00CE3E81">
        <w:rPr>
          <w:b/>
        </w:rPr>
        <w:t>Rekapitulace účelově vymezených úkolů podle věcně příslušných sekcí:</w:t>
      </w:r>
    </w:p>
    <w:p w14:paraId="1C31E21D" w14:textId="77777777" w:rsidR="00B0764F" w:rsidRPr="00CE3E81" w:rsidRDefault="00B0764F" w:rsidP="00B0764F">
      <w:pPr>
        <w:pStyle w:val="Text"/>
      </w:pPr>
      <w:r w:rsidRPr="00CE3E81">
        <w:t xml:space="preserve">Úkoly související s činností </w:t>
      </w:r>
      <w:r w:rsidRPr="00CE3E81">
        <w:rPr>
          <w:b/>
        </w:rPr>
        <w:t>sekce vzdělávání</w:t>
      </w:r>
      <w:r w:rsidRPr="00CE3E81">
        <w:t xml:space="preserve"> – v rozpočtu na rok 201</w:t>
      </w:r>
      <w:r>
        <w:t>9</w:t>
      </w:r>
      <w:r w:rsidRPr="00CE3E81">
        <w:t xml:space="preserve"> je zabezpečena částka </w:t>
      </w:r>
      <w:r>
        <w:rPr>
          <w:b/>
        </w:rPr>
        <w:t>6</w:t>
      </w:r>
      <w:r w:rsidRPr="00CE3E81">
        <w:rPr>
          <w:b/>
        </w:rPr>
        <w:t> </w:t>
      </w:r>
      <w:r>
        <w:rPr>
          <w:b/>
        </w:rPr>
        <w:t>398</w:t>
      </w:r>
      <w:r w:rsidRPr="00CE3E81">
        <w:rPr>
          <w:b/>
        </w:rPr>
        <w:t xml:space="preserve"> </w:t>
      </w:r>
      <w:r>
        <w:rPr>
          <w:b/>
        </w:rPr>
        <w:t>976</w:t>
      </w:r>
      <w:r w:rsidRPr="00CE3E81">
        <w:rPr>
          <w:b/>
        </w:rPr>
        <w:t xml:space="preserve"> Kč</w:t>
      </w:r>
      <w:r w:rsidRPr="00CE3E81">
        <w:t>:</w:t>
      </w:r>
    </w:p>
    <w:p w14:paraId="40BC4615" w14:textId="77777777" w:rsidR="00B0764F" w:rsidRPr="00CE3E81" w:rsidRDefault="00B0764F" w:rsidP="00B0764F">
      <w:pPr>
        <w:pStyle w:val="Text"/>
      </w:pPr>
    </w:p>
    <w:tbl>
      <w:tblPr>
        <w:tblW w:w="7787" w:type="dxa"/>
        <w:tblInd w:w="1101" w:type="dxa"/>
        <w:tblLook w:val="04A0" w:firstRow="1" w:lastRow="0" w:firstColumn="1" w:lastColumn="0" w:noHBand="0" w:noVBand="1"/>
      </w:tblPr>
      <w:tblGrid>
        <w:gridCol w:w="850"/>
        <w:gridCol w:w="5272"/>
        <w:gridCol w:w="1665"/>
      </w:tblGrid>
      <w:tr w:rsidR="00B0764F" w:rsidRPr="00CE3E81" w14:paraId="4C029E14" w14:textId="77777777" w:rsidTr="00325ABA">
        <w:trPr>
          <w:trHeight w:val="223"/>
        </w:trPr>
        <w:tc>
          <w:tcPr>
            <w:tcW w:w="850" w:type="dxa"/>
          </w:tcPr>
          <w:p w14:paraId="11D95B6A" w14:textId="77777777" w:rsidR="00B0764F" w:rsidRPr="009E1AC0" w:rsidRDefault="00B0764F" w:rsidP="005B6E93">
            <w:pPr>
              <w:numPr>
                <w:ilvl w:val="0"/>
                <w:numId w:val="72"/>
              </w:numPr>
              <w:rPr>
                <w:b/>
              </w:rPr>
            </w:pPr>
          </w:p>
        </w:tc>
        <w:tc>
          <w:tcPr>
            <w:tcW w:w="5272" w:type="dxa"/>
          </w:tcPr>
          <w:p w14:paraId="5A94A56F" w14:textId="77777777" w:rsidR="00B0764F" w:rsidRPr="009E1AC0" w:rsidRDefault="00B0764F" w:rsidP="00325ABA">
            <w:pPr>
              <w:rPr>
                <w:b/>
                <w:color w:val="FF0000"/>
                <w:sz w:val="16"/>
                <w:szCs w:val="16"/>
              </w:rPr>
            </w:pPr>
            <w:r w:rsidRPr="009E1AC0">
              <w:t>EUROPASS</w:t>
            </w:r>
          </w:p>
        </w:tc>
        <w:tc>
          <w:tcPr>
            <w:tcW w:w="1665" w:type="dxa"/>
          </w:tcPr>
          <w:p w14:paraId="139B6872" w14:textId="77777777" w:rsidR="00B0764F" w:rsidRPr="009E1AC0" w:rsidRDefault="00B0764F" w:rsidP="00325ABA">
            <w:pPr>
              <w:jc w:val="right"/>
            </w:pPr>
            <w:r w:rsidRPr="009E1AC0">
              <w:t>2 039 250 Kč</w:t>
            </w:r>
          </w:p>
        </w:tc>
      </w:tr>
      <w:tr w:rsidR="00B0764F" w:rsidRPr="00CE3E81" w14:paraId="33CC65C8" w14:textId="77777777" w:rsidTr="00325ABA">
        <w:trPr>
          <w:trHeight w:val="321"/>
        </w:trPr>
        <w:tc>
          <w:tcPr>
            <w:tcW w:w="850" w:type="dxa"/>
            <w:hideMark/>
          </w:tcPr>
          <w:p w14:paraId="1B7735BE" w14:textId="77777777" w:rsidR="00B0764F" w:rsidRPr="009E1AC0" w:rsidRDefault="00B0764F" w:rsidP="005B6E93">
            <w:pPr>
              <w:numPr>
                <w:ilvl w:val="0"/>
                <w:numId w:val="72"/>
              </w:numPr>
              <w:rPr>
                <w:b/>
              </w:rPr>
            </w:pPr>
          </w:p>
        </w:tc>
        <w:tc>
          <w:tcPr>
            <w:tcW w:w="5272" w:type="dxa"/>
            <w:hideMark/>
          </w:tcPr>
          <w:p w14:paraId="475570A5" w14:textId="77777777" w:rsidR="00B0764F" w:rsidRPr="009E1AC0" w:rsidRDefault="00B0764F" w:rsidP="00325ABA">
            <w:pPr>
              <w:rPr>
                <w:b/>
                <w:color w:val="FF0000"/>
                <w:sz w:val="16"/>
                <w:szCs w:val="16"/>
              </w:rPr>
            </w:pPr>
            <w:r w:rsidRPr="009E1AC0">
              <w:t>Pokusné ověřování Matematika +</w:t>
            </w:r>
          </w:p>
        </w:tc>
        <w:tc>
          <w:tcPr>
            <w:tcW w:w="1665" w:type="dxa"/>
            <w:hideMark/>
          </w:tcPr>
          <w:p w14:paraId="33CF53BE" w14:textId="77777777" w:rsidR="00B0764F" w:rsidRPr="009E1AC0" w:rsidRDefault="00B0764F" w:rsidP="00325ABA">
            <w:pPr>
              <w:jc w:val="right"/>
            </w:pPr>
            <w:r w:rsidRPr="009E1AC0">
              <w:t>1 332 305 Kč</w:t>
            </w:r>
          </w:p>
        </w:tc>
      </w:tr>
      <w:tr w:rsidR="00B0764F" w:rsidRPr="00CE3E81" w14:paraId="214F07C1" w14:textId="77777777" w:rsidTr="00325ABA">
        <w:trPr>
          <w:trHeight w:val="321"/>
        </w:trPr>
        <w:tc>
          <w:tcPr>
            <w:tcW w:w="850" w:type="dxa"/>
          </w:tcPr>
          <w:p w14:paraId="4369879E" w14:textId="77777777" w:rsidR="00B0764F" w:rsidRPr="009E1AC0" w:rsidRDefault="00B0764F" w:rsidP="005B6E93">
            <w:pPr>
              <w:numPr>
                <w:ilvl w:val="0"/>
                <w:numId w:val="72"/>
              </w:numPr>
              <w:rPr>
                <w:b/>
              </w:rPr>
            </w:pPr>
          </w:p>
        </w:tc>
        <w:tc>
          <w:tcPr>
            <w:tcW w:w="5272" w:type="dxa"/>
          </w:tcPr>
          <w:p w14:paraId="428489B2" w14:textId="77777777" w:rsidR="00B0764F" w:rsidRPr="00FF0D97" w:rsidRDefault="00B0764F" w:rsidP="00325ABA">
            <w:pPr>
              <w:tabs>
                <w:tab w:val="left" w:pos="1134"/>
                <w:tab w:val="left" w:pos="1560"/>
                <w:tab w:val="decimal" w:pos="8505"/>
              </w:tabs>
            </w:pPr>
            <w:r w:rsidRPr="009E1AC0">
              <w:rPr>
                <w:szCs w:val="24"/>
              </w:rPr>
              <w:t>Překlad a tisk uče</w:t>
            </w:r>
            <w:r>
              <w:rPr>
                <w:szCs w:val="24"/>
              </w:rPr>
              <w:t>bnic a pracovních sešitů pro 3. </w:t>
            </w:r>
            <w:r w:rsidRPr="009E1AC0">
              <w:rPr>
                <w:szCs w:val="24"/>
              </w:rPr>
              <w:t>ročník</w:t>
            </w:r>
            <w:r>
              <w:t xml:space="preserve"> </w:t>
            </w:r>
            <w:r w:rsidRPr="009E1AC0">
              <w:rPr>
                <w:szCs w:val="24"/>
              </w:rPr>
              <w:t>ZŠ v polštině</w:t>
            </w:r>
          </w:p>
        </w:tc>
        <w:tc>
          <w:tcPr>
            <w:tcW w:w="1665" w:type="dxa"/>
          </w:tcPr>
          <w:p w14:paraId="71A34E93" w14:textId="77777777" w:rsidR="00B0764F" w:rsidRPr="009E1AC0" w:rsidRDefault="00B0764F" w:rsidP="00325ABA">
            <w:pPr>
              <w:jc w:val="right"/>
            </w:pPr>
          </w:p>
          <w:p w14:paraId="210A403C" w14:textId="77777777" w:rsidR="00B0764F" w:rsidRPr="009E1AC0" w:rsidRDefault="00B0764F" w:rsidP="00325ABA">
            <w:pPr>
              <w:jc w:val="right"/>
            </w:pPr>
            <w:r w:rsidRPr="009E1AC0">
              <w:t>350 000 Kč</w:t>
            </w:r>
          </w:p>
        </w:tc>
      </w:tr>
      <w:tr w:rsidR="00B0764F" w:rsidRPr="00CE3E81" w14:paraId="718CF69E" w14:textId="77777777" w:rsidTr="00325ABA">
        <w:trPr>
          <w:trHeight w:val="321"/>
        </w:trPr>
        <w:tc>
          <w:tcPr>
            <w:tcW w:w="850" w:type="dxa"/>
          </w:tcPr>
          <w:p w14:paraId="6FE9354D" w14:textId="77777777" w:rsidR="00B0764F" w:rsidRPr="009E1AC0" w:rsidRDefault="00B0764F" w:rsidP="005B6E93">
            <w:pPr>
              <w:numPr>
                <w:ilvl w:val="0"/>
                <w:numId w:val="72"/>
              </w:numPr>
              <w:rPr>
                <w:b/>
              </w:rPr>
            </w:pPr>
          </w:p>
        </w:tc>
        <w:tc>
          <w:tcPr>
            <w:tcW w:w="5272" w:type="dxa"/>
          </w:tcPr>
          <w:p w14:paraId="60AEC208" w14:textId="77777777" w:rsidR="00B0764F" w:rsidRPr="009E1AC0" w:rsidRDefault="00B0764F" w:rsidP="00325ABA">
            <w:pPr>
              <w:tabs>
                <w:tab w:val="left" w:pos="1134"/>
                <w:tab w:val="left" w:pos="1560"/>
                <w:tab w:val="decimal" w:pos="8505"/>
              </w:tabs>
            </w:pPr>
            <w:r w:rsidRPr="009E1AC0">
              <w:t xml:space="preserve">Vzdělávací seminář pro české učitele „Jak vyučovat </w:t>
            </w:r>
          </w:p>
          <w:p w14:paraId="2B569EE0" w14:textId="77777777" w:rsidR="00B0764F" w:rsidRPr="009E1AC0" w:rsidRDefault="00B0764F" w:rsidP="00325ABA">
            <w:pPr>
              <w:rPr>
                <w:b/>
                <w:color w:val="FF0000"/>
                <w:sz w:val="16"/>
                <w:szCs w:val="16"/>
              </w:rPr>
            </w:pPr>
            <w:r w:rsidRPr="009E1AC0">
              <w:t>o holocaustu“</w:t>
            </w:r>
            <w:r w:rsidRPr="009E1AC0">
              <w:tab/>
            </w:r>
          </w:p>
        </w:tc>
        <w:tc>
          <w:tcPr>
            <w:tcW w:w="1665" w:type="dxa"/>
          </w:tcPr>
          <w:p w14:paraId="3519B56B" w14:textId="77777777" w:rsidR="00B0764F" w:rsidRPr="009E1AC0" w:rsidRDefault="00B0764F" w:rsidP="00325ABA">
            <w:pPr>
              <w:jc w:val="right"/>
            </w:pPr>
          </w:p>
          <w:p w14:paraId="36518CA2" w14:textId="77777777" w:rsidR="00B0764F" w:rsidRPr="009E1AC0" w:rsidRDefault="00B0764F" w:rsidP="00325ABA">
            <w:pPr>
              <w:jc w:val="right"/>
            </w:pPr>
            <w:r w:rsidRPr="009E1AC0">
              <w:t>200 000 Kč</w:t>
            </w:r>
          </w:p>
        </w:tc>
      </w:tr>
      <w:tr w:rsidR="00B0764F" w:rsidRPr="00CE3E81" w14:paraId="52B305A6" w14:textId="77777777" w:rsidTr="00325ABA">
        <w:trPr>
          <w:trHeight w:val="321"/>
        </w:trPr>
        <w:tc>
          <w:tcPr>
            <w:tcW w:w="850" w:type="dxa"/>
          </w:tcPr>
          <w:p w14:paraId="47DE0E73" w14:textId="77777777" w:rsidR="00B0764F" w:rsidRPr="009E1AC0" w:rsidRDefault="00B0764F" w:rsidP="005B6E93">
            <w:pPr>
              <w:numPr>
                <w:ilvl w:val="0"/>
                <w:numId w:val="72"/>
              </w:numPr>
              <w:rPr>
                <w:b/>
              </w:rPr>
            </w:pPr>
          </w:p>
        </w:tc>
        <w:tc>
          <w:tcPr>
            <w:tcW w:w="5272" w:type="dxa"/>
          </w:tcPr>
          <w:p w14:paraId="2CDD1FC7" w14:textId="77777777" w:rsidR="00B0764F" w:rsidRPr="00FF0D97" w:rsidRDefault="00B0764F" w:rsidP="00325ABA">
            <w:pPr>
              <w:tabs>
                <w:tab w:val="left" w:pos="1134"/>
                <w:tab w:val="left" w:pos="1560"/>
                <w:tab w:val="decimal" w:pos="8505"/>
              </w:tabs>
            </w:pPr>
            <w:r>
              <w:rPr>
                <w:szCs w:val="24"/>
              </w:rPr>
              <w:t>Konference </w:t>
            </w:r>
            <w:r w:rsidRPr="009E1AC0">
              <w:rPr>
                <w:szCs w:val="24"/>
              </w:rPr>
              <w:t>koordinátor</w:t>
            </w:r>
            <w:r>
              <w:rPr>
                <w:szCs w:val="24"/>
              </w:rPr>
              <w:t xml:space="preserve">ů pro vzdělávání k udržitelnému </w:t>
            </w:r>
            <w:r w:rsidRPr="009E1AC0">
              <w:t>rozvoji</w:t>
            </w:r>
          </w:p>
        </w:tc>
        <w:tc>
          <w:tcPr>
            <w:tcW w:w="1665" w:type="dxa"/>
          </w:tcPr>
          <w:p w14:paraId="3A18F281" w14:textId="77777777" w:rsidR="00B0764F" w:rsidRPr="009E1AC0" w:rsidRDefault="00B0764F" w:rsidP="00325ABA">
            <w:pPr>
              <w:jc w:val="right"/>
            </w:pPr>
          </w:p>
          <w:p w14:paraId="6A1C1734" w14:textId="77777777" w:rsidR="00B0764F" w:rsidRPr="009E1AC0" w:rsidRDefault="00B0764F" w:rsidP="00325ABA">
            <w:pPr>
              <w:jc w:val="right"/>
            </w:pPr>
            <w:r w:rsidRPr="009E1AC0">
              <w:t>17 000 Kč</w:t>
            </w:r>
          </w:p>
        </w:tc>
      </w:tr>
      <w:tr w:rsidR="00B0764F" w:rsidRPr="00CE3E81" w14:paraId="11DDC985" w14:textId="77777777" w:rsidTr="00325ABA">
        <w:trPr>
          <w:trHeight w:val="321"/>
        </w:trPr>
        <w:tc>
          <w:tcPr>
            <w:tcW w:w="850" w:type="dxa"/>
          </w:tcPr>
          <w:p w14:paraId="38EC9064" w14:textId="77777777" w:rsidR="00B0764F" w:rsidRPr="009E1AC0" w:rsidRDefault="00B0764F" w:rsidP="005B6E93">
            <w:pPr>
              <w:numPr>
                <w:ilvl w:val="0"/>
                <w:numId w:val="72"/>
              </w:numPr>
              <w:rPr>
                <w:b/>
              </w:rPr>
            </w:pPr>
          </w:p>
        </w:tc>
        <w:tc>
          <w:tcPr>
            <w:tcW w:w="5272" w:type="dxa"/>
          </w:tcPr>
          <w:p w14:paraId="666C130F" w14:textId="77777777" w:rsidR="00B0764F" w:rsidRPr="009E1AC0" w:rsidRDefault="00B0764F" w:rsidP="00325ABA">
            <w:pPr>
              <w:rPr>
                <w:b/>
                <w:color w:val="FF0000"/>
                <w:sz w:val="16"/>
                <w:szCs w:val="16"/>
              </w:rPr>
            </w:pPr>
            <w:r w:rsidRPr="009E1AC0">
              <w:rPr>
                <w:szCs w:val="24"/>
              </w:rPr>
              <w:t>Konference k celoživotnímu učení Kroměříž</w:t>
            </w:r>
          </w:p>
        </w:tc>
        <w:tc>
          <w:tcPr>
            <w:tcW w:w="1665" w:type="dxa"/>
          </w:tcPr>
          <w:p w14:paraId="5B241245" w14:textId="77777777" w:rsidR="00B0764F" w:rsidRPr="009E1AC0" w:rsidRDefault="00B0764F" w:rsidP="00325ABA">
            <w:pPr>
              <w:jc w:val="right"/>
            </w:pPr>
            <w:r w:rsidRPr="009E1AC0">
              <w:t>50 000 Kč</w:t>
            </w:r>
          </w:p>
        </w:tc>
      </w:tr>
      <w:tr w:rsidR="00B0764F" w:rsidRPr="00CE3E81" w14:paraId="0A114B10" w14:textId="77777777" w:rsidTr="00325ABA">
        <w:trPr>
          <w:trHeight w:val="321"/>
        </w:trPr>
        <w:tc>
          <w:tcPr>
            <w:tcW w:w="850" w:type="dxa"/>
          </w:tcPr>
          <w:p w14:paraId="0488AEBD" w14:textId="77777777" w:rsidR="00B0764F" w:rsidRPr="009E1AC0" w:rsidRDefault="00B0764F" w:rsidP="005B6E93">
            <w:pPr>
              <w:numPr>
                <w:ilvl w:val="0"/>
                <w:numId w:val="72"/>
              </w:numPr>
              <w:rPr>
                <w:b/>
              </w:rPr>
            </w:pPr>
          </w:p>
        </w:tc>
        <w:tc>
          <w:tcPr>
            <w:tcW w:w="5272" w:type="dxa"/>
          </w:tcPr>
          <w:p w14:paraId="0AA43DB7" w14:textId="77777777" w:rsidR="00B0764F" w:rsidRPr="009E1AC0" w:rsidRDefault="00B0764F" w:rsidP="00325ABA">
            <w:pPr>
              <w:rPr>
                <w:b/>
                <w:color w:val="FF0000"/>
                <w:sz w:val="16"/>
                <w:szCs w:val="16"/>
              </w:rPr>
            </w:pPr>
            <w:r w:rsidRPr="009E1AC0">
              <w:rPr>
                <w:szCs w:val="24"/>
              </w:rPr>
              <w:t>ReferNet</w:t>
            </w:r>
          </w:p>
        </w:tc>
        <w:tc>
          <w:tcPr>
            <w:tcW w:w="1665" w:type="dxa"/>
          </w:tcPr>
          <w:p w14:paraId="59E039AB" w14:textId="77777777" w:rsidR="00B0764F" w:rsidRPr="009E1AC0" w:rsidRDefault="00B0764F" w:rsidP="00325ABA">
            <w:pPr>
              <w:jc w:val="right"/>
            </w:pPr>
            <w:r w:rsidRPr="009E1AC0">
              <w:t>901 800 Kč</w:t>
            </w:r>
          </w:p>
        </w:tc>
      </w:tr>
      <w:tr w:rsidR="00B0764F" w:rsidRPr="00CE3E81" w14:paraId="619C1AE8" w14:textId="77777777" w:rsidTr="00325ABA">
        <w:trPr>
          <w:trHeight w:val="321"/>
        </w:trPr>
        <w:tc>
          <w:tcPr>
            <w:tcW w:w="850" w:type="dxa"/>
          </w:tcPr>
          <w:p w14:paraId="5479548A" w14:textId="77777777" w:rsidR="00B0764F" w:rsidRPr="009E1AC0" w:rsidRDefault="00B0764F" w:rsidP="005B6E93">
            <w:pPr>
              <w:numPr>
                <w:ilvl w:val="0"/>
                <w:numId w:val="72"/>
              </w:numPr>
              <w:rPr>
                <w:b/>
              </w:rPr>
            </w:pPr>
          </w:p>
        </w:tc>
        <w:tc>
          <w:tcPr>
            <w:tcW w:w="5272" w:type="dxa"/>
          </w:tcPr>
          <w:p w14:paraId="4DAD2705" w14:textId="77777777" w:rsidR="00B0764F" w:rsidRPr="009E1AC0" w:rsidRDefault="00B0764F" w:rsidP="00325ABA">
            <w:pPr>
              <w:rPr>
                <w:szCs w:val="24"/>
              </w:rPr>
            </w:pPr>
            <w:r>
              <w:rPr>
                <w:szCs w:val="24"/>
              </w:rPr>
              <w:t>Pokusné ověřování – vzděl. Programy paměťových míst</w:t>
            </w:r>
          </w:p>
        </w:tc>
        <w:tc>
          <w:tcPr>
            <w:tcW w:w="1665" w:type="dxa"/>
          </w:tcPr>
          <w:p w14:paraId="06BED272" w14:textId="77777777" w:rsidR="00B0764F" w:rsidRPr="009E1AC0" w:rsidRDefault="00B0764F" w:rsidP="00325ABA">
            <w:pPr>
              <w:jc w:val="right"/>
            </w:pPr>
            <w:r>
              <w:t>1 508 621 Kč</w:t>
            </w:r>
          </w:p>
        </w:tc>
      </w:tr>
    </w:tbl>
    <w:p w14:paraId="3CC118AA" w14:textId="77777777" w:rsidR="00B0764F" w:rsidRDefault="00B0764F" w:rsidP="00B0764F">
      <w:pPr>
        <w:pStyle w:val="Text"/>
      </w:pPr>
    </w:p>
    <w:p w14:paraId="56DBF830" w14:textId="77777777" w:rsidR="00B0764F" w:rsidRPr="00CE3E81" w:rsidRDefault="00B0764F" w:rsidP="00B0764F">
      <w:pPr>
        <w:pStyle w:val="Text"/>
      </w:pPr>
      <w:r w:rsidRPr="00CE3E81">
        <w:t xml:space="preserve">Úkoly související s činností </w:t>
      </w:r>
      <w:r w:rsidRPr="00CE3E81">
        <w:rPr>
          <w:b/>
        </w:rPr>
        <w:t xml:space="preserve">sekce </w:t>
      </w:r>
      <w:r>
        <w:rPr>
          <w:b/>
        </w:rPr>
        <w:t>ekonomické</w:t>
      </w:r>
      <w:r w:rsidRPr="00CE3E81">
        <w:t xml:space="preserve"> – v rozpočtu na rok 201</w:t>
      </w:r>
      <w:r>
        <w:t>9</w:t>
      </w:r>
      <w:r w:rsidRPr="00CE3E81">
        <w:t xml:space="preserve"> je zabezpečena částka </w:t>
      </w:r>
      <w:r>
        <w:rPr>
          <w:b/>
        </w:rPr>
        <w:t>275 000</w:t>
      </w:r>
      <w:r w:rsidRPr="00CE3E81">
        <w:rPr>
          <w:b/>
        </w:rPr>
        <w:t xml:space="preserve"> Kč</w:t>
      </w:r>
      <w:r>
        <w:rPr>
          <w:b/>
        </w:rPr>
        <w:t>:</w:t>
      </w:r>
    </w:p>
    <w:p w14:paraId="4FCD3FC0" w14:textId="77777777" w:rsidR="00B0764F" w:rsidRPr="00CE3E81" w:rsidRDefault="00B0764F" w:rsidP="00B0764F">
      <w:pPr>
        <w:ind w:left="993" w:hanging="567"/>
        <w:rPr>
          <w:color w:val="2E74B5"/>
          <w:sz w:val="16"/>
          <w:szCs w:val="16"/>
        </w:rPr>
      </w:pPr>
    </w:p>
    <w:tbl>
      <w:tblPr>
        <w:tblW w:w="7904" w:type="dxa"/>
        <w:tblInd w:w="993" w:type="dxa"/>
        <w:tblLook w:val="04A0" w:firstRow="1" w:lastRow="0" w:firstColumn="1" w:lastColumn="0" w:noHBand="0" w:noVBand="1"/>
      </w:tblPr>
      <w:tblGrid>
        <w:gridCol w:w="675"/>
        <w:gridCol w:w="5528"/>
        <w:gridCol w:w="1701"/>
      </w:tblGrid>
      <w:tr w:rsidR="00B0764F" w:rsidRPr="009E1AC0" w14:paraId="5B1F5CE1" w14:textId="77777777" w:rsidTr="00325ABA">
        <w:tc>
          <w:tcPr>
            <w:tcW w:w="675" w:type="dxa"/>
            <w:shd w:val="clear" w:color="auto" w:fill="auto"/>
          </w:tcPr>
          <w:p w14:paraId="10137B53" w14:textId="77777777" w:rsidR="00B0764F" w:rsidRPr="009E1AC0" w:rsidRDefault="00B0764F" w:rsidP="005B6E93">
            <w:pPr>
              <w:numPr>
                <w:ilvl w:val="0"/>
                <w:numId w:val="72"/>
              </w:numPr>
              <w:rPr>
                <w:b/>
              </w:rPr>
            </w:pPr>
          </w:p>
        </w:tc>
        <w:tc>
          <w:tcPr>
            <w:tcW w:w="5528" w:type="dxa"/>
            <w:shd w:val="clear" w:color="auto" w:fill="auto"/>
          </w:tcPr>
          <w:p w14:paraId="566ED912" w14:textId="77777777" w:rsidR="00B0764F" w:rsidRPr="009E1AC0" w:rsidRDefault="00B0764F" w:rsidP="00325ABA">
            <w:pPr>
              <w:rPr>
                <w:b/>
              </w:rPr>
            </w:pPr>
            <w:r w:rsidRPr="009E1AC0">
              <w:rPr>
                <w:szCs w:val="24"/>
              </w:rPr>
              <w:t>Podoby J. A. Komenského – výstava</w:t>
            </w:r>
            <w:r w:rsidRPr="009E1AC0">
              <w:t xml:space="preserve">         </w:t>
            </w:r>
          </w:p>
        </w:tc>
        <w:tc>
          <w:tcPr>
            <w:tcW w:w="1701" w:type="dxa"/>
            <w:shd w:val="clear" w:color="auto" w:fill="auto"/>
          </w:tcPr>
          <w:p w14:paraId="758A7109" w14:textId="77777777" w:rsidR="00B0764F" w:rsidRPr="009E1AC0" w:rsidRDefault="00B0764F" w:rsidP="00325ABA">
            <w:pPr>
              <w:jc w:val="right"/>
              <w:rPr>
                <w:b/>
              </w:rPr>
            </w:pPr>
            <w:r w:rsidRPr="009E1AC0">
              <w:t>100 000</w:t>
            </w:r>
            <w:r w:rsidRPr="009E1AC0">
              <w:rPr>
                <w:b/>
              </w:rPr>
              <w:t xml:space="preserve"> </w:t>
            </w:r>
            <w:r w:rsidRPr="009E1AC0">
              <w:t>Kč</w:t>
            </w:r>
          </w:p>
        </w:tc>
      </w:tr>
      <w:tr w:rsidR="00B0764F" w:rsidRPr="009E1AC0" w14:paraId="3DB24774" w14:textId="77777777" w:rsidTr="00325ABA">
        <w:tc>
          <w:tcPr>
            <w:tcW w:w="675" w:type="dxa"/>
            <w:shd w:val="clear" w:color="auto" w:fill="auto"/>
          </w:tcPr>
          <w:p w14:paraId="5D3B1242" w14:textId="77777777" w:rsidR="00B0764F" w:rsidRPr="009E1AC0" w:rsidRDefault="00B0764F" w:rsidP="005B6E93">
            <w:pPr>
              <w:numPr>
                <w:ilvl w:val="0"/>
                <w:numId w:val="72"/>
              </w:numPr>
              <w:rPr>
                <w:b/>
              </w:rPr>
            </w:pPr>
          </w:p>
        </w:tc>
        <w:tc>
          <w:tcPr>
            <w:tcW w:w="5528" w:type="dxa"/>
            <w:shd w:val="clear" w:color="auto" w:fill="auto"/>
          </w:tcPr>
          <w:p w14:paraId="3E3844BE" w14:textId="77777777" w:rsidR="00B0764F" w:rsidRPr="009E1AC0" w:rsidRDefault="00B0764F" w:rsidP="00325ABA">
            <w:pPr>
              <w:rPr>
                <w:b/>
              </w:rPr>
            </w:pPr>
            <w:r w:rsidRPr="009E1AC0">
              <w:rPr>
                <w:szCs w:val="24"/>
              </w:rPr>
              <w:t>Publikace k 100. výročí knihovny</w:t>
            </w:r>
          </w:p>
        </w:tc>
        <w:tc>
          <w:tcPr>
            <w:tcW w:w="1701" w:type="dxa"/>
            <w:shd w:val="clear" w:color="auto" w:fill="auto"/>
          </w:tcPr>
          <w:p w14:paraId="0FB213E7" w14:textId="77777777" w:rsidR="00B0764F" w:rsidRPr="009E1AC0" w:rsidRDefault="00B0764F" w:rsidP="00325ABA">
            <w:pPr>
              <w:ind w:left="317"/>
              <w:jc w:val="right"/>
              <w:rPr>
                <w:b/>
              </w:rPr>
            </w:pPr>
            <w:r w:rsidRPr="009E1AC0">
              <w:t>60 000</w:t>
            </w:r>
            <w:r w:rsidRPr="009E1AC0">
              <w:rPr>
                <w:b/>
              </w:rPr>
              <w:t xml:space="preserve"> </w:t>
            </w:r>
            <w:r w:rsidRPr="009E1AC0">
              <w:t>Kč</w:t>
            </w:r>
          </w:p>
        </w:tc>
      </w:tr>
      <w:tr w:rsidR="00B0764F" w:rsidRPr="009E1AC0" w14:paraId="1EF3D524" w14:textId="77777777" w:rsidTr="00325ABA">
        <w:tc>
          <w:tcPr>
            <w:tcW w:w="675" w:type="dxa"/>
            <w:shd w:val="clear" w:color="auto" w:fill="auto"/>
          </w:tcPr>
          <w:p w14:paraId="7B6C125E" w14:textId="77777777" w:rsidR="00B0764F" w:rsidRPr="009E1AC0" w:rsidRDefault="00B0764F" w:rsidP="005B6E93">
            <w:pPr>
              <w:numPr>
                <w:ilvl w:val="0"/>
                <w:numId w:val="72"/>
              </w:numPr>
              <w:rPr>
                <w:b/>
              </w:rPr>
            </w:pPr>
          </w:p>
        </w:tc>
        <w:tc>
          <w:tcPr>
            <w:tcW w:w="5528" w:type="dxa"/>
            <w:shd w:val="clear" w:color="auto" w:fill="auto"/>
          </w:tcPr>
          <w:p w14:paraId="7C098932" w14:textId="77777777" w:rsidR="00B0764F" w:rsidRPr="009E1AC0" w:rsidRDefault="00B0764F" w:rsidP="00325ABA">
            <w:pPr>
              <w:rPr>
                <w:b/>
              </w:rPr>
            </w:pPr>
            <w:r w:rsidRPr="009E1AC0">
              <w:t>Interaktivní výstava k 100. výročí činnosti knihovny</w:t>
            </w:r>
          </w:p>
        </w:tc>
        <w:tc>
          <w:tcPr>
            <w:tcW w:w="1701" w:type="dxa"/>
            <w:shd w:val="clear" w:color="auto" w:fill="auto"/>
          </w:tcPr>
          <w:p w14:paraId="14E1367B" w14:textId="77777777" w:rsidR="00B0764F" w:rsidRPr="009E1AC0" w:rsidRDefault="00B0764F" w:rsidP="00325ABA">
            <w:pPr>
              <w:ind w:left="317"/>
              <w:jc w:val="right"/>
              <w:rPr>
                <w:b/>
              </w:rPr>
            </w:pPr>
            <w:r w:rsidRPr="009E1AC0">
              <w:t xml:space="preserve">  15 000 Kč</w:t>
            </w:r>
          </w:p>
        </w:tc>
      </w:tr>
      <w:tr w:rsidR="00B0764F" w:rsidRPr="009E1AC0" w14:paraId="29303E7E" w14:textId="77777777" w:rsidTr="00325ABA">
        <w:tc>
          <w:tcPr>
            <w:tcW w:w="675" w:type="dxa"/>
            <w:shd w:val="clear" w:color="auto" w:fill="auto"/>
          </w:tcPr>
          <w:p w14:paraId="0B44925C" w14:textId="77777777" w:rsidR="00B0764F" w:rsidRPr="009E1AC0" w:rsidRDefault="00B0764F" w:rsidP="005B6E93">
            <w:pPr>
              <w:numPr>
                <w:ilvl w:val="0"/>
                <w:numId w:val="72"/>
              </w:numPr>
              <w:rPr>
                <w:b/>
              </w:rPr>
            </w:pPr>
          </w:p>
        </w:tc>
        <w:tc>
          <w:tcPr>
            <w:tcW w:w="5528" w:type="dxa"/>
            <w:shd w:val="clear" w:color="auto" w:fill="auto"/>
          </w:tcPr>
          <w:p w14:paraId="60AF8373" w14:textId="77777777" w:rsidR="00B0764F" w:rsidRPr="009E1AC0" w:rsidRDefault="00B0764F" w:rsidP="00325ABA">
            <w:pPr>
              <w:rPr>
                <w:b/>
              </w:rPr>
            </w:pPr>
            <w:r w:rsidRPr="009E1AC0">
              <w:rPr>
                <w:szCs w:val="24"/>
              </w:rPr>
              <w:t xml:space="preserve">Publikace Vzácné školní obrazy Zoologie </w:t>
            </w:r>
            <w:r w:rsidRPr="009E1AC0">
              <w:t xml:space="preserve">         </w:t>
            </w:r>
          </w:p>
        </w:tc>
        <w:tc>
          <w:tcPr>
            <w:tcW w:w="1701" w:type="dxa"/>
            <w:shd w:val="clear" w:color="auto" w:fill="auto"/>
          </w:tcPr>
          <w:p w14:paraId="4852BD2D" w14:textId="77777777" w:rsidR="00B0764F" w:rsidRPr="009E1AC0" w:rsidRDefault="00B0764F" w:rsidP="00325ABA">
            <w:pPr>
              <w:ind w:left="175"/>
              <w:jc w:val="right"/>
              <w:rPr>
                <w:b/>
              </w:rPr>
            </w:pPr>
            <w:r w:rsidRPr="009E1AC0">
              <w:t>100 000</w:t>
            </w:r>
            <w:r w:rsidRPr="009E1AC0">
              <w:rPr>
                <w:b/>
              </w:rPr>
              <w:t xml:space="preserve"> </w:t>
            </w:r>
            <w:r w:rsidRPr="009E1AC0">
              <w:t>Kč</w:t>
            </w:r>
          </w:p>
        </w:tc>
      </w:tr>
    </w:tbl>
    <w:p w14:paraId="3ADA24C4" w14:textId="77777777" w:rsidR="00B0764F" w:rsidRPr="00CE3E81" w:rsidRDefault="00B0764F" w:rsidP="00B0764F">
      <w:pPr>
        <w:pStyle w:val="Text"/>
      </w:pPr>
    </w:p>
    <w:p w14:paraId="5DC1477F" w14:textId="77777777" w:rsidR="00B0764F" w:rsidRPr="00CE3E81" w:rsidRDefault="00B0764F" w:rsidP="00B0764F">
      <w:pPr>
        <w:pStyle w:val="Text"/>
      </w:pPr>
      <w:r w:rsidRPr="00CE3E81">
        <w:t xml:space="preserve">Úkoly související s činností </w:t>
      </w:r>
      <w:r w:rsidRPr="00CE3E81">
        <w:rPr>
          <w:b/>
        </w:rPr>
        <w:t>sekce pro vysoké školství a výzkum</w:t>
      </w:r>
      <w:r w:rsidRPr="00CE3E81">
        <w:t xml:space="preserve"> – v rozpočtu na rok 201</w:t>
      </w:r>
      <w:r>
        <w:t>9</w:t>
      </w:r>
      <w:r w:rsidRPr="00CE3E81">
        <w:t xml:space="preserve"> je zabezpečena částka </w:t>
      </w:r>
      <w:r w:rsidRPr="00CE3E81">
        <w:rPr>
          <w:b/>
        </w:rPr>
        <w:t>170 000 Kč</w:t>
      </w:r>
      <w:r w:rsidRPr="00CE3E81">
        <w:t>:</w:t>
      </w:r>
    </w:p>
    <w:p w14:paraId="5AE0BA3D" w14:textId="77777777" w:rsidR="00B0764F" w:rsidRPr="00CE3E81" w:rsidRDefault="00B0764F" w:rsidP="00B0764F">
      <w:pPr>
        <w:ind w:left="993" w:hanging="567"/>
        <w:rPr>
          <w:b/>
          <w:color w:val="2E74B5"/>
          <w:sz w:val="16"/>
          <w:szCs w:val="16"/>
        </w:rPr>
      </w:pPr>
    </w:p>
    <w:p w14:paraId="7A558D99" w14:textId="77777777" w:rsidR="00B0764F" w:rsidRPr="00CE3E81" w:rsidRDefault="00B0764F" w:rsidP="005B6E93">
      <w:pPr>
        <w:numPr>
          <w:ilvl w:val="0"/>
          <w:numId w:val="39"/>
        </w:numPr>
        <w:tabs>
          <w:tab w:val="left" w:pos="1134"/>
          <w:tab w:val="left" w:pos="1843"/>
          <w:tab w:val="right" w:pos="9072"/>
        </w:tabs>
      </w:pPr>
      <w:r w:rsidRPr="00CE3E81">
        <w:t>Náklady na činnost NK CEEPUS</w:t>
      </w:r>
      <w:r w:rsidRPr="00CE3E81">
        <w:tab/>
        <w:t>170 000 Kč</w:t>
      </w:r>
    </w:p>
    <w:p w14:paraId="3F2625D0" w14:textId="77777777" w:rsidR="00B0764F" w:rsidRPr="00CE3E81" w:rsidRDefault="00B0764F" w:rsidP="00B0764F">
      <w:pPr>
        <w:ind w:left="993" w:hanging="567"/>
        <w:rPr>
          <w:b/>
          <w:color w:val="2E74B5"/>
          <w:sz w:val="16"/>
          <w:szCs w:val="16"/>
        </w:rPr>
      </w:pPr>
    </w:p>
    <w:p w14:paraId="35856086" w14:textId="1F846CAC" w:rsidR="00B0764F" w:rsidRPr="00CE3E81" w:rsidRDefault="00B0764F" w:rsidP="00B0764F">
      <w:pPr>
        <w:pStyle w:val="Text"/>
      </w:pPr>
      <w:r w:rsidRPr="00CE3E81">
        <w:t xml:space="preserve">Úkoly související s činností </w:t>
      </w:r>
      <w:r w:rsidRPr="00CE3E81">
        <w:rPr>
          <w:b/>
        </w:rPr>
        <w:t>sekce legislativy a mezinárodních vztahů</w:t>
      </w:r>
      <w:r w:rsidR="00E65EE1">
        <w:rPr>
          <w:b/>
        </w:rPr>
        <w:t>/sekce EU a </w:t>
      </w:r>
      <w:r>
        <w:rPr>
          <w:b/>
        </w:rPr>
        <w:t>ESIF</w:t>
      </w:r>
      <w:r w:rsidRPr="00CE3E81">
        <w:t xml:space="preserve"> – v rozpočtu na rok 201</w:t>
      </w:r>
      <w:r>
        <w:t>9</w:t>
      </w:r>
      <w:r w:rsidRPr="00CE3E81">
        <w:t xml:space="preserve"> je zabezpečena částka </w:t>
      </w:r>
      <w:r w:rsidRPr="00CE3E81">
        <w:rPr>
          <w:b/>
        </w:rPr>
        <w:t>1</w:t>
      </w:r>
      <w:r>
        <w:rPr>
          <w:b/>
        </w:rPr>
        <w:t>8</w:t>
      </w:r>
      <w:r w:rsidRPr="00CE3E81">
        <w:rPr>
          <w:b/>
        </w:rPr>
        <w:t> </w:t>
      </w:r>
      <w:r>
        <w:rPr>
          <w:b/>
        </w:rPr>
        <w:t>917</w:t>
      </w:r>
      <w:r w:rsidRPr="00CE3E81">
        <w:rPr>
          <w:b/>
        </w:rPr>
        <w:t xml:space="preserve"> 281 Kč</w:t>
      </w:r>
      <w:r w:rsidRPr="00CE3E81">
        <w:rPr>
          <w:rStyle w:val="Znakapoznpodarou"/>
          <w:b/>
          <w:color w:val="2E74B5"/>
        </w:rPr>
        <w:t xml:space="preserve"> </w:t>
      </w:r>
      <w:r w:rsidRPr="00CE3E81">
        <w:rPr>
          <w:rStyle w:val="Znakapoznpodarou"/>
          <w:b/>
        </w:rPr>
        <w:footnoteReference w:id="28"/>
      </w:r>
      <w:r w:rsidRPr="00CE3E81">
        <w:t>:</w:t>
      </w:r>
    </w:p>
    <w:p w14:paraId="58D4C4DA" w14:textId="77777777" w:rsidR="00B0764F" w:rsidRPr="00CE3E81" w:rsidRDefault="00B0764F" w:rsidP="00B0764F">
      <w:pPr>
        <w:ind w:left="993" w:hanging="567"/>
        <w:rPr>
          <w:color w:val="2E74B5"/>
          <w:sz w:val="16"/>
          <w:szCs w:val="16"/>
        </w:rPr>
      </w:pPr>
    </w:p>
    <w:p w14:paraId="7590C6AB" w14:textId="77777777" w:rsidR="00B0764F" w:rsidRPr="00CE3E81" w:rsidRDefault="00B0764F" w:rsidP="005B6E93">
      <w:pPr>
        <w:numPr>
          <w:ilvl w:val="0"/>
          <w:numId w:val="51"/>
        </w:numPr>
        <w:tabs>
          <w:tab w:val="left" w:pos="1134"/>
          <w:tab w:val="left" w:pos="1843"/>
          <w:tab w:val="decimal" w:pos="8931"/>
        </w:tabs>
        <w:ind w:hanging="584"/>
      </w:pPr>
      <w:r w:rsidRPr="00CE3E81">
        <w:t>Evropské školy Brusel a Lucemburk</w:t>
      </w:r>
      <w:r w:rsidRPr="00CE3E81">
        <w:tab/>
        <w:t>11 902 874 Kč</w:t>
      </w:r>
    </w:p>
    <w:p w14:paraId="4E228867" w14:textId="77777777" w:rsidR="00B0764F" w:rsidRPr="00CE3E81" w:rsidRDefault="00B0764F" w:rsidP="005B6E93">
      <w:pPr>
        <w:numPr>
          <w:ilvl w:val="0"/>
          <w:numId w:val="51"/>
        </w:numPr>
        <w:tabs>
          <w:tab w:val="left" w:pos="1134"/>
          <w:tab w:val="left" w:pos="1843"/>
          <w:tab w:val="decimal" w:pos="8931"/>
        </w:tabs>
        <w:ind w:hanging="584"/>
      </w:pPr>
      <w:r w:rsidRPr="00CE3E81">
        <w:t>Stipendia v programu AKTION</w:t>
      </w:r>
      <w:r w:rsidRPr="00CE3E81">
        <w:tab/>
        <w:t>824 000 Kč</w:t>
      </w:r>
    </w:p>
    <w:p w14:paraId="1DD7C20B" w14:textId="3B7921E3" w:rsidR="00B0764F" w:rsidRPr="00CE3E81" w:rsidRDefault="00B0764F" w:rsidP="005B6E93">
      <w:pPr>
        <w:numPr>
          <w:ilvl w:val="0"/>
          <w:numId w:val="51"/>
        </w:numPr>
        <w:tabs>
          <w:tab w:val="left" w:pos="1134"/>
          <w:tab w:val="left" w:pos="1843"/>
          <w:tab w:val="decimal" w:pos="8931"/>
        </w:tabs>
        <w:ind w:hanging="584"/>
      </w:pPr>
      <w:r w:rsidRPr="00CE3E81">
        <w:t xml:space="preserve">Study </w:t>
      </w:r>
      <w:r w:rsidR="003A2C99">
        <w:t>I</w:t>
      </w:r>
      <w:r w:rsidRPr="00CE3E81">
        <w:t>n</w:t>
      </w:r>
      <w:r>
        <w:rPr>
          <w:rStyle w:val="Znakapoznpodarou"/>
        </w:rPr>
        <w:footnoteReference w:id="29"/>
      </w:r>
      <w:r w:rsidRPr="00CE3E81">
        <w:tab/>
      </w:r>
      <w:r>
        <w:t>6</w:t>
      </w:r>
      <w:r w:rsidRPr="00CE3E81">
        <w:t> </w:t>
      </w:r>
      <w:r>
        <w:t>190</w:t>
      </w:r>
      <w:r w:rsidRPr="00CE3E81">
        <w:t xml:space="preserve"> 407 Kč</w:t>
      </w:r>
    </w:p>
    <w:p w14:paraId="793BE5AD" w14:textId="77777777" w:rsidR="00B0764F" w:rsidRPr="00CE3E81" w:rsidRDefault="00B0764F" w:rsidP="00B0764F">
      <w:pPr>
        <w:ind w:left="993" w:hanging="567"/>
        <w:rPr>
          <w:color w:val="2E74B5"/>
          <w:sz w:val="16"/>
          <w:szCs w:val="16"/>
        </w:rPr>
      </w:pPr>
    </w:p>
    <w:p w14:paraId="09E71B35" w14:textId="77777777" w:rsidR="00B0764F" w:rsidRPr="00CE3E81" w:rsidRDefault="00B0764F" w:rsidP="00B0764F">
      <w:pPr>
        <w:pStyle w:val="Text"/>
        <w:rPr>
          <w:b/>
        </w:rPr>
      </w:pPr>
      <w:r w:rsidRPr="00A04B4D">
        <w:t>Úkoly související s</w:t>
      </w:r>
      <w:r w:rsidRPr="00CE3E81">
        <w:rPr>
          <w:b/>
        </w:rPr>
        <w:t xml:space="preserve"> integrací cizinců </w:t>
      </w:r>
      <w:r w:rsidRPr="00CE3E81">
        <w:t>– v rozpočtu na rok 201</w:t>
      </w:r>
      <w:r>
        <w:t>9 je zabezpečena částka ve </w:t>
      </w:r>
      <w:r w:rsidRPr="00CE3E81">
        <w:t xml:space="preserve">výši </w:t>
      </w:r>
      <w:r w:rsidRPr="00CE3E81">
        <w:rPr>
          <w:b/>
        </w:rPr>
        <w:t>2 050 000 Kč:</w:t>
      </w:r>
    </w:p>
    <w:p w14:paraId="020B6F63" w14:textId="77777777" w:rsidR="00B0764F" w:rsidRPr="00CE3E81" w:rsidRDefault="00B0764F" w:rsidP="00B0764F">
      <w:pPr>
        <w:tabs>
          <w:tab w:val="left" w:pos="1843"/>
          <w:tab w:val="decimal" w:pos="8505"/>
        </w:tabs>
        <w:ind w:left="993" w:hanging="567"/>
        <w:rPr>
          <w:b/>
          <w:color w:val="2E74B5"/>
          <w:sz w:val="16"/>
          <w:szCs w:val="16"/>
        </w:rPr>
      </w:pPr>
    </w:p>
    <w:p w14:paraId="0BBCE61C" w14:textId="77777777" w:rsidR="00B0764F" w:rsidRPr="00CE3E81" w:rsidRDefault="00B0764F" w:rsidP="005B6E93">
      <w:pPr>
        <w:numPr>
          <w:ilvl w:val="0"/>
          <w:numId w:val="39"/>
        </w:numPr>
        <w:tabs>
          <w:tab w:val="left" w:pos="1134"/>
          <w:tab w:val="left" w:pos="1843"/>
          <w:tab w:val="right" w:pos="9072"/>
        </w:tabs>
      </w:pPr>
      <w:r w:rsidRPr="00CE3E81">
        <w:t>Systém výuky a zkoušek z českého jazyka</w:t>
      </w:r>
      <w:r w:rsidRPr="00CE3E81">
        <w:tab/>
        <w:t>1 650 000 Kč</w:t>
      </w:r>
    </w:p>
    <w:p w14:paraId="68D47C0A" w14:textId="77777777" w:rsidR="00B0764F" w:rsidRPr="00CE3E81" w:rsidRDefault="00B0764F" w:rsidP="005B6E93">
      <w:pPr>
        <w:numPr>
          <w:ilvl w:val="0"/>
          <w:numId w:val="39"/>
        </w:numPr>
        <w:tabs>
          <w:tab w:val="left" w:pos="1134"/>
          <w:tab w:val="left" w:pos="1843"/>
          <w:tab w:val="right" w:pos="9072"/>
        </w:tabs>
      </w:pPr>
      <w:r w:rsidRPr="00CE3E81">
        <w:t>Systém zkoušek z ČJ pro udělení státního občanství</w:t>
      </w:r>
      <w:r w:rsidRPr="00CE3E81">
        <w:tab/>
        <w:t>200 000 Kč</w:t>
      </w:r>
    </w:p>
    <w:p w14:paraId="3AA7817C" w14:textId="77777777" w:rsidR="00B0764F" w:rsidRPr="00CE3E81" w:rsidRDefault="00B0764F" w:rsidP="005B6E93">
      <w:pPr>
        <w:numPr>
          <w:ilvl w:val="0"/>
          <w:numId w:val="39"/>
        </w:numPr>
        <w:tabs>
          <w:tab w:val="left" w:pos="1134"/>
          <w:tab w:val="left" w:pos="1843"/>
          <w:tab w:val="right" w:pos="9072"/>
        </w:tabs>
      </w:pPr>
      <w:r w:rsidRPr="00CE3E81">
        <w:t>Integrace cizinců – žáci/cizinci na školách</w:t>
      </w:r>
      <w:r w:rsidRPr="00CE3E81">
        <w:rPr>
          <w:vertAlign w:val="superscript"/>
        </w:rPr>
        <w:footnoteReference w:id="30"/>
      </w:r>
      <w:r w:rsidRPr="00CE3E81">
        <w:tab/>
        <w:t> 200 000 Kč</w:t>
      </w:r>
    </w:p>
    <w:p w14:paraId="471F5840" w14:textId="77777777" w:rsidR="00B0764F" w:rsidRPr="00CE3E81" w:rsidRDefault="00B0764F" w:rsidP="00B0764F">
      <w:pPr>
        <w:pStyle w:val="Text"/>
      </w:pPr>
    </w:p>
    <w:p w14:paraId="18895FCD" w14:textId="3115C3DA" w:rsidR="00B0764F" w:rsidRPr="00C6039E" w:rsidRDefault="00B0764F" w:rsidP="00B0764F">
      <w:pPr>
        <w:pStyle w:val="Text"/>
      </w:pPr>
      <w:r w:rsidRPr="00C6039E">
        <w:rPr>
          <w:b/>
        </w:rPr>
        <w:t>Příspěvek na</w:t>
      </w:r>
      <w:r w:rsidRPr="00C6039E">
        <w:t xml:space="preserve"> jednotlivé </w:t>
      </w:r>
      <w:r w:rsidRPr="00C6039E">
        <w:rPr>
          <w:b/>
        </w:rPr>
        <w:t>účelově vymezené úkoly</w:t>
      </w:r>
      <w:r w:rsidRPr="00C6039E">
        <w:t xml:space="preserve"> (včetně mezinárodních aktivit) bude organizacím (popř. sekcím MŠMT) přidělen na základě schváleného PHÚ OPŘO a následné žádosti OPŘO adresované na věcně příslušnou sekci, která požádá odbor </w:t>
      </w:r>
      <w:r w:rsidR="003A2C99">
        <w:t>finančního řízení kapitoly</w:t>
      </w:r>
      <w:r w:rsidRPr="00C6039E">
        <w:t xml:space="preserve"> o přidělení finančních prostředků buď jednorázově, nebo v souladu s předpokládaným čerpáním prostředků v závislosti na věcném plnění konkrétního úkolu. Výjimku tvoří finanční prostředky na Evropské školy Brusel, které již byly uvolněny zároveň s rozpisem rozpočtu kmenové činnosti.</w:t>
      </w:r>
    </w:p>
    <w:p w14:paraId="692CF910" w14:textId="77777777" w:rsidR="00B06282" w:rsidRPr="006F1A93" w:rsidRDefault="00B0764F" w:rsidP="00B0764F">
      <w:pPr>
        <w:pStyle w:val="Text"/>
      </w:pPr>
      <w:r w:rsidRPr="00C6039E">
        <w:lastRenderedPageBreak/>
        <w:t xml:space="preserve">Součástí žádosti o uvolnění schválených prostředků na účelově vymezené úkoly </w:t>
      </w:r>
      <w:r w:rsidRPr="00C6039E">
        <w:br/>
      </w:r>
      <w:r w:rsidRPr="006F1A93">
        <w:t xml:space="preserve">bude náležité </w:t>
      </w:r>
      <w:r w:rsidRPr="006F1A93">
        <w:rPr>
          <w:b/>
        </w:rPr>
        <w:t>zdůvodnění</w:t>
      </w:r>
      <w:r w:rsidRPr="006F1A93">
        <w:t xml:space="preserve"> při požadovaném uvolnění celkového objemu (100 % schváleného rozpočtu).</w:t>
      </w:r>
    </w:p>
    <w:p w14:paraId="7D5BC07D" w14:textId="77777777" w:rsidR="000E57FF" w:rsidRPr="006F1A93" w:rsidRDefault="000E57FF" w:rsidP="00DA5A48">
      <w:pPr>
        <w:pStyle w:val="Text"/>
      </w:pPr>
    </w:p>
    <w:p w14:paraId="43F467E8" w14:textId="77777777" w:rsidR="006843D5" w:rsidRPr="006F1A93" w:rsidRDefault="006843D5" w:rsidP="0031482F">
      <w:pPr>
        <w:pStyle w:val="Nadpis4"/>
      </w:pPr>
      <w:r w:rsidRPr="006F1A93">
        <w:t xml:space="preserve"> </w:t>
      </w:r>
      <w:bookmarkStart w:id="168" w:name="_Toc5968881"/>
      <w:r w:rsidRPr="006F1A93">
        <w:t>Mezinárodní aktivity</w:t>
      </w:r>
      <w:bookmarkEnd w:id="168"/>
      <w:r w:rsidRPr="006F1A93">
        <w:t xml:space="preserve"> </w:t>
      </w:r>
    </w:p>
    <w:p w14:paraId="124309B9" w14:textId="77777777" w:rsidR="006843D5" w:rsidRPr="006F1A93" w:rsidRDefault="006843D5" w:rsidP="006843D5">
      <w:pPr>
        <w:tabs>
          <w:tab w:val="left" w:pos="1134"/>
          <w:tab w:val="left" w:pos="1843"/>
          <w:tab w:val="decimal" w:pos="8505"/>
        </w:tabs>
        <w:ind w:left="993"/>
      </w:pPr>
    </w:p>
    <w:p w14:paraId="30D8BAE6" w14:textId="77777777" w:rsidR="006F1A93" w:rsidRPr="006D4599" w:rsidRDefault="006F1A93" w:rsidP="006F1A93">
      <w:pPr>
        <w:pStyle w:val="Text"/>
      </w:pPr>
      <w:r w:rsidRPr="006D4599">
        <w:t xml:space="preserve">Zde jsou </w:t>
      </w:r>
      <w:r>
        <w:t>alokovány</w:t>
      </w:r>
      <w:r w:rsidRPr="006D4599">
        <w:t xml:space="preserve"> finanční prostředky ve výši </w:t>
      </w:r>
      <w:r w:rsidRPr="006D4599">
        <w:rPr>
          <w:b/>
        </w:rPr>
        <w:t>20 153 567 Kč</w:t>
      </w:r>
      <w:r w:rsidRPr="006D4599">
        <w:t xml:space="preserve"> na úkoly, vyplývající z členství ČR v mezinárodních organizacích, z mezinárodních smluv, z členství ve společných programech s jinými státy, atd. Tyto prostředky budou uvolňovány</w:t>
      </w:r>
      <w:r>
        <w:t xml:space="preserve"> po schválení příslušného materiálu </w:t>
      </w:r>
      <w:r w:rsidRPr="006D4599">
        <w:t xml:space="preserve">buď přímo jednotlivým OPŘO (podle PHÚ) na základě jejich žádosti se souhlasem sekce legislativy a mezinárodních vztahů nebo do rozpočtu věcně příslušných sekcí pro úkoly zajišťované MŠMT.  </w:t>
      </w:r>
    </w:p>
    <w:p w14:paraId="0586E858" w14:textId="77777777" w:rsidR="006F1A93" w:rsidRPr="006D4599" w:rsidRDefault="006F1A93" w:rsidP="006F1A93">
      <w:pPr>
        <w:ind w:left="426"/>
        <w:rPr>
          <w:b/>
          <w:color w:val="2E74B5"/>
          <w:sz w:val="16"/>
          <w:szCs w:val="16"/>
          <w:u w:val="single"/>
        </w:rPr>
      </w:pPr>
    </w:p>
    <w:p w14:paraId="238C22D4" w14:textId="77777777" w:rsidR="006F1A93" w:rsidRPr="006D4599" w:rsidRDefault="006F1A93" w:rsidP="006F1A93">
      <w:pPr>
        <w:ind w:firstLine="709"/>
      </w:pPr>
      <w:r>
        <w:t>Kromě mezinárodních konferencí a vkladů a příspěvků mezinárodním organizacím (výše rozpočtu bude záviset na výše uvedeném materiálu) jedná se o následující úkoly:</w:t>
      </w:r>
    </w:p>
    <w:p w14:paraId="5220F4F5" w14:textId="77777777" w:rsidR="006F1A93" w:rsidRPr="006D4599" w:rsidRDefault="006F1A93" w:rsidP="006F1A93">
      <w:pPr>
        <w:ind w:left="426"/>
        <w:rPr>
          <w:b/>
          <w:color w:val="2E74B5"/>
          <w:sz w:val="16"/>
          <w:szCs w:val="16"/>
          <w:u w:val="single"/>
        </w:rPr>
      </w:pPr>
    </w:p>
    <w:tbl>
      <w:tblPr>
        <w:tblW w:w="0" w:type="auto"/>
        <w:tblInd w:w="534" w:type="dxa"/>
        <w:tblLook w:val="04A0" w:firstRow="1" w:lastRow="0" w:firstColumn="1" w:lastColumn="0" w:noHBand="0" w:noVBand="1"/>
      </w:tblPr>
      <w:tblGrid>
        <w:gridCol w:w="6945"/>
        <w:gridCol w:w="1560"/>
      </w:tblGrid>
      <w:tr w:rsidR="006F1A93" w:rsidRPr="009E1AC0" w14:paraId="683DE555" w14:textId="77777777" w:rsidTr="00325ABA">
        <w:tc>
          <w:tcPr>
            <w:tcW w:w="6945" w:type="dxa"/>
            <w:shd w:val="clear" w:color="auto" w:fill="auto"/>
          </w:tcPr>
          <w:p w14:paraId="556241F4" w14:textId="77777777" w:rsidR="006F1A93" w:rsidRPr="009E1AC0" w:rsidRDefault="006F1A93" w:rsidP="005B6E93">
            <w:pPr>
              <w:numPr>
                <w:ilvl w:val="0"/>
                <w:numId w:val="73"/>
              </w:numPr>
              <w:ind w:left="317" w:hanging="317"/>
            </w:pPr>
            <w:r w:rsidRPr="009E1AC0">
              <w:t>Stipendium Madeleine Albrightové na Univerzitě v Glasgow</w:t>
            </w:r>
          </w:p>
        </w:tc>
        <w:tc>
          <w:tcPr>
            <w:tcW w:w="1560" w:type="dxa"/>
            <w:shd w:val="clear" w:color="auto" w:fill="auto"/>
          </w:tcPr>
          <w:p w14:paraId="35891D82" w14:textId="77777777" w:rsidR="006F1A93" w:rsidRPr="009E1AC0" w:rsidRDefault="006F1A93" w:rsidP="00325ABA">
            <w:pPr>
              <w:jc w:val="right"/>
            </w:pPr>
            <w:r w:rsidRPr="009E1AC0">
              <w:t>1 085 000 Kč</w:t>
            </w:r>
          </w:p>
        </w:tc>
      </w:tr>
      <w:tr w:rsidR="006F1A93" w:rsidRPr="009E1AC0" w14:paraId="48CD3D9A" w14:textId="77777777" w:rsidTr="00325ABA">
        <w:tc>
          <w:tcPr>
            <w:tcW w:w="6945" w:type="dxa"/>
            <w:shd w:val="clear" w:color="auto" w:fill="auto"/>
          </w:tcPr>
          <w:p w14:paraId="2993D74E" w14:textId="77777777" w:rsidR="006F1A93" w:rsidRPr="009E1AC0" w:rsidRDefault="006F1A93" w:rsidP="005B6E93">
            <w:pPr>
              <w:numPr>
                <w:ilvl w:val="0"/>
                <w:numId w:val="73"/>
              </w:numPr>
              <w:ind w:left="317" w:hanging="317"/>
            </w:pPr>
            <w:r w:rsidRPr="009E1AC0">
              <w:t>Stipendia občanů ČR v zahraničí</w:t>
            </w:r>
          </w:p>
        </w:tc>
        <w:tc>
          <w:tcPr>
            <w:tcW w:w="1560" w:type="dxa"/>
            <w:shd w:val="clear" w:color="auto" w:fill="auto"/>
          </w:tcPr>
          <w:p w14:paraId="27B7949E" w14:textId="77777777" w:rsidR="006F1A93" w:rsidRPr="009E1AC0" w:rsidRDefault="006F1A93" w:rsidP="00325ABA">
            <w:pPr>
              <w:jc w:val="right"/>
            </w:pPr>
            <w:r w:rsidRPr="009E1AC0">
              <w:t>3 693 000 Kč</w:t>
            </w:r>
          </w:p>
        </w:tc>
      </w:tr>
      <w:tr w:rsidR="006F1A93" w:rsidRPr="009E1AC0" w14:paraId="2BFD56E4" w14:textId="77777777" w:rsidTr="00325ABA">
        <w:tc>
          <w:tcPr>
            <w:tcW w:w="6945" w:type="dxa"/>
            <w:shd w:val="clear" w:color="auto" w:fill="auto"/>
          </w:tcPr>
          <w:p w14:paraId="04C10C60" w14:textId="77777777" w:rsidR="006F1A93" w:rsidRPr="009E1AC0" w:rsidRDefault="006F1A93" w:rsidP="005B6E93">
            <w:pPr>
              <w:numPr>
                <w:ilvl w:val="0"/>
                <w:numId w:val="73"/>
              </w:numPr>
              <w:ind w:left="317" w:hanging="317"/>
            </w:pPr>
            <w:r w:rsidRPr="009E1AC0">
              <w:t>Přijetí expertů</w:t>
            </w:r>
          </w:p>
        </w:tc>
        <w:tc>
          <w:tcPr>
            <w:tcW w:w="1560" w:type="dxa"/>
            <w:shd w:val="clear" w:color="auto" w:fill="auto"/>
          </w:tcPr>
          <w:p w14:paraId="7D0460AA" w14:textId="77777777" w:rsidR="006F1A93" w:rsidRPr="009E1AC0" w:rsidRDefault="006F1A93" w:rsidP="00325ABA">
            <w:pPr>
              <w:jc w:val="right"/>
            </w:pPr>
            <w:r w:rsidRPr="009E1AC0">
              <w:t>1 126 000 Kč</w:t>
            </w:r>
          </w:p>
        </w:tc>
      </w:tr>
      <w:tr w:rsidR="006F1A93" w:rsidRPr="009E1AC0" w14:paraId="237E28E0" w14:textId="77777777" w:rsidTr="00325ABA">
        <w:tc>
          <w:tcPr>
            <w:tcW w:w="6945" w:type="dxa"/>
            <w:shd w:val="clear" w:color="auto" w:fill="auto"/>
          </w:tcPr>
          <w:p w14:paraId="30FB297E" w14:textId="77777777" w:rsidR="006F1A93" w:rsidRPr="009E1AC0" w:rsidRDefault="006F1A93" w:rsidP="005B6E93">
            <w:pPr>
              <w:numPr>
                <w:ilvl w:val="0"/>
                <w:numId w:val="73"/>
              </w:numPr>
              <w:ind w:left="317" w:hanging="317"/>
            </w:pPr>
            <w:r w:rsidRPr="009E1AC0">
              <w:t>Projekt Dijon, Nimes–úhrada stravování a ubytování českých žáků</w:t>
            </w:r>
          </w:p>
        </w:tc>
        <w:tc>
          <w:tcPr>
            <w:tcW w:w="1560" w:type="dxa"/>
            <w:shd w:val="clear" w:color="auto" w:fill="auto"/>
          </w:tcPr>
          <w:p w14:paraId="2E73973F" w14:textId="77777777" w:rsidR="006F1A93" w:rsidRPr="009E1AC0" w:rsidRDefault="006F1A93" w:rsidP="00325ABA">
            <w:pPr>
              <w:jc w:val="right"/>
            </w:pPr>
            <w:r w:rsidRPr="009E1AC0">
              <w:t>235 000 Kč</w:t>
            </w:r>
          </w:p>
        </w:tc>
      </w:tr>
      <w:tr w:rsidR="006F1A93" w:rsidRPr="009E1AC0" w14:paraId="6FF070BF" w14:textId="77777777" w:rsidTr="00325ABA">
        <w:tc>
          <w:tcPr>
            <w:tcW w:w="6945" w:type="dxa"/>
            <w:shd w:val="clear" w:color="auto" w:fill="auto"/>
          </w:tcPr>
          <w:p w14:paraId="39F2DCD0" w14:textId="77777777" w:rsidR="006F1A93" w:rsidRPr="009E1AC0" w:rsidRDefault="006F1A93" w:rsidP="005B6E93">
            <w:pPr>
              <w:numPr>
                <w:ilvl w:val="0"/>
                <w:numId w:val="73"/>
              </w:numPr>
              <w:ind w:left="317" w:hanging="317"/>
            </w:pPr>
            <w:r w:rsidRPr="009E1AC0">
              <w:t>Projekt Pirna</w:t>
            </w:r>
          </w:p>
        </w:tc>
        <w:tc>
          <w:tcPr>
            <w:tcW w:w="1560" w:type="dxa"/>
            <w:shd w:val="clear" w:color="auto" w:fill="auto"/>
          </w:tcPr>
          <w:p w14:paraId="350DDD52" w14:textId="77777777" w:rsidR="006F1A93" w:rsidRPr="009E1AC0" w:rsidRDefault="006F1A93" w:rsidP="00325ABA">
            <w:pPr>
              <w:jc w:val="right"/>
            </w:pPr>
            <w:r w:rsidRPr="009E1AC0">
              <w:t>3 214 000 Kč</w:t>
            </w:r>
          </w:p>
        </w:tc>
      </w:tr>
      <w:tr w:rsidR="006F1A93" w:rsidRPr="00543422" w14:paraId="24D83DD8" w14:textId="77777777" w:rsidTr="00325ABA">
        <w:tc>
          <w:tcPr>
            <w:tcW w:w="6945" w:type="dxa"/>
            <w:shd w:val="clear" w:color="auto" w:fill="auto"/>
          </w:tcPr>
          <w:p w14:paraId="7622470B" w14:textId="77777777" w:rsidR="006F1A93" w:rsidRPr="00543422" w:rsidRDefault="006F1A93" w:rsidP="005B6E93">
            <w:pPr>
              <w:numPr>
                <w:ilvl w:val="0"/>
                <w:numId w:val="73"/>
              </w:numPr>
              <w:ind w:left="317" w:hanging="317"/>
            </w:pPr>
            <w:r w:rsidRPr="00543422">
              <w:t>WADA</w:t>
            </w:r>
          </w:p>
        </w:tc>
        <w:tc>
          <w:tcPr>
            <w:tcW w:w="1560" w:type="dxa"/>
            <w:shd w:val="clear" w:color="auto" w:fill="auto"/>
          </w:tcPr>
          <w:p w14:paraId="1C0C7459" w14:textId="77777777" w:rsidR="006F1A93" w:rsidRPr="00543422" w:rsidRDefault="006F1A93" w:rsidP="00325ABA">
            <w:pPr>
              <w:jc w:val="right"/>
            </w:pPr>
            <w:r w:rsidRPr="00543422">
              <w:t>1 848 000 Kč</w:t>
            </w:r>
          </w:p>
        </w:tc>
      </w:tr>
    </w:tbl>
    <w:p w14:paraId="16C95433" w14:textId="77777777" w:rsidR="00020D32" w:rsidRPr="00543422" w:rsidRDefault="00020D32" w:rsidP="00020D32"/>
    <w:p w14:paraId="44AFDC01" w14:textId="77777777" w:rsidR="00020D32" w:rsidRPr="00543422" w:rsidRDefault="00020D32" w:rsidP="0031482F">
      <w:pPr>
        <w:pStyle w:val="Nadpis4"/>
      </w:pPr>
      <w:bookmarkStart w:id="169" w:name="_Toc5968882"/>
      <w:r w:rsidRPr="00543422">
        <w:t xml:space="preserve">Komunitární programy - </w:t>
      </w:r>
      <w:r w:rsidR="00997A4F" w:rsidRPr="00543422">
        <w:t>NAEP</w:t>
      </w:r>
      <w:bookmarkEnd w:id="169"/>
    </w:p>
    <w:p w14:paraId="2997E409" w14:textId="77777777" w:rsidR="00020D32" w:rsidRPr="00543422" w:rsidRDefault="00020D32" w:rsidP="00020D32"/>
    <w:p w14:paraId="431406A9" w14:textId="7DA5EA33" w:rsidR="006F1A93" w:rsidRPr="00543422" w:rsidRDefault="006F1A93" w:rsidP="006F1A93">
      <w:pPr>
        <w:pStyle w:val="Text"/>
      </w:pPr>
      <w:r w:rsidRPr="00543422">
        <w:t xml:space="preserve">Výdaje DZS, které se explicitně týkají </w:t>
      </w:r>
      <w:r w:rsidRPr="00543422">
        <w:rPr>
          <w:b/>
        </w:rPr>
        <w:t>komunitá</w:t>
      </w:r>
      <w:r w:rsidR="002C25AF">
        <w:rPr>
          <w:b/>
        </w:rPr>
        <w:t>rních programů financovaných ze </w:t>
      </w:r>
      <w:r w:rsidRPr="00543422">
        <w:rPr>
          <w:b/>
        </w:rPr>
        <w:t>SR</w:t>
      </w:r>
      <w:r w:rsidRPr="00543422">
        <w:t xml:space="preserve">, jsou pro rok 2019 rozpočtovány ve výši </w:t>
      </w:r>
      <w:r w:rsidRPr="00543422">
        <w:rPr>
          <w:b/>
        </w:rPr>
        <w:t>59 279 232 Kč</w:t>
      </w:r>
      <w:r w:rsidRPr="00543422">
        <w:t xml:space="preserve">, z toho na </w:t>
      </w:r>
      <w:r w:rsidRPr="00543422">
        <w:rPr>
          <w:b/>
        </w:rPr>
        <w:t xml:space="preserve">Evropský </w:t>
      </w:r>
      <w:r w:rsidR="003A2C99">
        <w:rPr>
          <w:b/>
        </w:rPr>
        <w:t>sbor</w:t>
      </w:r>
      <w:r w:rsidRPr="00543422">
        <w:rPr>
          <w:b/>
        </w:rPr>
        <w:t xml:space="preserve"> solidarity 1 386 400 Kč.</w:t>
      </w:r>
    </w:p>
    <w:p w14:paraId="72504F9E" w14:textId="12D31984" w:rsidR="006F1A93" w:rsidRPr="00543422" w:rsidRDefault="006F1A93" w:rsidP="006F1A93">
      <w:pPr>
        <w:pStyle w:val="Text"/>
      </w:pPr>
      <w:r w:rsidRPr="00543422">
        <w:t>Jednotlivé programy už nejsou od roku 2016 samostatně sledovány a jsou sloučeny do společného bloku Komunitární programy. Prostředky jsou poskytovány formou účelového příspěvku, na který se vztahuje finanční vypořádání z</w:t>
      </w:r>
      <w:r w:rsidR="008459DF">
        <w:t>a rok, v němž byl poskytnut, se </w:t>
      </w:r>
      <w:r w:rsidRPr="00543422">
        <w:t xml:space="preserve">zdrojovým členěním SR - základní. </w:t>
      </w:r>
    </w:p>
    <w:p w14:paraId="0E0B5285" w14:textId="446DBAB4" w:rsidR="006F1A93" w:rsidRPr="00543422" w:rsidRDefault="006F1A93" w:rsidP="006F1A93">
      <w:pPr>
        <w:pStyle w:val="Text"/>
      </w:pPr>
      <w:r w:rsidRPr="00543422">
        <w:t xml:space="preserve">V rozpočtu na rok 2019 je zahrnut podíl DZS na výdajích těchto programů ve výši </w:t>
      </w:r>
      <w:r w:rsidRPr="00543422">
        <w:rPr>
          <w:b/>
        </w:rPr>
        <w:t>59 279 232 Kč</w:t>
      </w:r>
      <w:r w:rsidRPr="00543422">
        <w:t>. V těchto výdajích je rozpočtováno 16 825 050 Kč na platy, 2 241 177 Kč na OON, 6 717 870 Kč na příslušenství, 33 495 135 Kč na OBV a limit počtu zaměstnanců</w:t>
      </w:r>
      <w:r w:rsidRPr="00543422">
        <w:rPr>
          <w:b/>
        </w:rPr>
        <w:t xml:space="preserve"> ze státního rozpočtu je stanoven</w:t>
      </w:r>
      <w:r w:rsidRPr="00543422">
        <w:rPr>
          <w:b/>
          <w:color w:val="FF0000"/>
        </w:rPr>
        <w:t xml:space="preserve"> </w:t>
      </w:r>
      <w:r w:rsidRPr="00543422">
        <w:t xml:space="preserve">ve výši </w:t>
      </w:r>
      <w:r w:rsidRPr="00543422">
        <w:rPr>
          <w:b/>
        </w:rPr>
        <w:t xml:space="preserve">36,2 </w:t>
      </w:r>
      <w:r w:rsidRPr="00543422">
        <w:t>přepočtených úvazků.</w:t>
      </w:r>
      <w:r w:rsidRPr="00543422">
        <w:rPr>
          <w:rFonts w:cs="Times New Roman"/>
        </w:rPr>
        <w:t xml:space="preserve"> Do financování jsou zapojeny prostředky rezervního fondu v celkové výši 788 </w:t>
      </w:r>
      <w:r w:rsidR="008459DF">
        <w:rPr>
          <w:rFonts w:cs="Times New Roman"/>
        </w:rPr>
        <w:t>841 Kč (v tom platy ve výši 580 </w:t>
      </w:r>
      <w:r w:rsidRPr="00543422">
        <w:rPr>
          <w:rFonts w:cs="Times New Roman"/>
        </w:rPr>
        <w:t>030 Kč a související odvody ve výši 208 811 Kč).</w:t>
      </w:r>
      <w:r w:rsidRPr="00543422">
        <w:t xml:space="preserve"> Podle platné metodiky se výdaje kryté EU nerozpočtují, nicméně vložení prostředků DZS do uvedených programů přinese v r. 2019 dalších </w:t>
      </w:r>
      <w:r w:rsidRPr="00543422">
        <w:rPr>
          <w:b/>
        </w:rPr>
        <w:t>86 558 264 Kč</w:t>
      </w:r>
      <w:r w:rsidRPr="00543422">
        <w:t xml:space="preserve"> z EU. </w:t>
      </w:r>
    </w:p>
    <w:p w14:paraId="63695E01" w14:textId="3FEB64A8" w:rsidR="006F1A93" w:rsidRDefault="006F1A93" w:rsidP="006F1A93">
      <w:pPr>
        <w:pStyle w:val="Text"/>
      </w:pPr>
      <w:r w:rsidRPr="00543422">
        <w:t xml:space="preserve">Na programové období 2015 - 2020 jsou v komunitárních programech (na DZS) zařazeny výdaje na programy Erasmus+, Euroguidance, Eurodesk, e-Twinning a Evropský </w:t>
      </w:r>
      <w:r w:rsidR="003A2C99">
        <w:t>sbor</w:t>
      </w:r>
      <w:r w:rsidRPr="00543422">
        <w:t xml:space="preserve"> solidarity.</w:t>
      </w:r>
    </w:p>
    <w:p w14:paraId="49C75C2C" w14:textId="77777777" w:rsidR="00C04B69" w:rsidRPr="00543422" w:rsidRDefault="00C04B69" w:rsidP="006F1A93">
      <w:pPr>
        <w:pStyle w:val="Text"/>
        <w:rPr>
          <w:lang w:eastAsia="x-none"/>
        </w:rPr>
      </w:pPr>
    </w:p>
    <w:p w14:paraId="5907F261" w14:textId="77777777" w:rsidR="005966D3" w:rsidRPr="00543422" w:rsidRDefault="005966D3" w:rsidP="0031482F">
      <w:pPr>
        <w:pStyle w:val="Nadpis4"/>
      </w:pPr>
      <w:bookmarkStart w:id="170" w:name="_Toc5968883"/>
      <w:r w:rsidRPr="00543422">
        <w:t>Společné úkoly</w:t>
      </w:r>
      <w:bookmarkEnd w:id="170"/>
    </w:p>
    <w:p w14:paraId="20EA4942" w14:textId="77777777" w:rsidR="0092461F" w:rsidRPr="00543422" w:rsidRDefault="0092461F" w:rsidP="0092461F">
      <w:pPr>
        <w:rPr>
          <w:lang w:eastAsia="en-US"/>
        </w:rPr>
      </w:pPr>
    </w:p>
    <w:p w14:paraId="57093088" w14:textId="77777777" w:rsidR="006F1A93" w:rsidRPr="00543422" w:rsidRDefault="006F1A93" w:rsidP="006F1A93">
      <w:pPr>
        <w:pStyle w:val="Zkladntext"/>
        <w:ind w:firstLine="567"/>
      </w:pPr>
      <w:r w:rsidRPr="00543422">
        <w:rPr>
          <w:b/>
        </w:rPr>
        <w:t xml:space="preserve">Rozpočty vlastních společných úkolů jsou spravovány přímo věcně příslušnými sekcemi MŠMT. </w:t>
      </w:r>
      <w:r w:rsidRPr="00543422">
        <w:t xml:space="preserve">Objem finančních prostředků na rok 2019 vychází z rozpočtu na rok 2018 </w:t>
      </w:r>
      <w:r w:rsidRPr="00543422">
        <w:lastRenderedPageBreak/>
        <w:t>a respektuje případné změny v organizační struktuře MŠMT a trvalé změny provedené v roce 2018.</w:t>
      </w:r>
    </w:p>
    <w:p w14:paraId="1697BD28" w14:textId="77777777" w:rsidR="006F1A93" w:rsidRPr="00543422" w:rsidRDefault="006F1A93" w:rsidP="006F1A93">
      <w:pPr>
        <w:pStyle w:val="Zkladntext"/>
        <w:ind w:firstLine="567"/>
      </w:pPr>
      <w:r w:rsidRPr="00543422">
        <w:t xml:space="preserve">Pro rok 2019 je na vlastní </w:t>
      </w:r>
      <w:r w:rsidRPr="00543422">
        <w:rPr>
          <w:b/>
        </w:rPr>
        <w:t>společné úkoly vyčleněno</w:t>
      </w:r>
      <w:r w:rsidRPr="00543422">
        <w:rPr>
          <w:b/>
          <w:color w:val="2E74B5"/>
        </w:rPr>
        <w:t xml:space="preserve"> </w:t>
      </w:r>
      <w:r w:rsidRPr="00543422">
        <w:rPr>
          <w:b/>
        </w:rPr>
        <w:t>6 194 320 Kč</w:t>
      </w:r>
      <w:r w:rsidRPr="00543422">
        <w:rPr>
          <w:color w:val="2E74B5"/>
        </w:rPr>
        <w:t xml:space="preserve">. </w:t>
      </w:r>
      <w:r w:rsidRPr="00543422">
        <w:t xml:space="preserve">Oproti r. 2018 dochází ke snížení rozpočtu o 67 </w:t>
      </w:r>
      <w:r w:rsidR="002E77B4" w:rsidRPr="00543422">
        <w:t>000</w:t>
      </w:r>
      <w:r w:rsidRPr="00543422">
        <w:t xml:space="preserve"> Kč (finanční prostředky na 2 konference sekce vzdělávání převedené na spolupořádající organizace).</w:t>
      </w:r>
    </w:p>
    <w:p w14:paraId="564062A6" w14:textId="77777777" w:rsidR="006F1A93" w:rsidRPr="00543422" w:rsidRDefault="006F1A93" w:rsidP="006F1A93">
      <w:pPr>
        <w:pStyle w:val="Zkladntext211"/>
        <w:ind w:left="426"/>
        <w:rPr>
          <w:b/>
        </w:rPr>
      </w:pPr>
    </w:p>
    <w:p w14:paraId="7F156034" w14:textId="77777777" w:rsidR="006F1A93" w:rsidRPr="00543422" w:rsidRDefault="006F1A93" w:rsidP="006F1A93">
      <w:pPr>
        <w:pStyle w:val="Zkladntext211"/>
        <w:rPr>
          <w:b/>
        </w:rPr>
      </w:pPr>
      <w:r w:rsidRPr="00543422">
        <w:rPr>
          <w:b/>
        </w:rPr>
        <w:t>Celoroční objem společných úkolů pro jednotlivé sekce:</w:t>
      </w:r>
    </w:p>
    <w:tbl>
      <w:tblPr>
        <w:tblW w:w="8858" w:type="dxa"/>
        <w:tblInd w:w="-70" w:type="dxa"/>
        <w:tblCellMar>
          <w:left w:w="70" w:type="dxa"/>
          <w:right w:w="70" w:type="dxa"/>
        </w:tblCellMar>
        <w:tblLook w:val="04A0" w:firstRow="1" w:lastRow="0" w:firstColumn="1" w:lastColumn="0" w:noHBand="0" w:noVBand="1"/>
      </w:tblPr>
      <w:tblGrid>
        <w:gridCol w:w="7228"/>
        <w:gridCol w:w="1630"/>
      </w:tblGrid>
      <w:tr w:rsidR="006F1A93" w:rsidRPr="00543422" w14:paraId="24D518EA" w14:textId="77777777" w:rsidTr="006F1A93">
        <w:trPr>
          <w:trHeight w:val="315"/>
        </w:trPr>
        <w:tc>
          <w:tcPr>
            <w:tcW w:w="7228" w:type="dxa"/>
            <w:noWrap/>
            <w:vAlign w:val="bottom"/>
            <w:hideMark/>
          </w:tcPr>
          <w:p w14:paraId="7218AC4A" w14:textId="77777777" w:rsidR="006F1A93" w:rsidRPr="00543422" w:rsidRDefault="006F1A93" w:rsidP="00325ABA">
            <w:pPr>
              <w:rPr>
                <w:b/>
                <w:bCs/>
                <w:szCs w:val="24"/>
              </w:rPr>
            </w:pPr>
            <w:r w:rsidRPr="00543422">
              <w:rPr>
                <w:b/>
                <w:bCs/>
                <w:szCs w:val="24"/>
              </w:rPr>
              <w:t xml:space="preserve">Sekce ekonomická </w:t>
            </w:r>
          </w:p>
        </w:tc>
        <w:tc>
          <w:tcPr>
            <w:tcW w:w="1630" w:type="dxa"/>
            <w:noWrap/>
            <w:vAlign w:val="bottom"/>
            <w:hideMark/>
          </w:tcPr>
          <w:p w14:paraId="37968766" w14:textId="77777777" w:rsidR="006F1A93" w:rsidRPr="00543422" w:rsidRDefault="006F1A93" w:rsidP="00325ABA">
            <w:pPr>
              <w:jc w:val="right"/>
              <w:rPr>
                <w:b/>
                <w:szCs w:val="24"/>
              </w:rPr>
            </w:pPr>
            <w:r w:rsidRPr="00543422">
              <w:rPr>
                <w:b/>
                <w:szCs w:val="24"/>
              </w:rPr>
              <w:t>56 000 Kč</w:t>
            </w:r>
          </w:p>
        </w:tc>
      </w:tr>
      <w:tr w:rsidR="006F1A93" w:rsidRPr="00543422" w14:paraId="0E79504D" w14:textId="77777777" w:rsidTr="006F1A93">
        <w:trPr>
          <w:trHeight w:val="330"/>
        </w:trPr>
        <w:tc>
          <w:tcPr>
            <w:tcW w:w="7228" w:type="dxa"/>
            <w:noWrap/>
            <w:vAlign w:val="bottom"/>
            <w:hideMark/>
          </w:tcPr>
          <w:p w14:paraId="1E29A014" w14:textId="77777777" w:rsidR="006F1A93" w:rsidRPr="00543422" w:rsidRDefault="006F1A93" w:rsidP="00325ABA">
            <w:pPr>
              <w:rPr>
                <w:b/>
                <w:bCs/>
                <w:szCs w:val="24"/>
              </w:rPr>
            </w:pPr>
            <w:r w:rsidRPr="00543422">
              <w:rPr>
                <w:b/>
                <w:bCs/>
                <w:szCs w:val="24"/>
              </w:rPr>
              <w:t>Sekce vzdělávání</w:t>
            </w:r>
          </w:p>
        </w:tc>
        <w:tc>
          <w:tcPr>
            <w:tcW w:w="1630" w:type="dxa"/>
            <w:noWrap/>
            <w:vAlign w:val="bottom"/>
            <w:hideMark/>
          </w:tcPr>
          <w:p w14:paraId="3DEED54A" w14:textId="77777777" w:rsidR="006F1A93" w:rsidRPr="00543422" w:rsidRDefault="006F1A93" w:rsidP="00325ABA">
            <w:pPr>
              <w:jc w:val="right"/>
              <w:rPr>
                <w:b/>
                <w:szCs w:val="24"/>
              </w:rPr>
            </w:pPr>
            <w:r w:rsidRPr="00543422">
              <w:rPr>
                <w:b/>
                <w:szCs w:val="24"/>
              </w:rPr>
              <w:t>1 106 000 Kč</w:t>
            </w:r>
          </w:p>
        </w:tc>
      </w:tr>
      <w:tr w:rsidR="006F1A93" w:rsidRPr="00543422" w14:paraId="2F35685D" w14:textId="77777777" w:rsidTr="006F1A93">
        <w:trPr>
          <w:trHeight w:val="315"/>
        </w:trPr>
        <w:tc>
          <w:tcPr>
            <w:tcW w:w="7228" w:type="dxa"/>
            <w:noWrap/>
            <w:vAlign w:val="bottom"/>
            <w:hideMark/>
          </w:tcPr>
          <w:p w14:paraId="5F0A5A56" w14:textId="77777777" w:rsidR="006F1A93" w:rsidRPr="00543422" w:rsidRDefault="006F1A93" w:rsidP="00325ABA">
            <w:pPr>
              <w:rPr>
                <w:b/>
                <w:bCs/>
                <w:szCs w:val="24"/>
              </w:rPr>
            </w:pPr>
            <w:r w:rsidRPr="00543422">
              <w:rPr>
                <w:b/>
                <w:bCs/>
                <w:szCs w:val="24"/>
              </w:rPr>
              <w:t>Sekce vysokého školství, vědy a výzkumu</w:t>
            </w:r>
          </w:p>
        </w:tc>
        <w:tc>
          <w:tcPr>
            <w:tcW w:w="1630" w:type="dxa"/>
            <w:noWrap/>
            <w:vAlign w:val="bottom"/>
            <w:hideMark/>
          </w:tcPr>
          <w:p w14:paraId="2B387035" w14:textId="77777777" w:rsidR="006F1A93" w:rsidRPr="00543422" w:rsidRDefault="006F1A93" w:rsidP="00325ABA">
            <w:pPr>
              <w:jc w:val="right"/>
              <w:rPr>
                <w:b/>
                <w:szCs w:val="24"/>
              </w:rPr>
            </w:pPr>
            <w:r w:rsidRPr="00543422">
              <w:rPr>
                <w:b/>
                <w:szCs w:val="24"/>
              </w:rPr>
              <w:t>2 302 000 Kč</w:t>
            </w:r>
          </w:p>
        </w:tc>
      </w:tr>
      <w:tr w:rsidR="006F1A93" w:rsidRPr="00543422" w14:paraId="66A51060" w14:textId="77777777" w:rsidTr="006F1A93">
        <w:trPr>
          <w:trHeight w:val="315"/>
        </w:trPr>
        <w:tc>
          <w:tcPr>
            <w:tcW w:w="7228" w:type="dxa"/>
            <w:noWrap/>
            <w:vAlign w:val="bottom"/>
            <w:hideMark/>
          </w:tcPr>
          <w:p w14:paraId="2EF179B9" w14:textId="77777777" w:rsidR="006F1A93" w:rsidRPr="00543422" w:rsidRDefault="006F1A93" w:rsidP="00325ABA">
            <w:pPr>
              <w:rPr>
                <w:b/>
                <w:bCs/>
                <w:iCs/>
                <w:szCs w:val="24"/>
              </w:rPr>
            </w:pPr>
            <w:r w:rsidRPr="00543422">
              <w:rPr>
                <w:b/>
                <w:bCs/>
                <w:iCs/>
                <w:szCs w:val="24"/>
              </w:rPr>
              <w:t xml:space="preserve">Sekce sportu a mládeže </w:t>
            </w:r>
          </w:p>
        </w:tc>
        <w:tc>
          <w:tcPr>
            <w:tcW w:w="1630" w:type="dxa"/>
            <w:noWrap/>
            <w:vAlign w:val="bottom"/>
            <w:hideMark/>
          </w:tcPr>
          <w:p w14:paraId="00D7820E" w14:textId="77777777" w:rsidR="006F1A93" w:rsidRPr="00543422" w:rsidRDefault="006F1A93" w:rsidP="00325ABA">
            <w:pPr>
              <w:jc w:val="right"/>
              <w:rPr>
                <w:b/>
                <w:iCs/>
                <w:szCs w:val="24"/>
              </w:rPr>
            </w:pPr>
            <w:r w:rsidRPr="00543422">
              <w:rPr>
                <w:b/>
                <w:iCs/>
                <w:szCs w:val="24"/>
              </w:rPr>
              <w:t>769 000 Kč</w:t>
            </w:r>
          </w:p>
        </w:tc>
      </w:tr>
      <w:tr w:rsidR="006F1A93" w:rsidRPr="00543422" w14:paraId="1EFBB331" w14:textId="77777777" w:rsidTr="006F1A93">
        <w:trPr>
          <w:trHeight w:val="315"/>
        </w:trPr>
        <w:tc>
          <w:tcPr>
            <w:tcW w:w="7228" w:type="dxa"/>
            <w:noWrap/>
            <w:vAlign w:val="bottom"/>
            <w:hideMark/>
          </w:tcPr>
          <w:p w14:paraId="6572230B" w14:textId="77777777" w:rsidR="006F1A93" w:rsidRPr="00543422" w:rsidRDefault="006F1A93" w:rsidP="00325ABA">
            <w:pPr>
              <w:rPr>
                <w:b/>
                <w:bCs/>
                <w:iCs/>
                <w:szCs w:val="24"/>
              </w:rPr>
            </w:pPr>
            <w:r w:rsidRPr="00543422">
              <w:rPr>
                <w:b/>
                <w:bCs/>
                <w:iCs/>
                <w:szCs w:val="24"/>
              </w:rPr>
              <w:t xml:space="preserve">Sekce EU a ESIF/sekce legislativy a mezinárodních vztahů </w:t>
            </w:r>
          </w:p>
        </w:tc>
        <w:tc>
          <w:tcPr>
            <w:tcW w:w="1630" w:type="dxa"/>
            <w:noWrap/>
            <w:vAlign w:val="bottom"/>
            <w:hideMark/>
          </w:tcPr>
          <w:p w14:paraId="66B73F13" w14:textId="77777777" w:rsidR="006F1A93" w:rsidRPr="00543422" w:rsidRDefault="006F1A93" w:rsidP="00325ABA">
            <w:pPr>
              <w:jc w:val="right"/>
              <w:rPr>
                <w:b/>
                <w:iCs/>
                <w:szCs w:val="24"/>
              </w:rPr>
            </w:pPr>
            <w:r w:rsidRPr="00543422">
              <w:rPr>
                <w:b/>
                <w:iCs/>
                <w:szCs w:val="24"/>
              </w:rPr>
              <w:t>1 461 320 Kč</w:t>
            </w:r>
          </w:p>
        </w:tc>
      </w:tr>
      <w:tr w:rsidR="006F1A93" w:rsidRPr="00543422" w14:paraId="61D4B7FF" w14:textId="77777777" w:rsidTr="006F1A93">
        <w:trPr>
          <w:trHeight w:val="315"/>
        </w:trPr>
        <w:tc>
          <w:tcPr>
            <w:tcW w:w="7228" w:type="dxa"/>
            <w:noWrap/>
            <w:vAlign w:val="bottom"/>
            <w:hideMark/>
          </w:tcPr>
          <w:p w14:paraId="391618DF" w14:textId="77777777" w:rsidR="006F1A93" w:rsidRPr="00543422" w:rsidRDefault="006F1A93" w:rsidP="00325ABA">
            <w:pPr>
              <w:rPr>
                <w:b/>
                <w:bCs/>
                <w:iCs/>
                <w:szCs w:val="24"/>
              </w:rPr>
            </w:pPr>
            <w:r w:rsidRPr="00543422">
              <w:rPr>
                <w:b/>
                <w:bCs/>
                <w:iCs/>
                <w:szCs w:val="24"/>
              </w:rPr>
              <w:t>Kancelář ministra</w:t>
            </w:r>
          </w:p>
        </w:tc>
        <w:tc>
          <w:tcPr>
            <w:tcW w:w="1630" w:type="dxa"/>
            <w:noWrap/>
            <w:vAlign w:val="bottom"/>
            <w:hideMark/>
          </w:tcPr>
          <w:p w14:paraId="1FC4F416" w14:textId="77777777" w:rsidR="006F1A93" w:rsidRPr="00543422" w:rsidRDefault="006F1A93" w:rsidP="00325ABA">
            <w:pPr>
              <w:jc w:val="right"/>
              <w:rPr>
                <w:b/>
                <w:iCs/>
                <w:szCs w:val="24"/>
              </w:rPr>
            </w:pPr>
            <w:r w:rsidRPr="00543422">
              <w:rPr>
                <w:b/>
                <w:iCs/>
                <w:szCs w:val="24"/>
              </w:rPr>
              <w:t>500 000 Kč</w:t>
            </w:r>
          </w:p>
        </w:tc>
      </w:tr>
      <w:tr w:rsidR="006F1A93" w:rsidRPr="00543422" w14:paraId="42A00481" w14:textId="77777777" w:rsidTr="006F1A93">
        <w:trPr>
          <w:trHeight w:val="255"/>
        </w:trPr>
        <w:tc>
          <w:tcPr>
            <w:tcW w:w="7228" w:type="dxa"/>
            <w:noWrap/>
            <w:vAlign w:val="bottom"/>
          </w:tcPr>
          <w:p w14:paraId="38A3A0D5" w14:textId="77777777" w:rsidR="006F1A93" w:rsidRPr="00543422" w:rsidRDefault="006F1A93" w:rsidP="00325ABA">
            <w:pPr>
              <w:rPr>
                <w:b/>
                <w:bCs/>
                <w:szCs w:val="24"/>
              </w:rPr>
            </w:pPr>
            <w:r w:rsidRPr="00543422">
              <w:rPr>
                <w:b/>
                <w:bCs/>
                <w:szCs w:val="24"/>
              </w:rPr>
              <w:t xml:space="preserve">Celkem </w:t>
            </w:r>
          </w:p>
        </w:tc>
        <w:tc>
          <w:tcPr>
            <w:tcW w:w="1630" w:type="dxa"/>
            <w:noWrap/>
            <w:vAlign w:val="bottom"/>
            <w:hideMark/>
          </w:tcPr>
          <w:p w14:paraId="785DD422" w14:textId="77777777" w:rsidR="006F1A93" w:rsidRPr="00543422" w:rsidRDefault="006F1A93" w:rsidP="006F1A93">
            <w:pPr>
              <w:jc w:val="right"/>
              <w:rPr>
                <w:b/>
                <w:szCs w:val="24"/>
              </w:rPr>
            </w:pPr>
            <w:r w:rsidRPr="00543422">
              <w:rPr>
                <w:b/>
                <w:szCs w:val="24"/>
              </w:rPr>
              <w:t>6 194 320 Kč</w:t>
            </w:r>
          </w:p>
        </w:tc>
      </w:tr>
    </w:tbl>
    <w:p w14:paraId="0FD98EED" w14:textId="77777777" w:rsidR="006F1A93" w:rsidRPr="00543422" w:rsidRDefault="006F1A93" w:rsidP="006F1A93">
      <w:pPr>
        <w:pStyle w:val="Zkladntext"/>
        <w:ind w:firstLine="567"/>
        <w:rPr>
          <w:b/>
          <w:color w:val="2E74B5"/>
          <w:sz w:val="16"/>
          <w:szCs w:val="16"/>
        </w:rPr>
      </w:pPr>
    </w:p>
    <w:p w14:paraId="284CC735" w14:textId="77777777" w:rsidR="006F1A93" w:rsidRPr="00543422" w:rsidRDefault="006F1A93" w:rsidP="006F1A93">
      <w:pPr>
        <w:pStyle w:val="Text"/>
      </w:pPr>
      <w:r w:rsidRPr="00543422">
        <w:rPr>
          <w:b/>
        </w:rPr>
        <w:t xml:space="preserve">Rozpisem rozpočtu na společné úkoly v roce 2019 </w:t>
      </w:r>
      <w:r w:rsidRPr="00543422">
        <w:t xml:space="preserve">se navrhuje uvolnit jednotlivým rozpočtářům celý objem vyčleněný na společné úkoly. </w:t>
      </w:r>
    </w:p>
    <w:p w14:paraId="2482FD12" w14:textId="77777777" w:rsidR="006F1A93" w:rsidRPr="00543422" w:rsidRDefault="006F1A93" w:rsidP="006F1A93">
      <w:pPr>
        <w:pStyle w:val="Text"/>
      </w:pPr>
      <w:r w:rsidRPr="00543422">
        <w:t xml:space="preserve">V souladu se zákonem o finanční kontrole je nutno, aby věcně příslušné sekce neustále prověřovaly efektivnost, účelnost a hospodárnost vynakládaných prostředků. </w:t>
      </w:r>
    </w:p>
    <w:p w14:paraId="50335396" w14:textId="77777777" w:rsidR="00CB55EE" w:rsidRPr="00543422" w:rsidRDefault="006F1A93" w:rsidP="006F1A93">
      <w:pPr>
        <w:pStyle w:val="Text"/>
      </w:pPr>
      <w:r w:rsidRPr="00543422">
        <w:t xml:space="preserve">Na začátku r. 2019 byl rozpočet společných úkolů zařazen do státní správy (§ 326100 rozpočtové skladby).  </w:t>
      </w:r>
    </w:p>
    <w:p w14:paraId="5C1A763C" w14:textId="77777777" w:rsidR="006F1A93" w:rsidRPr="00543422" w:rsidRDefault="006F1A93" w:rsidP="006F1A93">
      <w:pPr>
        <w:pStyle w:val="Text"/>
        <w:rPr>
          <w:b/>
        </w:rPr>
      </w:pPr>
    </w:p>
    <w:p w14:paraId="7E36C657" w14:textId="77777777" w:rsidR="005966D3" w:rsidRPr="00543422" w:rsidRDefault="001268AC" w:rsidP="0031482F">
      <w:pPr>
        <w:pStyle w:val="Nadpis4"/>
      </w:pPr>
      <w:bookmarkStart w:id="171" w:name="_Toc5968884"/>
      <w:r w:rsidRPr="00543422">
        <w:t>Výnosy OPŘO</w:t>
      </w:r>
      <w:bookmarkEnd w:id="171"/>
    </w:p>
    <w:p w14:paraId="1664030D" w14:textId="77777777" w:rsidR="006C5BB7" w:rsidRPr="00543422" w:rsidRDefault="006C5BB7" w:rsidP="006C5BB7">
      <w:pPr>
        <w:rPr>
          <w:lang w:eastAsia="en-US"/>
        </w:rPr>
      </w:pPr>
    </w:p>
    <w:p w14:paraId="15D5BE8D" w14:textId="7A1097C2" w:rsidR="00D35421" w:rsidRPr="00543422" w:rsidRDefault="006F1A93" w:rsidP="00DA5A48">
      <w:pPr>
        <w:pStyle w:val="Text"/>
      </w:pPr>
      <w:r w:rsidRPr="00543422">
        <w:rPr>
          <w:b/>
        </w:rPr>
        <w:t xml:space="preserve">Výnosy organizací jsou zapojeny do financování ve výši 88 843 411 Kč </w:t>
      </w:r>
      <w:r w:rsidRPr="00543422">
        <w:rPr>
          <w:i/>
        </w:rPr>
        <w:t xml:space="preserve">(vč. sportovní reprezentace – ADV ve výši </w:t>
      </w:r>
      <w:r w:rsidR="00CD313D" w:rsidRPr="00543422">
        <w:rPr>
          <w:i/>
        </w:rPr>
        <w:t>1 150 00</w:t>
      </w:r>
      <w:r w:rsidRPr="00543422">
        <w:rPr>
          <w:i/>
        </w:rPr>
        <w:t>0 Kč)</w:t>
      </w:r>
      <w:r w:rsidRPr="00543422">
        <w:t xml:space="preserve">. Do rozpočtu výnosů jsou zahrnuty nahlášené, případně s organizacemi dodatečně projednané </w:t>
      </w:r>
      <w:r w:rsidR="008459DF">
        <w:rPr>
          <w:b/>
        </w:rPr>
        <w:t>prostředky rezervního fondu ve </w:t>
      </w:r>
      <w:r w:rsidRPr="00543422">
        <w:rPr>
          <w:b/>
        </w:rPr>
        <w:t xml:space="preserve">výši 26 239 442 Kč </w:t>
      </w:r>
      <w:r w:rsidRPr="00543422">
        <w:rPr>
          <w:i/>
        </w:rPr>
        <w:t>(vč.  ADV ve výši 50 000 Kč)</w:t>
      </w:r>
      <w:r w:rsidRPr="00543422">
        <w:rPr>
          <w:b/>
        </w:rPr>
        <w:t xml:space="preserve">, </w:t>
      </w:r>
      <w:r w:rsidRPr="00543422">
        <w:t>které budou v průběhu roku 2019 zapojeny do financování a musí být proto rozpočtovány v souladu s § 57 rozpočtových pravidel.</w:t>
      </w:r>
    </w:p>
    <w:p w14:paraId="43FBDCDF" w14:textId="77777777" w:rsidR="00D0429C" w:rsidRPr="00543422" w:rsidRDefault="00D0429C" w:rsidP="00DA5A48">
      <w:pPr>
        <w:pStyle w:val="Text"/>
      </w:pPr>
    </w:p>
    <w:p w14:paraId="305532F3" w14:textId="77777777" w:rsidR="00BB47B1" w:rsidRPr="00543422" w:rsidRDefault="001268AC" w:rsidP="00B26388">
      <w:pPr>
        <w:pStyle w:val="Nadpis3"/>
      </w:pPr>
      <w:r w:rsidRPr="00543422">
        <w:t xml:space="preserve"> </w:t>
      </w:r>
      <w:bookmarkStart w:id="172" w:name="_Toc5968885"/>
      <w:r w:rsidR="00BB47B1" w:rsidRPr="00543422">
        <w:t>Státní správa (ústřední orgán MŠMT a Česká školní inspekce)</w:t>
      </w:r>
      <w:r w:rsidR="00B87D27" w:rsidRPr="00543422">
        <w:t xml:space="preserve"> bez programů spolufinancovaných EU/FM</w:t>
      </w:r>
      <w:bookmarkEnd w:id="172"/>
    </w:p>
    <w:p w14:paraId="4F90693F" w14:textId="77777777" w:rsidR="00BB47B1" w:rsidRPr="00543422" w:rsidRDefault="00BB47B1" w:rsidP="00BB47B1">
      <w:pPr>
        <w:rPr>
          <w:lang w:eastAsia="en-US"/>
        </w:rPr>
      </w:pPr>
    </w:p>
    <w:p w14:paraId="72226EF9" w14:textId="77777777" w:rsidR="001268AC" w:rsidRPr="00543422" w:rsidRDefault="001268AC" w:rsidP="0031482F">
      <w:pPr>
        <w:pStyle w:val="Nadpis4"/>
      </w:pPr>
      <w:bookmarkStart w:id="173" w:name="_Toc5968886"/>
      <w:r w:rsidRPr="00543422">
        <w:t>Rozpočet běžných výdajů pro státní správu</w:t>
      </w:r>
      <w:bookmarkEnd w:id="173"/>
    </w:p>
    <w:p w14:paraId="2E084589" w14:textId="77777777" w:rsidR="00D35421" w:rsidRPr="00543422" w:rsidRDefault="00D35421" w:rsidP="00D35421">
      <w:pPr>
        <w:rPr>
          <w:lang w:eastAsia="en-US"/>
        </w:rPr>
      </w:pPr>
    </w:p>
    <w:p w14:paraId="0E607502" w14:textId="77777777" w:rsidR="00BF78FC" w:rsidRPr="00543422" w:rsidRDefault="00BF78FC" w:rsidP="00BF78FC">
      <w:pPr>
        <w:pStyle w:val="Text"/>
      </w:pPr>
      <w:r w:rsidRPr="00543422">
        <w:t xml:space="preserve">Rozpočet výdajů pro státní správu (tj. vlastní MŠMT a ČŠI) na rok 2019 je stanoven ve výši </w:t>
      </w:r>
      <w:r w:rsidRPr="000502A7">
        <w:rPr>
          <w:b/>
        </w:rPr>
        <w:t>1</w:t>
      </w:r>
      <w:r w:rsidRPr="00543422">
        <w:rPr>
          <w:b/>
        </w:rPr>
        <w:t> 034 360 466 Kč</w:t>
      </w:r>
      <w:r w:rsidRPr="00543422">
        <w:t xml:space="preserve">, v tom: </w:t>
      </w:r>
    </w:p>
    <w:tbl>
      <w:tblPr>
        <w:tblW w:w="9073" w:type="dxa"/>
        <w:tblInd w:w="-284" w:type="dxa"/>
        <w:tblLook w:val="04A0" w:firstRow="1" w:lastRow="0" w:firstColumn="1" w:lastColumn="0" w:noHBand="0" w:noVBand="1"/>
      </w:tblPr>
      <w:tblGrid>
        <w:gridCol w:w="167"/>
        <w:gridCol w:w="594"/>
        <w:gridCol w:w="5294"/>
        <w:gridCol w:w="167"/>
        <w:gridCol w:w="2709"/>
        <w:gridCol w:w="142"/>
      </w:tblGrid>
      <w:tr w:rsidR="00BF78FC" w:rsidRPr="00543422" w14:paraId="27B75F23" w14:textId="77777777" w:rsidTr="00325ABA">
        <w:trPr>
          <w:gridBefore w:val="1"/>
          <w:wBefore w:w="167" w:type="dxa"/>
        </w:trPr>
        <w:tc>
          <w:tcPr>
            <w:tcW w:w="6055" w:type="dxa"/>
            <w:gridSpan w:val="3"/>
            <w:hideMark/>
          </w:tcPr>
          <w:p w14:paraId="25759835" w14:textId="77777777" w:rsidR="00BF78FC" w:rsidRPr="00543422" w:rsidRDefault="00BF78FC" w:rsidP="00325ABA">
            <w:pPr>
              <w:tabs>
                <w:tab w:val="left" w:pos="993"/>
              </w:tabs>
              <w:rPr>
                <w:b/>
              </w:rPr>
            </w:pPr>
            <w:r w:rsidRPr="00543422">
              <w:rPr>
                <w:b/>
              </w:rPr>
              <w:t>běžné výdaje</w:t>
            </w:r>
          </w:p>
        </w:tc>
        <w:tc>
          <w:tcPr>
            <w:tcW w:w="2851" w:type="dxa"/>
            <w:gridSpan w:val="2"/>
          </w:tcPr>
          <w:p w14:paraId="2B5CF1DC" w14:textId="77777777" w:rsidR="00BF78FC" w:rsidRPr="00543422" w:rsidRDefault="00BF78FC" w:rsidP="00325ABA">
            <w:pPr>
              <w:tabs>
                <w:tab w:val="left" w:pos="993"/>
              </w:tabs>
              <w:jc w:val="right"/>
              <w:rPr>
                <w:b/>
              </w:rPr>
            </w:pPr>
            <w:r w:rsidRPr="00543422">
              <w:rPr>
                <w:b/>
              </w:rPr>
              <w:t>954 390 697 Kč</w:t>
            </w:r>
          </w:p>
        </w:tc>
      </w:tr>
      <w:tr w:rsidR="00BF78FC" w:rsidRPr="00543422" w14:paraId="2E00FE6D" w14:textId="77777777" w:rsidTr="00325ABA">
        <w:trPr>
          <w:gridBefore w:val="1"/>
          <w:wBefore w:w="167" w:type="dxa"/>
        </w:trPr>
        <w:tc>
          <w:tcPr>
            <w:tcW w:w="6055" w:type="dxa"/>
            <w:gridSpan w:val="3"/>
            <w:hideMark/>
          </w:tcPr>
          <w:p w14:paraId="40C98FDE" w14:textId="77777777" w:rsidR="00BF78FC" w:rsidRPr="00543422" w:rsidRDefault="00BF78FC" w:rsidP="00325ABA">
            <w:pPr>
              <w:tabs>
                <w:tab w:val="left" w:pos="993"/>
              </w:tabs>
            </w:pPr>
            <w:r w:rsidRPr="00543422">
              <w:rPr>
                <w:b/>
              </w:rPr>
              <w:t>mzdové prostředky</w:t>
            </w:r>
          </w:p>
        </w:tc>
        <w:tc>
          <w:tcPr>
            <w:tcW w:w="2851" w:type="dxa"/>
            <w:gridSpan w:val="2"/>
            <w:hideMark/>
          </w:tcPr>
          <w:p w14:paraId="0FA0FC70" w14:textId="77777777" w:rsidR="00BF78FC" w:rsidRPr="00543422" w:rsidRDefault="00BF78FC" w:rsidP="00325ABA">
            <w:pPr>
              <w:tabs>
                <w:tab w:val="left" w:pos="993"/>
              </w:tabs>
              <w:jc w:val="right"/>
              <w:rPr>
                <w:color w:val="8DB3E2"/>
              </w:rPr>
            </w:pPr>
            <w:r w:rsidRPr="00543422">
              <w:rPr>
                <w:b/>
              </w:rPr>
              <w:t>587 155 829 Kč</w:t>
            </w:r>
          </w:p>
        </w:tc>
      </w:tr>
      <w:tr w:rsidR="00BF78FC" w:rsidRPr="00543422" w14:paraId="460A60E3" w14:textId="77777777" w:rsidTr="00325ABA">
        <w:trPr>
          <w:gridBefore w:val="1"/>
          <w:wBefore w:w="167" w:type="dxa"/>
        </w:trPr>
        <w:tc>
          <w:tcPr>
            <w:tcW w:w="594" w:type="dxa"/>
          </w:tcPr>
          <w:p w14:paraId="772D55BD" w14:textId="77777777" w:rsidR="00BF78FC" w:rsidRPr="00543422" w:rsidRDefault="00BF78FC" w:rsidP="005B6E93">
            <w:pPr>
              <w:numPr>
                <w:ilvl w:val="0"/>
                <w:numId w:val="74"/>
              </w:numPr>
              <w:tabs>
                <w:tab w:val="left" w:pos="993"/>
              </w:tabs>
            </w:pPr>
          </w:p>
        </w:tc>
        <w:tc>
          <w:tcPr>
            <w:tcW w:w="5461" w:type="dxa"/>
            <w:gridSpan w:val="2"/>
            <w:hideMark/>
          </w:tcPr>
          <w:p w14:paraId="213F3211" w14:textId="77777777" w:rsidR="00BF78FC" w:rsidRPr="00543422" w:rsidRDefault="00BF78FC" w:rsidP="00325ABA">
            <w:pPr>
              <w:tabs>
                <w:tab w:val="left" w:pos="993"/>
              </w:tabs>
            </w:pPr>
            <w:r w:rsidRPr="00543422">
              <w:t>z toho platy</w:t>
            </w:r>
          </w:p>
        </w:tc>
        <w:tc>
          <w:tcPr>
            <w:tcW w:w="2851" w:type="dxa"/>
            <w:gridSpan w:val="2"/>
            <w:hideMark/>
          </w:tcPr>
          <w:p w14:paraId="10707A24" w14:textId="77777777" w:rsidR="00BF78FC" w:rsidRPr="00543422" w:rsidRDefault="00BF78FC" w:rsidP="00325ABA">
            <w:pPr>
              <w:tabs>
                <w:tab w:val="left" w:pos="993"/>
              </w:tabs>
              <w:jc w:val="right"/>
            </w:pPr>
            <w:r w:rsidRPr="00543422">
              <w:t>544 681 185 Kč</w:t>
            </w:r>
          </w:p>
        </w:tc>
      </w:tr>
      <w:tr w:rsidR="00BF78FC" w:rsidRPr="00543422" w14:paraId="1167E808" w14:textId="77777777" w:rsidTr="00325ABA">
        <w:trPr>
          <w:gridBefore w:val="1"/>
          <w:wBefore w:w="167" w:type="dxa"/>
        </w:trPr>
        <w:tc>
          <w:tcPr>
            <w:tcW w:w="594" w:type="dxa"/>
          </w:tcPr>
          <w:p w14:paraId="1733CBF2" w14:textId="77777777" w:rsidR="00BF78FC" w:rsidRPr="00543422" w:rsidRDefault="00BF78FC" w:rsidP="00325ABA">
            <w:pPr>
              <w:tabs>
                <w:tab w:val="left" w:pos="993"/>
              </w:tabs>
              <w:ind w:left="283"/>
            </w:pPr>
          </w:p>
        </w:tc>
        <w:tc>
          <w:tcPr>
            <w:tcW w:w="5461" w:type="dxa"/>
            <w:gridSpan w:val="2"/>
            <w:hideMark/>
          </w:tcPr>
          <w:p w14:paraId="3923B079" w14:textId="77777777" w:rsidR="00BF78FC" w:rsidRPr="00543422" w:rsidRDefault="00BF78FC" w:rsidP="005B6E93">
            <w:pPr>
              <w:numPr>
                <w:ilvl w:val="0"/>
                <w:numId w:val="74"/>
              </w:numPr>
              <w:tabs>
                <w:tab w:val="left" w:pos="742"/>
              </w:tabs>
            </w:pPr>
            <w:r w:rsidRPr="00543422">
              <w:t>z toho platy státních zaměstnanců</w:t>
            </w:r>
          </w:p>
        </w:tc>
        <w:tc>
          <w:tcPr>
            <w:tcW w:w="2851" w:type="dxa"/>
            <w:gridSpan w:val="2"/>
            <w:hideMark/>
          </w:tcPr>
          <w:p w14:paraId="2935D638" w14:textId="77777777" w:rsidR="00BF78FC" w:rsidRPr="00543422" w:rsidRDefault="00BF78FC" w:rsidP="00325ABA">
            <w:pPr>
              <w:tabs>
                <w:tab w:val="left" w:pos="993"/>
              </w:tabs>
              <w:jc w:val="right"/>
              <w:rPr>
                <w:color w:val="8DB3E2"/>
              </w:rPr>
            </w:pPr>
            <w:r w:rsidRPr="00543422">
              <w:t>497 146 183 Kč</w:t>
            </w:r>
          </w:p>
        </w:tc>
      </w:tr>
      <w:tr w:rsidR="00BF78FC" w:rsidRPr="00543422" w14:paraId="01C699FA" w14:textId="77777777" w:rsidTr="00325ABA">
        <w:trPr>
          <w:gridBefore w:val="1"/>
          <w:wBefore w:w="167" w:type="dxa"/>
        </w:trPr>
        <w:tc>
          <w:tcPr>
            <w:tcW w:w="6055" w:type="dxa"/>
            <w:gridSpan w:val="3"/>
            <w:hideMark/>
          </w:tcPr>
          <w:p w14:paraId="5A3D2B89" w14:textId="77777777" w:rsidR="00BF78FC" w:rsidRPr="00543422" w:rsidRDefault="00BF78FC" w:rsidP="00325ABA">
            <w:pPr>
              <w:tabs>
                <w:tab w:val="left" w:pos="993"/>
              </w:tabs>
            </w:pPr>
            <w:r w:rsidRPr="00543422">
              <w:rPr>
                <w:b/>
              </w:rPr>
              <w:t xml:space="preserve">zákonné odvody </w:t>
            </w:r>
          </w:p>
        </w:tc>
        <w:tc>
          <w:tcPr>
            <w:tcW w:w="2851" w:type="dxa"/>
            <w:gridSpan w:val="2"/>
            <w:hideMark/>
          </w:tcPr>
          <w:p w14:paraId="77BBFC2F" w14:textId="77777777" w:rsidR="00BF78FC" w:rsidRPr="00543422" w:rsidRDefault="00BF78FC" w:rsidP="00325ABA">
            <w:pPr>
              <w:tabs>
                <w:tab w:val="left" w:pos="993"/>
              </w:tabs>
              <w:jc w:val="right"/>
              <w:rPr>
                <w:color w:val="8DB3E2"/>
              </w:rPr>
            </w:pPr>
            <w:r w:rsidRPr="00543422">
              <w:rPr>
                <w:b/>
              </w:rPr>
              <w:t>207 040 395 Kč</w:t>
            </w:r>
          </w:p>
        </w:tc>
      </w:tr>
      <w:tr w:rsidR="00BF78FC" w:rsidRPr="00543422" w14:paraId="6DC4702D" w14:textId="77777777" w:rsidTr="00325ABA">
        <w:trPr>
          <w:gridBefore w:val="1"/>
          <w:wBefore w:w="167" w:type="dxa"/>
        </w:trPr>
        <w:tc>
          <w:tcPr>
            <w:tcW w:w="6055" w:type="dxa"/>
            <w:gridSpan w:val="3"/>
            <w:hideMark/>
          </w:tcPr>
          <w:p w14:paraId="3B0DCBE2" w14:textId="77777777" w:rsidR="00BF78FC" w:rsidRPr="00543422" w:rsidRDefault="00BF78FC" w:rsidP="00325ABA">
            <w:pPr>
              <w:tabs>
                <w:tab w:val="left" w:pos="993"/>
              </w:tabs>
            </w:pPr>
            <w:r w:rsidRPr="00543422">
              <w:rPr>
                <w:b/>
              </w:rPr>
              <w:t>ostatní běžné výdaje</w:t>
            </w:r>
            <w:r w:rsidRPr="00543422">
              <w:rPr>
                <w:b/>
              </w:rPr>
              <w:tab/>
              <w:t xml:space="preserve"> </w:t>
            </w:r>
            <w:r w:rsidRPr="00543422">
              <w:t>(bez programového financování)</w:t>
            </w:r>
          </w:p>
        </w:tc>
        <w:tc>
          <w:tcPr>
            <w:tcW w:w="2851" w:type="dxa"/>
            <w:gridSpan w:val="2"/>
            <w:hideMark/>
          </w:tcPr>
          <w:p w14:paraId="1B53828F" w14:textId="77777777" w:rsidR="00BF78FC" w:rsidRPr="00543422" w:rsidRDefault="00BF78FC" w:rsidP="00325ABA">
            <w:pPr>
              <w:tabs>
                <w:tab w:val="left" w:pos="993"/>
              </w:tabs>
              <w:jc w:val="right"/>
              <w:rPr>
                <w:color w:val="8DB3E2"/>
              </w:rPr>
            </w:pPr>
            <w:r w:rsidRPr="00543422">
              <w:rPr>
                <w:b/>
              </w:rPr>
              <w:t>160 194 473 Kč</w:t>
            </w:r>
          </w:p>
        </w:tc>
      </w:tr>
      <w:tr w:rsidR="00BF78FC" w:rsidRPr="00543422" w14:paraId="5A515A46" w14:textId="77777777" w:rsidTr="00325ABA">
        <w:trPr>
          <w:gridBefore w:val="1"/>
          <w:wBefore w:w="167" w:type="dxa"/>
        </w:trPr>
        <w:tc>
          <w:tcPr>
            <w:tcW w:w="6055" w:type="dxa"/>
            <w:gridSpan w:val="3"/>
            <w:hideMark/>
          </w:tcPr>
          <w:p w14:paraId="24107273" w14:textId="77777777" w:rsidR="00BF78FC" w:rsidRPr="00543422" w:rsidRDefault="00BF78FC" w:rsidP="00325ABA">
            <w:pPr>
              <w:tabs>
                <w:tab w:val="left" w:pos="993"/>
              </w:tabs>
              <w:rPr>
                <w:b/>
              </w:rPr>
            </w:pPr>
            <w:r w:rsidRPr="00543422">
              <w:rPr>
                <w:b/>
              </w:rPr>
              <w:t>programové financování</w:t>
            </w:r>
          </w:p>
          <w:p w14:paraId="2603623F" w14:textId="77777777" w:rsidR="00BF78FC" w:rsidRPr="00543422" w:rsidRDefault="00BF78FC" w:rsidP="00325ABA">
            <w:pPr>
              <w:tabs>
                <w:tab w:val="left" w:pos="993"/>
              </w:tabs>
            </w:pPr>
            <w:r w:rsidRPr="00543422">
              <w:t>(z toho ČŠI)</w:t>
            </w:r>
          </w:p>
        </w:tc>
        <w:tc>
          <w:tcPr>
            <w:tcW w:w="2851" w:type="dxa"/>
            <w:gridSpan w:val="2"/>
            <w:hideMark/>
          </w:tcPr>
          <w:p w14:paraId="6ADCD4C4" w14:textId="77777777" w:rsidR="00BF78FC" w:rsidRPr="00543422" w:rsidRDefault="00BF78FC" w:rsidP="00325ABA">
            <w:pPr>
              <w:tabs>
                <w:tab w:val="left" w:pos="993"/>
              </w:tabs>
              <w:jc w:val="right"/>
              <w:rPr>
                <w:b/>
              </w:rPr>
            </w:pPr>
            <w:r w:rsidRPr="00543422">
              <w:rPr>
                <w:b/>
              </w:rPr>
              <w:t>79 969 769 Kč</w:t>
            </w:r>
          </w:p>
          <w:p w14:paraId="34DB40CA" w14:textId="77777777" w:rsidR="00BF78FC" w:rsidRPr="00543422" w:rsidRDefault="00BF78FC" w:rsidP="00325ABA">
            <w:pPr>
              <w:tabs>
                <w:tab w:val="left" w:pos="993"/>
              </w:tabs>
              <w:jc w:val="right"/>
              <w:rPr>
                <w:color w:val="8DB3E2"/>
              </w:rPr>
            </w:pPr>
            <w:r w:rsidRPr="00543422">
              <w:rPr>
                <w:b/>
              </w:rPr>
              <w:t xml:space="preserve"> </w:t>
            </w:r>
            <w:r w:rsidRPr="00543422">
              <w:t>12 869 070 Kč</w:t>
            </w:r>
          </w:p>
        </w:tc>
      </w:tr>
      <w:tr w:rsidR="00BF78FC" w:rsidRPr="004B037D" w14:paraId="7A76F267" w14:textId="77777777" w:rsidTr="00325ABA">
        <w:trPr>
          <w:gridBefore w:val="1"/>
          <w:wBefore w:w="167" w:type="dxa"/>
        </w:trPr>
        <w:tc>
          <w:tcPr>
            <w:tcW w:w="6055" w:type="dxa"/>
            <w:gridSpan w:val="3"/>
            <w:hideMark/>
          </w:tcPr>
          <w:p w14:paraId="7E0127E9" w14:textId="77777777" w:rsidR="00BF78FC" w:rsidRPr="00543422" w:rsidRDefault="00BF78FC" w:rsidP="00325ABA">
            <w:pPr>
              <w:tabs>
                <w:tab w:val="left" w:pos="993"/>
              </w:tabs>
              <w:rPr>
                <w:b/>
              </w:rPr>
            </w:pPr>
            <w:r w:rsidRPr="00543422">
              <w:rPr>
                <w:b/>
              </w:rPr>
              <w:lastRenderedPageBreak/>
              <w:t xml:space="preserve">Limit počtu zaměstnanců </w:t>
            </w:r>
            <w:r w:rsidRPr="00543422">
              <w:t xml:space="preserve">v celoročním průměru je                        </w:t>
            </w:r>
          </w:p>
        </w:tc>
        <w:tc>
          <w:tcPr>
            <w:tcW w:w="2851" w:type="dxa"/>
            <w:gridSpan w:val="2"/>
            <w:hideMark/>
          </w:tcPr>
          <w:p w14:paraId="0D6518D9" w14:textId="448168E2" w:rsidR="00BF78FC" w:rsidRPr="004B037D" w:rsidRDefault="00BF78FC" w:rsidP="00325ABA">
            <w:pPr>
              <w:tabs>
                <w:tab w:val="left" w:pos="993"/>
              </w:tabs>
              <w:jc w:val="right"/>
            </w:pPr>
            <w:r w:rsidRPr="00543422">
              <w:rPr>
                <w:b/>
              </w:rPr>
              <w:t>1 047,95</w:t>
            </w:r>
          </w:p>
        </w:tc>
      </w:tr>
      <w:tr w:rsidR="00BF78FC" w:rsidRPr="004B037D" w14:paraId="47B92A90" w14:textId="77777777" w:rsidTr="00325ABA">
        <w:trPr>
          <w:gridBefore w:val="1"/>
          <w:gridAfter w:val="1"/>
          <w:wBefore w:w="167" w:type="dxa"/>
          <w:wAfter w:w="142" w:type="dxa"/>
        </w:trPr>
        <w:tc>
          <w:tcPr>
            <w:tcW w:w="6055" w:type="dxa"/>
            <w:gridSpan w:val="3"/>
            <w:hideMark/>
          </w:tcPr>
          <w:p w14:paraId="403E54C0" w14:textId="77777777" w:rsidR="00BF78FC" w:rsidRPr="004B037D" w:rsidRDefault="00BF78FC" w:rsidP="00325ABA">
            <w:pPr>
              <w:tabs>
                <w:tab w:val="left" w:pos="993"/>
              </w:tabs>
            </w:pPr>
            <w:r w:rsidRPr="004B037D">
              <w:t>z toho: limit počtu státních zaměstnanců</w:t>
            </w:r>
          </w:p>
        </w:tc>
        <w:tc>
          <w:tcPr>
            <w:tcW w:w="2709" w:type="dxa"/>
            <w:hideMark/>
          </w:tcPr>
          <w:p w14:paraId="324622FE" w14:textId="33A17680" w:rsidR="00BF78FC" w:rsidRPr="004B037D" w:rsidRDefault="00BF78FC" w:rsidP="00325ABA">
            <w:pPr>
              <w:tabs>
                <w:tab w:val="left" w:pos="993"/>
              </w:tabs>
              <w:ind w:right="-108"/>
              <w:jc w:val="right"/>
            </w:pPr>
            <w:r>
              <w:t xml:space="preserve"> </w:t>
            </w:r>
            <w:r w:rsidRPr="004B037D">
              <w:t>936,45</w:t>
            </w:r>
          </w:p>
        </w:tc>
      </w:tr>
      <w:tr w:rsidR="00BF78FC" w:rsidRPr="004B037D" w14:paraId="15426307" w14:textId="77777777" w:rsidTr="00325ABA">
        <w:tc>
          <w:tcPr>
            <w:tcW w:w="6055" w:type="dxa"/>
            <w:gridSpan w:val="3"/>
            <w:hideMark/>
          </w:tcPr>
          <w:p w14:paraId="25A2AA4F" w14:textId="77777777" w:rsidR="00BF78FC" w:rsidRPr="004B037D" w:rsidRDefault="00BF78FC" w:rsidP="00325ABA">
            <w:pPr>
              <w:tabs>
                <w:tab w:val="left" w:pos="993"/>
              </w:tabs>
              <w:ind w:left="176"/>
              <w:rPr>
                <w:b/>
              </w:rPr>
            </w:pPr>
            <w:r>
              <w:rPr>
                <w:b/>
              </w:rPr>
              <w:t>P</w:t>
            </w:r>
            <w:r w:rsidRPr="004B037D">
              <w:rPr>
                <w:b/>
              </w:rPr>
              <w:t>růměrný měsíční plat</w:t>
            </w:r>
          </w:p>
        </w:tc>
        <w:tc>
          <w:tcPr>
            <w:tcW w:w="3018" w:type="dxa"/>
            <w:gridSpan w:val="3"/>
            <w:hideMark/>
          </w:tcPr>
          <w:p w14:paraId="6C6C63ED" w14:textId="77777777" w:rsidR="00BF78FC" w:rsidRPr="004B037D" w:rsidRDefault="00BF78FC" w:rsidP="00325ABA">
            <w:pPr>
              <w:tabs>
                <w:tab w:val="left" w:pos="993"/>
              </w:tabs>
              <w:ind w:left="176"/>
              <w:jc w:val="right"/>
              <w:rPr>
                <w:szCs w:val="24"/>
              </w:rPr>
            </w:pPr>
            <w:r w:rsidRPr="004B037D">
              <w:rPr>
                <w:b/>
              </w:rPr>
              <w:t>4</w:t>
            </w:r>
            <w:r>
              <w:rPr>
                <w:b/>
              </w:rPr>
              <w:t>3 313</w:t>
            </w:r>
            <w:r w:rsidRPr="004B037D">
              <w:rPr>
                <w:b/>
              </w:rPr>
              <w:t> </w:t>
            </w:r>
            <w:r w:rsidRPr="004B037D">
              <w:rPr>
                <w:szCs w:val="24"/>
              </w:rPr>
              <w:t>Kč</w:t>
            </w:r>
          </w:p>
        </w:tc>
      </w:tr>
      <w:tr w:rsidR="00BF78FC" w:rsidRPr="004B037D" w14:paraId="2EF5B44D" w14:textId="77777777" w:rsidTr="00325ABA">
        <w:tc>
          <w:tcPr>
            <w:tcW w:w="6055" w:type="dxa"/>
            <w:gridSpan w:val="3"/>
            <w:hideMark/>
          </w:tcPr>
          <w:p w14:paraId="2EDDB49F" w14:textId="77777777" w:rsidR="00BF78FC" w:rsidRPr="004B037D" w:rsidRDefault="00BF78FC" w:rsidP="00325ABA">
            <w:pPr>
              <w:tabs>
                <w:tab w:val="left" w:pos="993"/>
              </w:tabs>
              <w:ind w:left="176"/>
            </w:pPr>
            <w:r w:rsidRPr="004B037D">
              <w:t>Průměrný měsíční plat státních zaměstnanců</w:t>
            </w:r>
          </w:p>
        </w:tc>
        <w:tc>
          <w:tcPr>
            <w:tcW w:w="3018" w:type="dxa"/>
            <w:gridSpan w:val="3"/>
            <w:hideMark/>
          </w:tcPr>
          <w:p w14:paraId="0A6710A1" w14:textId="77777777" w:rsidR="00BF78FC" w:rsidRPr="004B037D" w:rsidRDefault="00BF78FC" w:rsidP="00325ABA">
            <w:pPr>
              <w:tabs>
                <w:tab w:val="left" w:pos="993"/>
              </w:tabs>
              <w:ind w:left="176"/>
              <w:jc w:val="right"/>
              <w:rPr>
                <w:szCs w:val="24"/>
              </w:rPr>
            </w:pPr>
            <w:r w:rsidRPr="004B037D">
              <w:t xml:space="preserve">44 240 </w:t>
            </w:r>
            <w:r w:rsidRPr="004B037D">
              <w:rPr>
                <w:szCs w:val="24"/>
              </w:rPr>
              <w:t>Kč</w:t>
            </w:r>
          </w:p>
        </w:tc>
      </w:tr>
    </w:tbl>
    <w:p w14:paraId="2312B036" w14:textId="77777777" w:rsidR="00101BCE" w:rsidRPr="00853611" w:rsidRDefault="00101BCE" w:rsidP="00101BCE">
      <w:pPr>
        <w:pStyle w:val="Text"/>
        <w:rPr>
          <w:highlight w:val="yellow"/>
        </w:rPr>
      </w:pPr>
    </w:p>
    <w:p w14:paraId="1EFED0F9" w14:textId="77777777" w:rsidR="00BF78FC" w:rsidRDefault="00BF78FC" w:rsidP="00BF78FC">
      <w:pPr>
        <w:pStyle w:val="Text"/>
      </w:pPr>
      <w:r w:rsidRPr="004B037D">
        <w:t xml:space="preserve">Proti </w:t>
      </w:r>
      <w:r w:rsidRPr="004B037D">
        <w:rPr>
          <w:u w:val="single"/>
        </w:rPr>
        <w:t>roku 2018</w:t>
      </w:r>
      <w:r w:rsidRPr="004B037D">
        <w:t xml:space="preserve"> jsou </w:t>
      </w:r>
      <w:r w:rsidRPr="004B037D">
        <w:rPr>
          <w:b/>
        </w:rPr>
        <w:t xml:space="preserve">běžné výdaje státní správy </w:t>
      </w:r>
      <w:r w:rsidRPr="00FE203C">
        <w:t>(bez programového financování)</w:t>
      </w:r>
      <w:r>
        <w:rPr>
          <w:b/>
        </w:rPr>
        <w:t xml:space="preserve"> </w:t>
      </w:r>
      <w:r w:rsidRPr="004B037D">
        <w:rPr>
          <w:b/>
        </w:rPr>
        <w:t>vyšší o 4</w:t>
      </w:r>
      <w:r>
        <w:rPr>
          <w:b/>
        </w:rPr>
        <w:t>3 459 244</w:t>
      </w:r>
      <w:r w:rsidRPr="004B037D">
        <w:rPr>
          <w:b/>
          <w:bCs/>
        </w:rPr>
        <w:t xml:space="preserve"> </w:t>
      </w:r>
      <w:r w:rsidRPr="004B037D">
        <w:rPr>
          <w:b/>
        </w:rPr>
        <w:t xml:space="preserve">Kč, </w:t>
      </w:r>
      <w:r w:rsidRPr="004B037D">
        <w:t>tj. o </w:t>
      </w:r>
      <w:r>
        <w:t>4</w:t>
      </w:r>
      <w:r w:rsidRPr="004B037D">
        <w:t>,</w:t>
      </w:r>
      <w:r>
        <w:t>77</w:t>
      </w:r>
      <w:r w:rsidRPr="004B037D">
        <w:t xml:space="preserve"> % (zejména díky vlivu zvýšení objemu mzdových </w:t>
      </w:r>
      <w:r w:rsidRPr="005F1D97">
        <w:t>výdajů).</w:t>
      </w:r>
    </w:p>
    <w:p w14:paraId="30A3B3A1" w14:textId="77777777" w:rsidR="00BF78FC" w:rsidRPr="00AE2FFD" w:rsidRDefault="00BF78FC" w:rsidP="00BF78FC">
      <w:pPr>
        <w:pStyle w:val="Text"/>
        <w:rPr>
          <w:highlight w:val="yellow"/>
        </w:rPr>
      </w:pPr>
    </w:p>
    <w:p w14:paraId="132EF2CB" w14:textId="77777777" w:rsidR="00BF78FC" w:rsidRPr="00756FBC" w:rsidRDefault="00BF78FC" w:rsidP="00BF78FC">
      <w:pPr>
        <w:tabs>
          <w:tab w:val="left" w:pos="851"/>
        </w:tabs>
        <w:rPr>
          <w:b/>
          <w:u w:val="single"/>
        </w:rPr>
      </w:pPr>
      <w:r w:rsidRPr="00756FBC">
        <w:rPr>
          <w:b/>
          <w:u w:val="single"/>
        </w:rPr>
        <w:t>Nárůst se skládá z:</w:t>
      </w:r>
    </w:p>
    <w:p w14:paraId="0B251E48" w14:textId="77777777" w:rsidR="00BF78FC" w:rsidRPr="00AE2FFD" w:rsidRDefault="00BF78FC" w:rsidP="00BF78FC">
      <w:pPr>
        <w:tabs>
          <w:tab w:val="left" w:pos="851"/>
        </w:tabs>
        <w:ind w:left="426"/>
        <w:rPr>
          <w:b/>
          <w:highlight w:val="yellow"/>
        </w:rPr>
      </w:pPr>
    </w:p>
    <w:p w14:paraId="2A075D0A" w14:textId="77777777" w:rsidR="00BF78FC" w:rsidRPr="00492337" w:rsidRDefault="00BF78FC" w:rsidP="005B6E93">
      <w:pPr>
        <w:numPr>
          <w:ilvl w:val="0"/>
          <w:numId w:val="32"/>
        </w:numPr>
        <w:tabs>
          <w:tab w:val="left" w:pos="851"/>
          <w:tab w:val="right" w:pos="9072"/>
        </w:tabs>
        <w:ind w:left="851" w:hanging="425"/>
      </w:pPr>
      <w:r w:rsidRPr="00492337">
        <w:t>navýšení platů ústavních činitelů</w:t>
      </w:r>
      <w:r w:rsidRPr="00492337">
        <w:tab/>
        <w:t>+ 336 072 Kč</w:t>
      </w:r>
    </w:p>
    <w:p w14:paraId="77891AE7" w14:textId="77777777" w:rsidR="00BF78FC" w:rsidRDefault="00BF78FC" w:rsidP="005B6E93">
      <w:pPr>
        <w:numPr>
          <w:ilvl w:val="0"/>
          <w:numId w:val="32"/>
        </w:numPr>
        <w:tabs>
          <w:tab w:val="left" w:pos="851"/>
          <w:tab w:val="right" w:pos="9072"/>
        </w:tabs>
        <w:ind w:left="851" w:hanging="425"/>
      </w:pPr>
      <w:r w:rsidRPr="00492337">
        <w:t xml:space="preserve">navýšení prostředků na platy a související odvody dle MF </w:t>
      </w:r>
      <w:r w:rsidRPr="00492337">
        <w:tab/>
        <w:t>+ 38 577 546 Kč</w:t>
      </w:r>
    </w:p>
    <w:p w14:paraId="61D9FAB0" w14:textId="77777777" w:rsidR="00BF78FC" w:rsidRPr="00492337" w:rsidRDefault="00BF78FC" w:rsidP="005B6E93">
      <w:pPr>
        <w:numPr>
          <w:ilvl w:val="0"/>
          <w:numId w:val="32"/>
        </w:numPr>
        <w:tabs>
          <w:tab w:val="left" w:pos="851"/>
          <w:tab w:val="right" w:pos="9072"/>
        </w:tabs>
        <w:ind w:left="851" w:hanging="425"/>
      </w:pPr>
      <w:r>
        <w:t>snížení prostředků na platy (vč. odvodů) za neobsazená místa</w:t>
      </w:r>
      <w:r w:rsidRPr="00492337">
        <w:tab/>
      </w:r>
      <w:r>
        <w:t>- 45 207 896 Kč</w:t>
      </w:r>
    </w:p>
    <w:p w14:paraId="02732C00" w14:textId="77777777" w:rsidR="00BF78FC" w:rsidRPr="00492337" w:rsidRDefault="00BF78FC" w:rsidP="005B6E93">
      <w:pPr>
        <w:numPr>
          <w:ilvl w:val="0"/>
          <w:numId w:val="32"/>
        </w:numPr>
        <w:tabs>
          <w:tab w:val="left" w:pos="851"/>
          <w:tab w:val="right" w:pos="9072"/>
        </w:tabs>
        <w:ind w:left="851" w:hanging="425"/>
      </w:pPr>
      <w:r w:rsidRPr="00492337">
        <w:t xml:space="preserve">korekce </w:t>
      </w:r>
      <w:r>
        <w:t>za</w:t>
      </w:r>
      <w:r w:rsidRPr="00492337">
        <w:t xml:space="preserve"> neobs</w:t>
      </w:r>
      <w:r>
        <w:t>a</w:t>
      </w:r>
      <w:r w:rsidRPr="00492337">
        <w:t>zenost</w:t>
      </w:r>
      <w:r w:rsidRPr="00492337">
        <w:tab/>
      </w:r>
      <w:r>
        <w:t>+ 18 712 106 Kč</w:t>
      </w:r>
    </w:p>
    <w:p w14:paraId="176BAB5C" w14:textId="77777777" w:rsidR="00BF78FC" w:rsidRPr="00B9656B" w:rsidRDefault="00BF78FC" w:rsidP="005B6E93">
      <w:pPr>
        <w:numPr>
          <w:ilvl w:val="0"/>
          <w:numId w:val="32"/>
        </w:numPr>
        <w:tabs>
          <w:tab w:val="left" w:pos="851"/>
          <w:tab w:val="right" w:pos="9072"/>
        </w:tabs>
        <w:ind w:left="851" w:hanging="425"/>
      </w:pPr>
      <w:r w:rsidRPr="00B9656B">
        <w:t>dorovnání růstu platů školních inspektorů do úrovně pedagogů</w:t>
      </w:r>
    </w:p>
    <w:p w14:paraId="1899941C" w14:textId="77777777" w:rsidR="00BF78FC" w:rsidRPr="00B9656B" w:rsidRDefault="00BF78FC" w:rsidP="00BF78FC">
      <w:pPr>
        <w:tabs>
          <w:tab w:val="left" w:pos="851"/>
          <w:tab w:val="right" w:pos="9072"/>
        </w:tabs>
        <w:ind w:left="426" w:firstLine="425"/>
      </w:pPr>
      <w:r w:rsidRPr="00B9656B">
        <w:t xml:space="preserve"> (do 15 % tarifů)</w:t>
      </w:r>
      <w:r w:rsidRPr="00B9656B">
        <w:tab/>
        <w:t xml:space="preserve">+ </w:t>
      </w:r>
      <w:r>
        <w:t xml:space="preserve">25 560 440 </w:t>
      </w:r>
      <w:r w:rsidRPr="00B9656B">
        <w:t>Kč</w:t>
      </w:r>
    </w:p>
    <w:p w14:paraId="56D3BCAE" w14:textId="77777777" w:rsidR="00BF78FC" w:rsidRDefault="00BF78FC" w:rsidP="00BF78FC">
      <w:pPr>
        <w:tabs>
          <w:tab w:val="right" w:pos="9072"/>
        </w:tabs>
        <w:ind w:left="850" w:hanging="425"/>
      </w:pPr>
      <w:r w:rsidRPr="0014755E">
        <w:rPr>
          <w:rFonts w:ascii="Symbol" w:hAnsi="Symbol"/>
          <w:szCs w:val="24"/>
        </w:rPr>
        <w:t></w:t>
      </w:r>
      <w:r w:rsidRPr="0014755E">
        <w:rPr>
          <w:sz w:val="14"/>
          <w:szCs w:val="14"/>
        </w:rPr>
        <w:tab/>
      </w:r>
      <w:r w:rsidRPr="00993BAB">
        <w:t xml:space="preserve">další </w:t>
      </w:r>
      <w:r w:rsidRPr="0014755E">
        <w:t>navýšení platů dle MF</w:t>
      </w:r>
      <w:r>
        <w:t xml:space="preserve"> </w:t>
      </w:r>
      <w:r w:rsidRPr="0014755E">
        <w:tab/>
        <w:t>+ 8 4</w:t>
      </w:r>
      <w:r>
        <w:t>8</w:t>
      </w:r>
      <w:r w:rsidRPr="0014755E">
        <w:t>0 976 Kč</w:t>
      </w:r>
    </w:p>
    <w:p w14:paraId="13FA3621" w14:textId="77777777" w:rsidR="00BF78FC" w:rsidRPr="0014755E" w:rsidRDefault="00BF78FC" w:rsidP="005B6E93">
      <w:pPr>
        <w:numPr>
          <w:ilvl w:val="0"/>
          <w:numId w:val="32"/>
        </w:numPr>
        <w:tabs>
          <w:tab w:val="left" w:pos="851"/>
          <w:tab w:val="right" w:pos="9072"/>
        </w:tabs>
        <w:ind w:left="851" w:hanging="425"/>
      </w:pPr>
      <w:r>
        <w:t>přesunů vyvolaných metodickými změnami</w:t>
      </w:r>
      <w:r w:rsidRPr="0014755E">
        <w:tab/>
      </w:r>
      <w:r>
        <w:t>- 3 000 000</w:t>
      </w:r>
      <w:r w:rsidRPr="0014755E">
        <w:t xml:space="preserve"> Kč</w:t>
      </w:r>
    </w:p>
    <w:p w14:paraId="00FB5E71" w14:textId="77777777" w:rsidR="00BF78FC" w:rsidRPr="00CE35F4" w:rsidRDefault="00BF78FC" w:rsidP="00BF78FC">
      <w:pPr>
        <w:ind w:left="567" w:hanging="426"/>
        <w:rPr>
          <w:b/>
          <w:color w:val="2E74B5"/>
          <w:sz w:val="16"/>
          <w:szCs w:val="16"/>
        </w:rPr>
      </w:pPr>
    </w:p>
    <w:p w14:paraId="4662CF58" w14:textId="77777777" w:rsidR="00BF78FC" w:rsidRDefault="00BF78FC" w:rsidP="00BF78FC">
      <w:pPr>
        <w:tabs>
          <w:tab w:val="left" w:pos="993"/>
        </w:tabs>
        <w:ind w:left="993"/>
        <w:rPr>
          <w:color w:val="2E74B5"/>
        </w:rPr>
      </w:pPr>
    </w:p>
    <w:p w14:paraId="57B948F2" w14:textId="77777777" w:rsidR="00BF78FC" w:rsidRPr="00543422" w:rsidRDefault="00BF78FC" w:rsidP="00BF78FC">
      <w:pPr>
        <w:pStyle w:val="Text"/>
      </w:pPr>
      <w:r w:rsidRPr="00543422">
        <w:rPr>
          <w:b/>
        </w:rPr>
        <w:t xml:space="preserve">Počet zaměstnanců je navržen ve výši 1 047,95 přepočtených úvazků </w:t>
      </w:r>
      <w:r w:rsidRPr="00543422">
        <w:t xml:space="preserve">(oproti r. 2018 dochází ke snížení o 6,0 přepočtených úvazků, tj. o 0,57 %). Snížení počtu zaměstnanců ve státní správě souvisí se snižováním za neobsazená místa podle stavu k 31. 3. 2018. </w:t>
      </w:r>
    </w:p>
    <w:p w14:paraId="7A305962" w14:textId="77777777" w:rsidR="00BF78FC" w:rsidRDefault="00BF78FC" w:rsidP="00BF78FC">
      <w:pPr>
        <w:pStyle w:val="Text"/>
      </w:pPr>
      <w:r w:rsidRPr="00543422">
        <w:rPr>
          <w:b/>
        </w:rPr>
        <w:t>Průměrný měsíční plat</w:t>
      </w:r>
      <w:r w:rsidRPr="00543422">
        <w:t xml:space="preserve"> je rozpočtován ve výši 43 313 Kč a je o 2 921 Kč (tj. 7,23 %) vyšší oproti rozpočtovanému platu v r. 2018. Průměrný plat státních zaměstnanců je rozpočtován ve výši 44 240 Kč.</w:t>
      </w:r>
    </w:p>
    <w:p w14:paraId="2BE1ECE7" w14:textId="77777777" w:rsidR="002541C7" w:rsidRDefault="002541C7" w:rsidP="00BF78FC">
      <w:pPr>
        <w:pStyle w:val="Text"/>
      </w:pPr>
    </w:p>
    <w:p w14:paraId="59CA757E" w14:textId="77777777" w:rsidR="002541C7" w:rsidRPr="002541C7" w:rsidRDefault="002541C7" w:rsidP="0031482F">
      <w:pPr>
        <w:pStyle w:val="Nadpis4"/>
      </w:pPr>
      <w:bookmarkStart w:id="174" w:name="_Toc5968887"/>
      <w:r w:rsidRPr="002541C7">
        <w:t>Výdaje na programové financování</w:t>
      </w:r>
      <w:bookmarkEnd w:id="174"/>
      <w:r w:rsidRPr="002541C7">
        <w:t xml:space="preserve">  </w:t>
      </w:r>
    </w:p>
    <w:p w14:paraId="470A52F1" w14:textId="77777777" w:rsidR="002541C7" w:rsidRPr="002541C7" w:rsidRDefault="002541C7" w:rsidP="002541C7">
      <w:pPr>
        <w:rPr>
          <w:lang w:eastAsia="en-US"/>
        </w:rPr>
      </w:pPr>
    </w:p>
    <w:p w14:paraId="721CBE2A" w14:textId="77777777" w:rsidR="002541C7" w:rsidRPr="002541C7" w:rsidRDefault="002541C7" w:rsidP="002541C7">
      <w:pPr>
        <w:rPr>
          <w:b/>
        </w:rPr>
      </w:pPr>
      <w:r w:rsidRPr="002541C7">
        <w:rPr>
          <w:b/>
        </w:rPr>
        <w:t>Program 133 010 - Rozvoj a obnova MTZ systému řízení MŠMT</w:t>
      </w:r>
    </w:p>
    <w:p w14:paraId="53B8508F" w14:textId="77777777" w:rsidR="002541C7" w:rsidRPr="002541C7" w:rsidRDefault="002541C7" w:rsidP="002541C7">
      <w:pPr>
        <w:pStyle w:val="Text"/>
        <w:rPr>
          <w:b/>
        </w:rPr>
      </w:pPr>
      <w:r w:rsidRPr="002541C7">
        <w:t xml:space="preserve">Celkový rozpočet výdajů programu 133 010 v roce 2019 činí </w:t>
      </w:r>
      <w:r w:rsidRPr="002541C7">
        <w:rPr>
          <w:b/>
        </w:rPr>
        <w:t>celkem 282 980 747 Kč</w:t>
      </w:r>
      <w:r w:rsidRPr="002541C7">
        <w:t xml:space="preserve">, v tom kapitálových výdajů 280 439 877 Kč a běžných výdajů 2 540 870 Kč. Z toho pro potřeby státního rozpočtu je vyčleněno 72 100 699 Kč, pro podíl na spolufinancování projektů EU částka 37 899 301 Kč a pro EU podíl částka 160 111 677 Kč. Na krizové řízení je z celkového objemu státního rozpočtu vyčleněna částka 3 500 000 Kč. Pro potřeby ČŠI je rozpočtována částka 12 869 070 Kč. </w:t>
      </w:r>
    </w:p>
    <w:p w14:paraId="60F76F2A" w14:textId="77777777" w:rsidR="002541C7" w:rsidRPr="002541C7" w:rsidRDefault="002541C7" w:rsidP="002541C7">
      <w:pPr>
        <w:pStyle w:val="Text"/>
      </w:pPr>
      <w:r w:rsidRPr="002541C7">
        <w:t>Program byl schválen Ministerstvem financí dne 9. 11.2017. Účastníkem programu jsou organizační složky státu nebo státní příspěvková organizace v působnosti zákona č. 219/2000 Sb., o majetku České republiky a jejím vystupování v právních vztazích, ve znění pozdějších předpisů. Ukončení realizace programu je stanoveno na 30. 6. 2025.</w:t>
      </w:r>
    </w:p>
    <w:p w14:paraId="0F7089B5" w14:textId="3FFBF00E" w:rsidR="002541C7" w:rsidRPr="002541C7" w:rsidRDefault="002541C7" w:rsidP="002541C7">
      <w:pPr>
        <w:pStyle w:val="Text"/>
      </w:pPr>
      <w:r w:rsidRPr="002541C7">
        <w:t>Finanční prostředky budou směřovány na akce, které budou řešit dlouhodobě investičně podfinancovaný areál budov sídla ministerstva. Plánuje se realizovat řadu energetických opatření z důvodu snížení reálných provozních náklad</w:t>
      </w:r>
      <w:r w:rsidR="00CB3D1B">
        <w:t>ů. Bude se jednat o opatření na </w:t>
      </w:r>
      <w:r w:rsidRPr="002541C7">
        <w:t xml:space="preserve">energetickém zdroji, na výplni otvorů, na obálce budov včetně střech a půd. Dále jsou v úvaze i opatření na úsporu elektrické energie a vody. Mimo samotný areál ministerstva je akutně nutno v rámci tohoto programu řešit budovy v užívání České školní inspekce. V první řadě se jedná o dlouhodobě nutnou rekonstrukci objektu v Brně, kde zároveň sídlí i NIDV. </w:t>
      </w:r>
      <w:r w:rsidRPr="002541C7">
        <w:lastRenderedPageBreak/>
        <w:t>Dále také rekonstrukci nově převzatého objektu v Jihlavě. Finanční prostředky budou postupně rozepisovány na připravené akce.</w:t>
      </w:r>
    </w:p>
    <w:p w14:paraId="6B5FAA5C" w14:textId="77777777" w:rsidR="002541C7" w:rsidRPr="00543422" w:rsidRDefault="002541C7" w:rsidP="00BF78FC">
      <w:pPr>
        <w:pStyle w:val="Text"/>
      </w:pPr>
      <w:r w:rsidRPr="002541C7">
        <w:t xml:space="preserve">Do financování programu 133 010 (kromě ČŠI) budou v průběhu roku 2019 zapojeny i prostředky nároků z nespotřebovaných profilujících výdajů z předchozích let ve výši 62 739 572,76 Kč. </w:t>
      </w:r>
    </w:p>
    <w:p w14:paraId="501781CF" w14:textId="77777777" w:rsidR="00521285" w:rsidRPr="00543422" w:rsidRDefault="00521285" w:rsidP="00DA5A48">
      <w:pPr>
        <w:pStyle w:val="Text"/>
      </w:pPr>
    </w:p>
    <w:p w14:paraId="30DBBBBD" w14:textId="77777777" w:rsidR="001268AC" w:rsidRPr="00543422" w:rsidRDefault="001F5626" w:rsidP="00F94A17">
      <w:pPr>
        <w:pStyle w:val="Nadpis5"/>
      </w:pPr>
      <w:r w:rsidRPr="00543422">
        <w:t xml:space="preserve"> Členění běžných výdajů státní správy</w:t>
      </w:r>
    </w:p>
    <w:p w14:paraId="78BE1DD2" w14:textId="77777777" w:rsidR="001F5626" w:rsidRPr="00543422" w:rsidRDefault="001F5626" w:rsidP="001F5626"/>
    <w:p w14:paraId="308AEB2A" w14:textId="77777777" w:rsidR="00BF78FC" w:rsidRPr="00236191" w:rsidRDefault="00BF78FC" w:rsidP="00BF78FC">
      <w:pPr>
        <w:pStyle w:val="Text"/>
      </w:pPr>
      <w:r w:rsidRPr="00543422">
        <w:t>Rozdělení celkového objemu rozpočtu běžných</w:t>
      </w:r>
      <w:r w:rsidRPr="00236191">
        <w:t xml:space="preserve"> výdajů státní správy zachycuje následující tabulka:</w:t>
      </w:r>
    </w:p>
    <w:p w14:paraId="5C6C770F" w14:textId="77777777" w:rsidR="00BF78FC" w:rsidRDefault="00BF78FC" w:rsidP="00BF78FC">
      <w:pPr>
        <w:pStyle w:val="Titulek"/>
        <w:keepNext/>
      </w:pPr>
      <w:bookmarkStart w:id="175" w:name="_Toc476831553"/>
      <w:bookmarkStart w:id="176" w:name="_Toc5965642"/>
      <w:r w:rsidRPr="004A582B">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C</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21</w:t>
      </w:r>
      <w:r w:rsidR="005F53B0">
        <w:rPr>
          <w:noProof/>
        </w:rPr>
        <w:fldChar w:fldCharType="end"/>
      </w:r>
      <w:r w:rsidRPr="004A582B">
        <w:t>: Rozpočet státní správy (v Kč)</w:t>
      </w:r>
      <w:bookmarkEnd w:id="175"/>
      <w:bookmarkEnd w:id="176"/>
    </w:p>
    <w:p w14:paraId="48205B42" w14:textId="77777777" w:rsidR="00BF78FC" w:rsidRPr="00E13AB6" w:rsidRDefault="00BF78FC" w:rsidP="00BF78FC">
      <w:pPr>
        <w:pStyle w:val="Zkladntext2"/>
        <w:ind w:firstLine="567"/>
      </w:pPr>
      <w:r w:rsidRPr="008B3544">
        <w:rPr>
          <w:noProof/>
        </w:rPr>
        <w:drawing>
          <wp:inline distT="0" distB="0" distL="0" distR="0" wp14:anchorId="42F4CDBC" wp14:editId="448571A6">
            <wp:extent cx="5105400" cy="2598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5400" cy="2598420"/>
                    </a:xfrm>
                    <a:prstGeom prst="rect">
                      <a:avLst/>
                    </a:prstGeom>
                    <a:noFill/>
                    <a:ln>
                      <a:noFill/>
                    </a:ln>
                  </pic:spPr>
                </pic:pic>
              </a:graphicData>
            </a:graphic>
          </wp:inline>
        </w:drawing>
      </w:r>
    </w:p>
    <w:p w14:paraId="1C59C088" w14:textId="77777777" w:rsidR="00BF78FC" w:rsidRPr="00C02E4C" w:rsidRDefault="00BF78FC" w:rsidP="00BF78FC">
      <w:pPr>
        <w:pStyle w:val="Zkladntext2"/>
        <w:ind w:left="426" w:firstLine="360"/>
        <w:rPr>
          <w:szCs w:val="24"/>
        </w:rPr>
      </w:pPr>
    </w:p>
    <w:p w14:paraId="3A3BD4CF" w14:textId="77777777" w:rsidR="00BF78FC" w:rsidRPr="00543422" w:rsidRDefault="00BF78FC" w:rsidP="00BF78FC">
      <w:pPr>
        <w:pStyle w:val="Text"/>
      </w:pPr>
      <w:r w:rsidRPr="00543422">
        <w:t xml:space="preserve">Součástí návrhu rozpočtu </w:t>
      </w:r>
      <w:r w:rsidRPr="00543422">
        <w:rPr>
          <w:u w:val="single"/>
        </w:rPr>
        <w:t>vlastního MŠMT</w:t>
      </w:r>
      <w:r w:rsidRPr="00543422">
        <w:t xml:space="preserve"> jsou kromě finančních prostředků na vlastní provoz úřadu i výdaje na činnost Národního akreditačního úřadu pro vysoké školství a další výdaje v rámci dohod o pracích konaných mimo pracovní poměr (např. právní a expertní služby, recenze učebnic, atd.).</w:t>
      </w:r>
    </w:p>
    <w:p w14:paraId="245FD3E8" w14:textId="77777777" w:rsidR="00BF78FC" w:rsidRPr="00543422" w:rsidRDefault="00BF78FC" w:rsidP="00BF78FC">
      <w:pPr>
        <w:pStyle w:val="Text"/>
      </w:pPr>
      <w:r w:rsidRPr="00543422">
        <w:t xml:space="preserve">Součástí návrhu rozpočtu </w:t>
      </w:r>
      <w:r w:rsidRPr="00543422">
        <w:rPr>
          <w:u w:val="single"/>
        </w:rPr>
        <w:t>ČŠI</w:t>
      </w:r>
      <w:r w:rsidRPr="00543422">
        <w:t xml:space="preserve"> jsou kromě prostředků inspekční činnosti i prostředky na šetření v rámci mezinárodních projektů PISA a TIMSS.</w:t>
      </w:r>
    </w:p>
    <w:p w14:paraId="0B51226F" w14:textId="77777777" w:rsidR="00101BCE" w:rsidRPr="00543422" w:rsidRDefault="00101BCE" w:rsidP="00101BCE">
      <w:pPr>
        <w:pStyle w:val="Text"/>
      </w:pPr>
    </w:p>
    <w:p w14:paraId="42A2A3D0" w14:textId="77777777" w:rsidR="001268AC" w:rsidRPr="00543422" w:rsidRDefault="001F5626" w:rsidP="00F94A17">
      <w:pPr>
        <w:pStyle w:val="Nadpis5"/>
      </w:pPr>
      <w:r w:rsidRPr="00543422">
        <w:t xml:space="preserve"> Pravidla rozpisu rozpočtu státní správy</w:t>
      </w:r>
    </w:p>
    <w:p w14:paraId="747331D5" w14:textId="77777777" w:rsidR="001268AC" w:rsidRPr="00543422" w:rsidRDefault="001268AC" w:rsidP="00DA5A48">
      <w:pPr>
        <w:pStyle w:val="Text"/>
      </w:pPr>
    </w:p>
    <w:p w14:paraId="024BBF54" w14:textId="77777777" w:rsidR="00BF78FC" w:rsidRPr="00543422" w:rsidRDefault="00BF78FC" w:rsidP="00BF78FC">
      <w:r w:rsidRPr="00543422">
        <w:t>Pravidla pro komunikaci mezi kapitolou (MŠMT) a OSS (ČŠI) – popsána v kapitole C.VI.1.3.</w:t>
      </w:r>
    </w:p>
    <w:p w14:paraId="2EF7B23D" w14:textId="77777777" w:rsidR="00521285" w:rsidRPr="00543422" w:rsidRDefault="00521285" w:rsidP="00DA5A48">
      <w:pPr>
        <w:pStyle w:val="Text"/>
      </w:pPr>
    </w:p>
    <w:p w14:paraId="6F7D94E4" w14:textId="77777777" w:rsidR="001F5626" w:rsidRPr="00543422" w:rsidRDefault="00FE1200" w:rsidP="00F94A17">
      <w:pPr>
        <w:pStyle w:val="Nadpis5"/>
      </w:pPr>
      <w:r w:rsidRPr="00543422">
        <w:t xml:space="preserve"> </w:t>
      </w:r>
      <w:r w:rsidR="001F5626" w:rsidRPr="00543422">
        <w:t>Ministerstvo školství, mládeže a tělovýchovy</w:t>
      </w:r>
    </w:p>
    <w:p w14:paraId="3FC5F1A7" w14:textId="77777777" w:rsidR="001F5626" w:rsidRPr="00543422" w:rsidRDefault="001F5626" w:rsidP="00DA5A48">
      <w:pPr>
        <w:pStyle w:val="Text"/>
      </w:pPr>
    </w:p>
    <w:p w14:paraId="27D47334" w14:textId="77777777" w:rsidR="00BF78FC" w:rsidRPr="00CE35F4" w:rsidRDefault="00BF78FC" w:rsidP="00997C1E">
      <w:pPr>
        <w:pStyle w:val="Text"/>
        <w:rPr>
          <w:color w:val="2E74B5"/>
        </w:rPr>
      </w:pPr>
      <w:r w:rsidRPr="00543422">
        <w:rPr>
          <w:b/>
        </w:rPr>
        <w:t>Limit počtu zaměstnanců</w:t>
      </w:r>
      <w:r w:rsidRPr="00543422">
        <w:t xml:space="preserve"> </w:t>
      </w:r>
      <w:r w:rsidRPr="00543422">
        <w:rPr>
          <w:b/>
        </w:rPr>
        <w:t>MŠMT</w:t>
      </w:r>
      <w:r w:rsidRPr="00543422">
        <w:t xml:space="preserve"> je stanoven ve výši </w:t>
      </w:r>
      <w:r w:rsidRPr="00543422">
        <w:rPr>
          <w:b/>
        </w:rPr>
        <w:t>534,95</w:t>
      </w:r>
      <w:r w:rsidRPr="00543422">
        <w:t xml:space="preserve"> </w:t>
      </w:r>
      <w:r w:rsidRPr="00543422">
        <w:rPr>
          <w:b/>
        </w:rPr>
        <w:t xml:space="preserve">přepočtených úvazků. </w:t>
      </w:r>
      <w:r w:rsidRPr="00543422">
        <w:t>LPZ je ve srovnání s rokem 2018 nižší o 4,0 přepočtené úvazky</w:t>
      </w:r>
      <w:r w:rsidRPr="00296333">
        <w:t xml:space="preserve"> (což představuje </w:t>
      </w:r>
      <w:r>
        <w:t>pokles</w:t>
      </w:r>
      <w:r w:rsidRPr="00296333">
        <w:t xml:space="preserve"> </w:t>
      </w:r>
      <w:r>
        <w:t>o 0,74 </w:t>
      </w:r>
      <w:r w:rsidRPr="00296333">
        <w:t>%) –</w:t>
      </w:r>
      <w:r w:rsidRPr="00CE35F4">
        <w:rPr>
          <w:color w:val="2E74B5"/>
        </w:rPr>
        <w:t xml:space="preserve"> </w:t>
      </w:r>
      <w:r w:rsidRPr="00296333">
        <w:t xml:space="preserve">ten je způsoben </w:t>
      </w:r>
      <w:r>
        <w:t xml:space="preserve">krácením </w:t>
      </w:r>
      <w:r w:rsidRPr="006650CD">
        <w:t xml:space="preserve">úvazků </w:t>
      </w:r>
      <w:r>
        <w:t>za neobsazená pracovní místa</w:t>
      </w:r>
      <w:r>
        <w:rPr>
          <w:color w:val="2E74B5"/>
        </w:rPr>
        <w:t>.</w:t>
      </w:r>
    </w:p>
    <w:p w14:paraId="1C545C12" w14:textId="77777777" w:rsidR="00BF78FC" w:rsidRPr="0084515E" w:rsidRDefault="00BF78FC" w:rsidP="00BF78FC">
      <w:pPr>
        <w:pStyle w:val="Text"/>
      </w:pPr>
      <w:r w:rsidRPr="00CB344F">
        <w:rPr>
          <w:b/>
        </w:rPr>
        <w:t>Limit prostředků na platy</w:t>
      </w:r>
      <w:r w:rsidRPr="00CB344F">
        <w:t xml:space="preserve"> je proti roku 2018 zvýšen o 740 100 Kč, tj. o 0,26 %. Toto zvýšení zahrnuje kromě nárůstu souvisejícího s 5% navýšením platových tarifů ve výši </w:t>
      </w:r>
      <w:r w:rsidRPr="006133DE">
        <w:t>22</w:t>
      </w:r>
      <w:r>
        <w:t> </w:t>
      </w:r>
      <w:r w:rsidRPr="006133DE">
        <w:t>757</w:t>
      </w:r>
      <w:r>
        <w:t> </w:t>
      </w:r>
      <w:r w:rsidRPr="006133DE">
        <w:t>800 Kč především krácení prostředků na platy</w:t>
      </w:r>
      <w:r>
        <w:t xml:space="preserve"> odpovídající snížení úvazků za </w:t>
      </w:r>
      <w:r w:rsidRPr="006133DE">
        <w:t>neobsazená místa ve výši 22 017 700 Kč.</w:t>
      </w:r>
      <w:r w:rsidRPr="0084515E">
        <w:t xml:space="preserve"> </w:t>
      </w:r>
    </w:p>
    <w:p w14:paraId="6B5CF1A2" w14:textId="63E12733" w:rsidR="00BF78FC" w:rsidRPr="00B36F9C" w:rsidRDefault="00BF78FC" w:rsidP="00997C1E">
      <w:pPr>
        <w:pStyle w:val="Text"/>
      </w:pPr>
      <w:r w:rsidRPr="0084515E">
        <w:rPr>
          <w:b/>
        </w:rPr>
        <w:lastRenderedPageBreak/>
        <w:t xml:space="preserve">Limit prostředků na OPPP </w:t>
      </w:r>
      <w:r w:rsidRPr="00B36F9C">
        <w:t xml:space="preserve">je navržen ve výši </w:t>
      </w:r>
      <w:r w:rsidRPr="00B36F9C">
        <w:rPr>
          <w:b/>
        </w:rPr>
        <w:t>35</w:t>
      </w:r>
      <w:r>
        <w:rPr>
          <w:b/>
        </w:rPr>
        <w:t> </w:t>
      </w:r>
      <w:r w:rsidRPr="00B36F9C">
        <w:rPr>
          <w:b/>
        </w:rPr>
        <w:t>858</w:t>
      </w:r>
      <w:r>
        <w:rPr>
          <w:b/>
        </w:rPr>
        <w:t xml:space="preserve"> 480</w:t>
      </w:r>
      <w:r w:rsidRPr="00B36F9C">
        <w:rPr>
          <w:b/>
        </w:rPr>
        <w:t xml:space="preserve"> Kč</w:t>
      </w:r>
      <w:r w:rsidRPr="00B36F9C">
        <w:t xml:space="preserve">. </w:t>
      </w:r>
    </w:p>
    <w:p w14:paraId="67AEBE8C" w14:textId="77777777" w:rsidR="00BF78FC" w:rsidRPr="00C4292D" w:rsidRDefault="00BF78FC" w:rsidP="00BF78FC">
      <w:pPr>
        <w:pStyle w:val="Text"/>
      </w:pPr>
      <w:r w:rsidRPr="00B36F9C">
        <w:t xml:space="preserve">V rámci limitu OPPP jsou zabezpečeny potřeby související s činností </w:t>
      </w:r>
      <w:r w:rsidRPr="00B36F9C">
        <w:rPr>
          <w:b/>
        </w:rPr>
        <w:t>NAÚ</w:t>
      </w:r>
      <w:r w:rsidRPr="00B36F9C">
        <w:t xml:space="preserve"> ve výši </w:t>
      </w:r>
      <w:r w:rsidRPr="00D7790E">
        <w:rPr>
          <w:b/>
        </w:rPr>
        <w:t>17 560 000 Kč.</w:t>
      </w:r>
      <w:r w:rsidRPr="002B69A9">
        <w:t xml:space="preserve"> Dohody související s NAÚ jsou rozpočtovány sekcí </w:t>
      </w:r>
      <w:r>
        <w:t>státního tajemníka</w:t>
      </w:r>
      <w:r w:rsidRPr="002B69A9">
        <w:t xml:space="preserve"> ve výši 400 </w:t>
      </w:r>
      <w:r>
        <w:t>000</w:t>
      </w:r>
      <w:r w:rsidRPr="002B69A9">
        <w:t xml:space="preserve"> Kč, dohody pro Radu a Přezkumnou komisi NAÚ jsou rozpočtovány sekcí </w:t>
      </w:r>
      <w:r>
        <w:t>státního tajemníka</w:t>
      </w:r>
      <w:r w:rsidRPr="002B69A9">
        <w:t xml:space="preserve"> ve výši 7 560 </w:t>
      </w:r>
      <w:r>
        <w:t>000</w:t>
      </w:r>
      <w:r w:rsidRPr="002B69A9">
        <w:t xml:space="preserve"> Kč a dohody související s Hodnotící komisí ve výši 9</w:t>
      </w:r>
      <w:r>
        <w:t> </w:t>
      </w:r>
      <w:r w:rsidRPr="002B69A9">
        <w:t>600</w:t>
      </w:r>
      <w:r>
        <w:t xml:space="preserve"> 000</w:t>
      </w:r>
      <w:r w:rsidRPr="002B69A9">
        <w:t xml:space="preserve"> Kč jsou rozpočtovány v</w:t>
      </w:r>
      <w:r>
        <w:t> </w:t>
      </w:r>
      <w:r w:rsidRPr="002B69A9">
        <w:t>odboru</w:t>
      </w:r>
      <w:r>
        <w:t xml:space="preserve"> kanceláře NAÚ</w:t>
      </w:r>
      <w:r w:rsidRPr="002B69A9">
        <w:t>.</w:t>
      </w:r>
      <w:r>
        <w:t xml:space="preserve"> </w:t>
      </w:r>
    </w:p>
    <w:p w14:paraId="35D0F3E0" w14:textId="77777777" w:rsidR="00BF78FC" w:rsidRPr="0055452F" w:rsidRDefault="00BF78FC" w:rsidP="00BF78FC">
      <w:pPr>
        <w:pStyle w:val="Text"/>
      </w:pPr>
      <w:r w:rsidRPr="0055452F">
        <w:rPr>
          <w:b/>
        </w:rPr>
        <w:t>Zákonné odvody</w:t>
      </w:r>
      <w:r w:rsidRPr="0055452F">
        <w:t xml:space="preserve"> kopírují navýšení mzdových prostředků. </w:t>
      </w:r>
    </w:p>
    <w:p w14:paraId="2C28AB3F" w14:textId="572A0935" w:rsidR="00BF78FC" w:rsidRPr="004E109E" w:rsidRDefault="00BF78FC" w:rsidP="00BF78FC">
      <w:pPr>
        <w:pStyle w:val="Zkladntext211"/>
        <w:spacing w:after="240"/>
        <w:ind w:firstLine="567"/>
      </w:pPr>
      <w:r w:rsidRPr="0055452F">
        <w:rPr>
          <w:b/>
        </w:rPr>
        <w:t>OBV</w:t>
      </w:r>
      <w:r w:rsidRPr="0055452F">
        <w:t xml:space="preserve"> </w:t>
      </w:r>
      <w:r w:rsidRPr="002A443D">
        <w:t xml:space="preserve">pro MŠMT jsou rozpisem rozpočtu navrženy ve výši </w:t>
      </w:r>
      <w:r w:rsidRPr="002A443D">
        <w:rPr>
          <w:b/>
        </w:rPr>
        <w:t xml:space="preserve">cca </w:t>
      </w:r>
      <w:r w:rsidR="00CB3D1B">
        <w:rPr>
          <w:b/>
        </w:rPr>
        <w:t>110 698 246 Kč tj. </w:t>
      </w:r>
      <w:r w:rsidRPr="00CB344F">
        <w:rPr>
          <w:b/>
        </w:rPr>
        <w:t>o 4</w:t>
      </w:r>
      <w:r w:rsidR="00543422">
        <w:rPr>
          <w:b/>
        </w:rPr>
        <w:t> </w:t>
      </w:r>
      <w:r w:rsidRPr="00CB344F">
        <w:rPr>
          <w:b/>
        </w:rPr>
        <w:t>399</w:t>
      </w:r>
      <w:r w:rsidR="00543422">
        <w:rPr>
          <w:b/>
        </w:rPr>
        <w:t xml:space="preserve"> </w:t>
      </w:r>
      <w:r w:rsidRPr="00CB344F">
        <w:rPr>
          <w:b/>
        </w:rPr>
        <w:t xml:space="preserve">776 Kč </w:t>
      </w:r>
      <w:r w:rsidRPr="00CB344F">
        <w:t>(</w:t>
      </w:r>
      <w:r w:rsidRPr="002A443D">
        <w:t>o 3,8 %)</w:t>
      </w:r>
      <w:r w:rsidRPr="002A443D">
        <w:rPr>
          <w:b/>
        </w:rPr>
        <w:t xml:space="preserve"> méně oproti roku 2018</w:t>
      </w:r>
      <w:r w:rsidRPr="002A443D">
        <w:t>. Snížení je způsobeno trv</w:t>
      </w:r>
      <w:r>
        <w:t>a</w:t>
      </w:r>
      <w:r w:rsidRPr="002A443D">
        <w:t xml:space="preserve">lým </w:t>
      </w:r>
      <w:r w:rsidRPr="004E109E">
        <w:t>přesunem výdajů ze státní správy do OP</w:t>
      </w:r>
      <w:r>
        <w:t>Ř</w:t>
      </w:r>
      <w:r w:rsidRPr="004E109E">
        <w:t xml:space="preserve">O na Study </w:t>
      </w:r>
      <w:r>
        <w:t>I</w:t>
      </w:r>
      <w:r w:rsidRPr="004E109E">
        <w:t>n. OBV, zahrnují výdaje:</w:t>
      </w:r>
    </w:p>
    <w:p w14:paraId="2F3E65AE" w14:textId="77777777" w:rsidR="00BF78FC" w:rsidRPr="004E109E" w:rsidRDefault="00BF78FC" w:rsidP="005B6E93">
      <w:pPr>
        <w:pStyle w:val="Zkladntext211"/>
        <w:numPr>
          <w:ilvl w:val="0"/>
          <w:numId w:val="42"/>
        </w:numPr>
        <w:ind w:left="1069"/>
        <w:rPr>
          <w:i/>
        </w:rPr>
      </w:pPr>
      <w:r w:rsidRPr="004E109E">
        <w:t xml:space="preserve">pro </w:t>
      </w:r>
      <w:r w:rsidRPr="004E109E">
        <w:rPr>
          <w:u w:val="single"/>
        </w:rPr>
        <w:t>vlastní MŠMT</w:t>
      </w:r>
      <w:r w:rsidRPr="004E109E">
        <w:t xml:space="preserve"> (správu úřadu) ve výši </w:t>
      </w:r>
      <w:r w:rsidRPr="004E109E">
        <w:rPr>
          <w:b/>
        </w:rPr>
        <w:t>38</w:t>
      </w:r>
      <w:r>
        <w:rPr>
          <w:b/>
        </w:rPr>
        <w:t> </w:t>
      </w:r>
      <w:r w:rsidRPr="004E109E">
        <w:rPr>
          <w:b/>
        </w:rPr>
        <w:t>883</w:t>
      </w:r>
      <w:r>
        <w:rPr>
          <w:b/>
        </w:rPr>
        <w:t xml:space="preserve"> 225</w:t>
      </w:r>
      <w:r w:rsidRPr="004E109E">
        <w:rPr>
          <w:b/>
        </w:rPr>
        <w:t xml:space="preserve"> Kč - </w:t>
      </w:r>
      <w:r w:rsidRPr="004E109E">
        <w:t>uvedený rozpočet vytváří podmínky pro zabezpečení nezbytné činnosti vlastního MŠMT;</w:t>
      </w:r>
    </w:p>
    <w:p w14:paraId="07CF9D3B" w14:textId="77777777" w:rsidR="00BF78FC" w:rsidRPr="004E109E" w:rsidRDefault="00BF78FC" w:rsidP="00BF78FC">
      <w:pPr>
        <w:pStyle w:val="Zkladntext211"/>
        <w:ind w:left="1059"/>
        <w:rPr>
          <w:i/>
          <w:color w:val="2E74B5"/>
          <w:sz w:val="12"/>
          <w:szCs w:val="12"/>
        </w:rPr>
      </w:pPr>
    </w:p>
    <w:p w14:paraId="42CF8BD1" w14:textId="77777777" w:rsidR="00BF78FC" w:rsidRPr="003B55EF" w:rsidRDefault="00BF78FC" w:rsidP="005B6E93">
      <w:pPr>
        <w:pStyle w:val="Zkladntext211"/>
        <w:numPr>
          <w:ilvl w:val="0"/>
          <w:numId w:val="42"/>
        </w:numPr>
        <w:ind w:left="1069"/>
        <w:rPr>
          <w:i/>
        </w:rPr>
      </w:pPr>
      <w:r>
        <w:rPr>
          <w:u w:val="single"/>
        </w:rPr>
        <w:t xml:space="preserve">na správu </w:t>
      </w:r>
      <w:r w:rsidRPr="003B55EF">
        <w:rPr>
          <w:u w:val="single"/>
        </w:rPr>
        <w:t xml:space="preserve">a </w:t>
      </w:r>
      <w:r>
        <w:rPr>
          <w:u w:val="single"/>
        </w:rPr>
        <w:t>údržbu</w:t>
      </w:r>
      <w:r w:rsidRPr="00DA53D1">
        <w:rPr>
          <w:u w:val="single"/>
        </w:rPr>
        <w:t xml:space="preserve"> ICT</w:t>
      </w:r>
      <w:r w:rsidRPr="003B55EF">
        <w:t xml:space="preserve"> ve výši </w:t>
      </w:r>
      <w:r w:rsidRPr="003B55EF">
        <w:rPr>
          <w:b/>
        </w:rPr>
        <w:t>24</w:t>
      </w:r>
      <w:r>
        <w:rPr>
          <w:b/>
        </w:rPr>
        <w:t> 365 993</w:t>
      </w:r>
      <w:r w:rsidRPr="003B55EF">
        <w:rPr>
          <w:b/>
        </w:rPr>
        <w:t xml:space="preserve"> Kč</w:t>
      </w:r>
      <w:r w:rsidRPr="003B55EF">
        <w:t xml:space="preserve"> (proti roku 2018 se jedná </w:t>
      </w:r>
      <w:r>
        <w:t>o </w:t>
      </w:r>
      <w:r w:rsidR="009059F9">
        <w:t xml:space="preserve">snížení o 68 </w:t>
      </w:r>
      <w:r w:rsidRPr="003B55EF">
        <w:t>4</w:t>
      </w:r>
      <w:r w:rsidR="003F19D4">
        <w:t>35</w:t>
      </w:r>
      <w:r w:rsidRPr="003B55EF">
        <w:t> Kč – přesun na agendy odboru 15);</w:t>
      </w:r>
    </w:p>
    <w:p w14:paraId="2F33B149" w14:textId="77777777" w:rsidR="00BF78FC" w:rsidRPr="00CF61ED" w:rsidRDefault="00BF78FC" w:rsidP="00BF78FC">
      <w:pPr>
        <w:pStyle w:val="Zkladntext211"/>
        <w:ind w:left="349"/>
        <w:rPr>
          <w:i/>
          <w:color w:val="2E74B5"/>
          <w:sz w:val="12"/>
          <w:szCs w:val="12"/>
          <w:highlight w:val="yellow"/>
        </w:rPr>
      </w:pPr>
    </w:p>
    <w:p w14:paraId="6D25079F" w14:textId="7648D287" w:rsidR="00BF78FC" w:rsidRPr="00DE19E2" w:rsidRDefault="00BF78FC" w:rsidP="005B6E93">
      <w:pPr>
        <w:pStyle w:val="Zkladntext211"/>
        <w:numPr>
          <w:ilvl w:val="0"/>
          <w:numId w:val="42"/>
        </w:numPr>
        <w:tabs>
          <w:tab w:val="num" w:pos="709"/>
        </w:tabs>
        <w:ind w:left="1069"/>
        <w:rPr>
          <w:i/>
        </w:rPr>
      </w:pPr>
      <w:r w:rsidRPr="003B55EF">
        <w:rPr>
          <w:u w:val="single"/>
        </w:rPr>
        <w:t>na zahraniční cesty zaměstnanců MŠMT</w:t>
      </w:r>
      <w:r w:rsidRPr="003B55EF">
        <w:t xml:space="preserve"> ve výši </w:t>
      </w:r>
      <w:r w:rsidRPr="003B55EF">
        <w:rPr>
          <w:b/>
        </w:rPr>
        <w:t>6</w:t>
      </w:r>
      <w:r>
        <w:rPr>
          <w:b/>
        </w:rPr>
        <w:t> </w:t>
      </w:r>
      <w:r w:rsidRPr="003B55EF">
        <w:rPr>
          <w:b/>
        </w:rPr>
        <w:t>2</w:t>
      </w:r>
      <w:r>
        <w:rPr>
          <w:b/>
        </w:rPr>
        <w:t>4</w:t>
      </w:r>
      <w:r w:rsidRPr="003B55EF">
        <w:rPr>
          <w:b/>
        </w:rPr>
        <w:t>5</w:t>
      </w:r>
      <w:r>
        <w:rPr>
          <w:b/>
        </w:rPr>
        <w:t xml:space="preserve"> 125</w:t>
      </w:r>
      <w:r w:rsidRPr="003B55EF">
        <w:rPr>
          <w:b/>
        </w:rPr>
        <w:t xml:space="preserve"> Kč</w:t>
      </w:r>
      <w:r w:rsidRPr="003B55EF">
        <w:t xml:space="preserve"> (přesun </w:t>
      </w:r>
      <w:r>
        <w:t>4 000</w:t>
      </w:r>
      <w:r w:rsidR="003174B4">
        <w:t> </w:t>
      </w:r>
      <w:r>
        <w:t>000</w:t>
      </w:r>
      <w:r w:rsidR="003174B4">
        <w:t> </w:t>
      </w:r>
      <w:r w:rsidRPr="003B55EF">
        <w:t xml:space="preserve">Kč na DZS – Study In), </w:t>
      </w:r>
      <w:r w:rsidRPr="003B55EF">
        <w:rPr>
          <w:u w:val="single"/>
        </w:rPr>
        <w:t xml:space="preserve">dárkový sklad </w:t>
      </w:r>
      <w:r w:rsidRPr="003B55EF">
        <w:t xml:space="preserve">ve výši </w:t>
      </w:r>
      <w:r w:rsidRPr="003B55EF">
        <w:rPr>
          <w:b/>
        </w:rPr>
        <w:t>398</w:t>
      </w:r>
      <w:r>
        <w:rPr>
          <w:b/>
        </w:rPr>
        <w:t xml:space="preserve"> </w:t>
      </w:r>
      <w:r w:rsidRPr="003B55EF">
        <w:rPr>
          <w:b/>
        </w:rPr>
        <w:t>8</w:t>
      </w:r>
      <w:r>
        <w:rPr>
          <w:b/>
        </w:rPr>
        <w:t xml:space="preserve">25 </w:t>
      </w:r>
      <w:r w:rsidRPr="003B55EF">
        <w:rPr>
          <w:b/>
        </w:rPr>
        <w:t>Kč,</w:t>
      </w:r>
      <w:r>
        <w:t xml:space="preserve"> výdaje na </w:t>
      </w:r>
      <w:r w:rsidRPr="003B55EF">
        <w:rPr>
          <w:u w:val="single"/>
        </w:rPr>
        <w:t xml:space="preserve">pohoštění a drobné dary </w:t>
      </w:r>
      <w:r w:rsidRPr="003B55EF">
        <w:t xml:space="preserve">ve výši </w:t>
      </w:r>
      <w:r w:rsidRPr="003B55EF">
        <w:rPr>
          <w:b/>
        </w:rPr>
        <w:t>50</w:t>
      </w:r>
      <w:r>
        <w:rPr>
          <w:b/>
        </w:rPr>
        <w:t xml:space="preserve"> 000</w:t>
      </w:r>
      <w:r w:rsidRPr="003B55EF">
        <w:rPr>
          <w:b/>
        </w:rPr>
        <w:t> </w:t>
      </w:r>
      <w:r w:rsidRPr="00DE19E2">
        <w:rPr>
          <w:b/>
        </w:rPr>
        <w:t xml:space="preserve">Kč </w:t>
      </w:r>
      <w:r w:rsidRPr="00DE19E2">
        <w:t xml:space="preserve">a na ostatní úkoly ve výši </w:t>
      </w:r>
      <w:r w:rsidRPr="00DE19E2">
        <w:rPr>
          <w:b/>
        </w:rPr>
        <w:t>12</w:t>
      </w:r>
      <w:r w:rsidR="00E65EE1">
        <w:rPr>
          <w:b/>
        </w:rPr>
        <w:t> </w:t>
      </w:r>
      <w:r>
        <w:rPr>
          <w:b/>
        </w:rPr>
        <w:t>000</w:t>
      </w:r>
      <w:r w:rsidR="00E65EE1">
        <w:rPr>
          <w:b/>
        </w:rPr>
        <w:t> </w:t>
      </w:r>
      <w:r w:rsidRPr="00DE19E2">
        <w:rPr>
          <w:b/>
        </w:rPr>
        <w:t>Kč</w:t>
      </w:r>
      <w:r w:rsidRPr="00DE19E2">
        <w:t>;</w:t>
      </w:r>
    </w:p>
    <w:p w14:paraId="40A25141" w14:textId="77777777" w:rsidR="00BF78FC" w:rsidRPr="00DE19E2" w:rsidRDefault="00BF78FC" w:rsidP="00BF78FC">
      <w:pPr>
        <w:pStyle w:val="Zkladntext211"/>
        <w:ind w:left="349"/>
        <w:rPr>
          <w:i/>
          <w:color w:val="2E74B5"/>
          <w:sz w:val="12"/>
          <w:szCs w:val="12"/>
        </w:rPr>
      </w:pPr>
    </w:p>
    <w:p w14:paraId="2E13F312" w14:textId="77777777" w:rsidR="00BF78FC" w:rsidRPr="003B55EF" w:rsidRDefault="00BF78FC" w:rsidP="005B6E93">
      <w:pPr>
        <w:pStyle w:val="Zkladntext211"/>
        <w:numPr>
          <w:ilvl w:val="0"/>
          <w:numId w:val="42"/>
        </w:numPr>
        <w:ind w:left="1069"/>
        <w:rPr>
          <w:i/>
        </w:rPr>
      </w:pPr>
      <w:r w:rsidRPr="003B55EF">
        <w:rPr>
          <w:u w:val="single"/>
        </w:rPr>
        <w:t>na školení a vzdělávání pracovníků MŠMT</w:t>
      </w:r>
      <w:r w:rsidRPr="003B55EF">
        <w:t xml:space="preserve"> ve výši </w:t>
      </w:r>
      <w:r w:rsidRPr="003B55EF">
        <w:rPr>
          <w:b/>
        </w:rPr>
        <w:t>2</w:t>
      </w:r>
      <w:r>
        <w:rPr>
          <w:b/>
        </w:rPr>
        <w:t> </w:t>
      </w:r>
      <w:r w:rsidRPr="003B55EF">
        <w:rPr>
          <w:b/>
        </w:rPr>
        <w:t>500</w:t>
      </w:r>
      <w:r>
        <w:rPr>
          <w:b/>
        </w:rPr>
        <w:t xml:space="preserve"> 000</w:t>
      </w:r>
      <w:r w:rsidRPr="003B55EF">
        <w:rPr>
          <w:b/>
        </w:rPr>
        <w:t xml:space="preserve"> Kč</w:t>
      </w:r>
      <w:r w:rsidRPr="003B55EF">
        <w:t>;</w:t>
      </w:r>
    </w:p>
    <w:p w14:paraId="4E60C5D1" w14:textId="77777777" w:rsidR="00BF78FC" w:rsidRPr="00CF61ED" w:rsidRDefault="00BF78FC" w:rsidP="00BF78FC">
      <w:pPr>
        <w:pStyle w:val="Zkladntext211"/>
        <w:ind w:left="349"/>
        <w:rPr>
          <w:i/>
          <w:sz w:val="12"/>
          <w:szCs w:val="12"/>
          <w:highlight w:val="yellow"/>
        </w:rPr>
      </w:pPr>
    </w:p>
    <w:p w14:paraId="7191B951" w14:textId="3CD2252A" w:rsidR="00BF78FC" w:rsidRPr="003B55EF" w:rsidRDefault="00BF78FC" w:rsidP="005B6E93">
      <w:pPr>
        <w:pStyle w:val="Zkladntext211"/>
        <w:numPr>
          <w:ilvl w:val="0"/>
          <w:numId w:val="42"/>
        </w:numPr>
        <w:ind w:left="1069"/>
        <w:rPr>
          <w:i/>
        </w:rPr>
      </w:pPr>
      <w:r w:rsidRPr="003B55EF">
        <w:rPr>
          <w:u w:val="single"/>
        </w:rPr>
        <w:t>k zabezpečení náhrad za prvních 14 dní pracovní neschopnosti</w:t>
      </w:r>
      <w:r w:rsidRPr="003B55EF">
        <w:t xml:space="preserve"> ve výši </w:t>
      </w:r>
      <w:r>
        <w:rPr>
          <w:b/>
        </w:rPr>
        <w:t>1 </w:t>
      </w:r>
      <w:r w:rsidRPr="003B55EF">
        <w:rPr>
          <w:b/>
        </w:rPr>
        <w:t>001</w:t>
      </w:r>
      <w:r w:rsidR="00E65EE1">
        <w:rPr>
          <w:b/>
        </w:rPr>
        <w:t> </w:t>
      </w:r>
      <w:r>
        <w:rPr>
          <w:b/>
        </w:rPr>
        <w:t>500</w:t>
      </w:r>
      <w:r w:rsidR="00E65EE1">
        <w:rPr>
          <w:b/>
        </w:rPr>
        <w:t> </w:t>
      </w:r>
      <w:r w:rsidRPr="003B55EF">
        <w:rPr>
          <w:b/>
        </w:rPr>
        <w:t>Kč</w:t>
      </w:r>
      <w:r w:rsidRPr="003B55EF">
        <w:t>;</w:t>
      </w:r>
    </w:p>
    <w:p w14:paraId="7E7F42D2" w14:textId="77777777" w:rsidR="00BF78FC" w:rsidRPr="00CF61ED" w:rsidRDefault="00BF78FC" w:rsidP="00BF78FC">
      <w:pPr>
        <w:pStyle w:val="Zkladntext211"/>
        <w:ind w:left="349"/>
        <w:rPr>
          <w:i/>
          <w:color w:val="2E74B5"/>
          <w:sz w:val="12"/>
          <w:szCs w:val="12"/>
          <w:highlight w:val="yellow"/>
        </w:rPr>
      </w:pPr>
    </w:p>
    <w:p w14:paraId="73336FCB" w14:textId="77777777" w:rsidR="00BF78FC" w:rsidRPr="00F001F1" w:rsidRDefault="00BF78FC" w:rsidP="005B6E93">
      <w:pPr>
        <w:pStyle w:val="Zkladntext211"/>
        <w:numPr>
          <w:ilvl w:val="0"/>
          <w:numId w:val="42"/>
        </w:numPr>
        <w:ind w:left="1069"/>
        <w:rPr>
          <w:b/>
          <w:i/>
        </w:rPr>
      </w:pPr>
      <w:r w:rsidRPr="00F001F1">
        <w:rPr>
          <w:u w:val="single"/>
        </w:rPr>
        <w:t>k zabezpečení lékařských prohlídek</w:t>
      </w:r>
      <w:r w:rsidRPr="0058337C">
        <w:t xml:space="preserve"> </w:t>
      </w:r>
      <w:r w:rsidRPr="00F001F1">
        <w:t>ve výši</w:t>
      </w:r>
      <w:r>
        <w:t xml:space="preserve"> </w:t>
      </w:r>
      <w:r w:rsidRPr="00F001F1">
        <w:rPr>
          <w:b/>
        </w:rPr>
        <w:t>300</w:t>
      </w:r>
      <w:r>
        <w:rPr>
          <w:b/>
        </w:rPr>
        <w:t xml:space="preserve"> 000</w:t>
      </w:r>
      <w:r w:rsidRPr="00F001F1">
        <w:rPr>
          <w:b/>
        </w:rPr>
        <w:t xml:space="preserve"> Kč;</w:t>
      </w:r>
    </w:p>
    <w:p w14:paraId="1754A22E" w14:textId="77777777" w:rsidR="00BF78FC" w:rsidRPr="00CF61ED" w:rsidRDefault="00BF78FC" w:rsidP="00BF78FC">
      <w:pPr>
        <w:pStyle w:val="Zkladntext211"/>
        <w:ind w:left="349"/>
        <w:rPr>
          <w:b/>
          <w:i/>
          <w:color w:val="2E74B5"/>
          <w:sz w:val="12"/>
          <w:szCs w:val="12"/>
          <w:highlight w:val="yellow"/>
        </w:rPr>
      </w:pPr>
    </w:p>
    <w:p w14:paraId="24DE73B0" w14:textId="77777777" w:rsidR="00BF78FC" w:rsidRPr="003B55EF" w:rsidRDefault="00BF78FC" w:rsidP="005B6E93">
      <w:pPr>
        <w:pStyle w:val="Zkladntext211"/>
        <w:numPr>
          <w:ilvl w:val="0"/>
          <w:numId w:val="42"/>
        </w:numPr>
        <w:ind w:left="1069"/>
        <w:rPr>
          <w:b/>
          <w:i/>
        </w:rPr>
      </w:pPr>
      <w:r w:rsidRPr="003B55EF">
        <w:rPr>
          <w:u w:val="single"/>
        </w:rPr>
        <w:t>odborných knih a časopisů, pracovních úrazů a dalších náhrad</w:t>
      </w:r>
      <w:r w:rsidRPr="003B55EF">
        <w:t xml:space="preserve"> ve výši </w:t>
      </w:r>
      <w:r w:rsidRPr="00DE19E2">
        <w:rPr>
          <w:b/>
        </w:rPr>
        <w:t>93</w:t>
      </w:r>
      <w:r w:rsidRPr="003B55EF">
        <w:rPr>
          <w:b/>
        </w:rPr>
        <w:t>9</w:t>
      </w:r>
      <w:r>
        <w:rPr>
          <w:b/>
        </w:rPr>
        <w:t xml:space="preserve"> 600</w:t>
      </w:r>
      <w:r w:rsidRPr="003B55EF">
        <w:rPr>
          <w:b/>
        </w:rPr>
        <w:t xml:space="preserve"> Kč;</w:t>
      </w:r>
      <w:r>
        <w:rPr>
          <w:b/>
        </w:rPr>
        <w:t xml:space="preserve"> </w:t>
      </w:r>
    </w:p>
    <w:p w14:paraId="0508EA87" w14:textId="77777777" w:rsidR="00BF78FC" w:rsidRPr="003B55EF" w:rsidRDefault="00BF78FC" w:rsidP="00BF78FC">
      <w:pPr>
        <w:pStyle w:val="Zkladntext211"/>
        <w:ind w:left="349"/>
        <w:rPr>
          <w:i/>
          <w:color w:val="2E74B5"/>
          <w:sz w:val="12"/>
          <w:szCs w:val="12"/>
        </w:rPr>
      </w:pPr>
    </w:p>
    <w:p w14:paraId="4219EA60" w14:textId="77777777" w:rsidR="00BF78FC" w:rsidRDefault="00BF78FC" w:rsidP="005B6E93">
      <w:pPr>
        <w:pStyle w:val="Zkladntext211"/>
        <w:numPr>
          <w:ilvl w:val="0"/>
          <w:numId w:val="42"/>
        </w:numPr>
        <w:ind w:left="1069"/>
      </w:pPr>
      <w:r w:rsidRPr="00DE19E2">
        <w:rPr>
          <w:u w:val="single"/>
        </w:rPr>
        <w:t>pro potřeby NAÚ</w:t>
      </w:r>
      <w:r w:rsidRPr="00DE19E2">
        <w:t xml:space="preserve"> je zabezpečena částka ve výši </w:t>
      </w:r>
      <w:r w:rsidRPr="00DE19E2">
        <w:rPr>
          <w:b/>
        </w:rPr>
        <w:t>1</w:t>
      </w:r>
      <w:r>
        <w:rPr>
          <w:b/>
        </w:rPr>
        <w:t> </w:t>
      </w:r>
      <w:r w:rsidRPr="00DE19E2">
        <w:rPr>
          <w:b/>
        </w:rPr>
        <w:t>700</w:t>
      </w:r>
      <w:r>
        <w:rPr>
          <w:b/>
        </w:rPr>
        <w:t xml:space="preserve"> 000</w:t>
      </w:r>
      <w:r w:rsidRPr="00DE19E2">
        <w:rPr>
          <w:b/>
        </w:rPr>
        <w:t xml:space="preserve"> Kč</w:t>
      </w:r>
      <w:r w:rsidRPr="00DE19E2">
        <w:t>;</w:t>
      </w:r>
    </w:p>
    <w:p w14:paraId="77413A97" w14:textId="77777777" w:rsidR="00BF78FC" w:rsidRPr="000A3A4A" w:rsidRDefault="00BF78FC" w:rsidP="00BF78FC">
      <w:pPr>
        <w:pStyle w:val="Zkladntext211"/>
        <w:rPr>
          <w:sz w:val="12"/>
          <w:szCs w:val="12"/>
        </w:rPr>
      </w:pPr>
    </w:p>
    <w:p w14:paraId="1C71AB45" w14:textId="62C18325" w:rsidR="00BF78FC" w:rsidRPr="00194EBD" w:rsidRDefault="00BF78FC" w:rsidP="005B6E93">
      <w:pPr>
        <w:pStyle w:val="Zkladntext211"/>
        <w:numPr>
          <w:ilvl w:val="0"/>
          <w:numId w:val="42"/>
        </w:numPr>
        <w:ind w:left="1069"/>
      </w:pPr>
      <w:r w:rsidRPr="00194EBD">
        <w:rPr>
          <w:szCs w:val="24"/>
          <w:u w:val="single"/>
        </w:rPr>
        <w:t xml:space="preserve">rezerva na zabezpečení nezbytných úkolů vlastního úřadu </w:t>
      </w:r>
      <w:r w:rsidRPr="00194EBD">
        <w:rPr>
          <w:szCs w:val="24"/>
        </w:rPr>
        <w:t xml:space="preserve">ve výši </w:t>
      </w:r>
      <w:r w:rsidRPr="00194EBD">
        <w:rPr>
          <w:b/>
          <w:szCs w:val="24"/>
        </w:rPr>
        <w:t>34 301 948 Kč</w:t>
      </w:r>
      <w:r w:rsidRPr="00194EBD">
        <w:rPr>
          <w:szCs w:val="24"/>
        </w:rPr>
        <w:t>, kde jsou vyčleněny finanční prostředky na nové, rozpočtem nezajištěné potřeby vlastního MŠMT, např. obnova ICT, nákup nábytku, řešení budovy Senovážné náměstí č. 24, zvýšené výdaje na služby atd.</w:t>
      </w:r>
      <w:r w:rsidRPr="00194EBD">
        <w:t xml:space="preserve"> </w:t>
      </w:r>
      <w:r w:rsidRPr="00194EBD">
        <w:rPr>
          <w:szCs w:val="24"/>
        </w:rPr>
        <w:t xml:space="preserve"> </w:t>
      </w:r>
    </w:p>
    <w:p w14:paraId="4FC425A5" w14:textId="77777777" w:rsidR="00BF78FC" w:rsidRPr="00194EBD" w:rsidRDefault="00BF78FC" w:rsidP="00BF78FC">
      <w:pPr>
        <w:pStyle w:val="Text"/>
      </w:pPr>
    </w:p>
    <w:p w14:paraId="32E511E5" w14:textId="5BA5A18D" w:rsidR="00BF78FC" w:rsidRDefault="00BF78FC" w:rsidP="00BF78FC">
      <w:pPr>
        <w:pStyle w:val="Zkladntext211"/>
        <w:rPr>
          <w:b/>
          <w:u w:val="single"/>
        </w:rPr>
      </w:pPr>
      <w:r w:rsidRPr="00E45973">
        <w:rPr>
          <w:b/>
          <w:u w:val="single"/>
        </w:rPr>
        <w:t>Rozpis rozpoč</w:t>
      </w:r>
      <w:r>
        <w:rPr>
          <w:b/>
          <w:u w:val="single"/>
        </w:rPr>
        <w:t>tu běžných výdajů MŠMT v r. 2019</w:t>
      </w:r>
      <w:r w:rsidR="0068494F">
        <w:rPr>
          <w:rStyle w:val="Znakapoznpodarou"/>
          <w:b/>
          <w:u w:val="single"/>
        </w:rPr>
        <w:footnoteReference w:id="31"/>
      </w:r>
      <w:r w:rsidRPr="00E45973">
        <w:rPr>
          <w:b/>
          <w:u w:val="single"/>
        </w:rPr>
        <w:t>:</w:t>
      </w:r>
    </w:p>
    <w:p w14:paraId="18EC47B3" w14:textId="77777777" w:rsidR="00EC3706" w:rsidRPr="00E45973" w:rsidRDefault="00EC3706" w:rsidP="00BF78FC">
      <w:pPr>
        <w:pStyle w:val="Zkladntext211"/>
        <w:rPr>
          <w:b/>
          <w:u w:val="single"/>
        </w:rPr>
      </w:pPr>
    </w:p>
    <w:tbl>
      <w:tblPr>
        <w:tblW w:w="0" w:type="auto"/>
        <w:tblInd w:w="55" w:type="dxa"/>
        <w:tblCellMar>
          <w:left w:w="70" w:type="dxa"/>
          <w:right w:w="70" w:type="dxa"/>
        </w:tblCellMar>
        <w:tblLook w:val="04A0" w:firstRow="1" w:lastRow="0" w:firstColumn="1" w:lastColumn="0" w:noHBand="0" w:noVBand="1"/>
      </w:tblPr>
      <w:tblGrid>
        <w:gridCol w:w="9009"/>
        <w:gridCol w:w="146"/>
      </w:tblGrid>
      <w:tr w:rsidR="00EC3706" w:rsidRPr="00EC3706" w14:paraId="01AB2203" w14:textId="77777777" w:rsidTr="00EC3706">
        <w:trPr>
          <w:trHeight w:val="315"/>
        </w:trPr>
        <w:tc>
          <w:tcPr>
            <w:tcW w:w="9009" w:type="dxa"/>
            <w:tcBorders>
              <w:top w:val="nil"/>
              <w:left w:val="nil"/>
              <w:bottom w:val="nil"/>
              <w:right w:val="nil"/>
            </w:tcBorders>
            <w:shd w:val="clear" w:color="auto" w:fill="auto"/>
            <w:noWrap/>
            <w:vAlign w:val="center"/>
          </w:tcPr>
          <w:tbl>
            <w:tblPr>
              <w:tblW w:w="8606" w:type="dxa"/>
              <w:tblCellMar>
                <w:left w:w="70" w:type="dxa"/>
                <w:right w:w="70" w:type="dxa"/>
              </w:tblCellMar>
              <w:tblLook w:val="04A0" w:firstRow="1" w:lastRow="0" w:firstColumn="1" w:lastColumn="0" w:noHBand="0" w:noVBand="1"/>
            </w:tblPr>
            <w:tblGrid>
              <w:gridCol w:w="654"/>
              <w:gridCol w:w="4963"/>
              <w:gridCol w:w="2989"/>
            </w:tblGrid>
            <w:tr w:rsidR="00EC3706" w:rsidRPr="00EC3706" w14:paraId="172CE78E" w14:textId="77777777" w:rsidTr="00EC3706">
              <w:trPr>
                <w:trHeight w:val="315"/>
              </w:trPr>
              <w:tc>
                <w:tcPr>
                  <w:tcW w:w="5617" w:type="dxa"/>
                  <w:gridSpan w:val="2"/>
                  <w:tcBorders>
                    <w:top w:val="nil"/>
                    <w:left w:val="nil"/>
                    <w:bottom w:val="nil"/>
                    <w:right w:val="nil"/>
                  </w:tcBorders>
                  <w:shd w:val="clear" w:color="auto" w:fill="auto"/>
                  <w:noWrap/>
                  <w:vAlign w:val="center"/>
                  <w:hideMark/>
                </w:tcPr>
                <w:p w14:paraId="3B8758C6" w14:textId="77777777" w:rsidR="00EC3706" w:rsidRPr="00EC3706" w:rsidRDefault="00EC3706" w:rsidP="00EC3706">
                  <w:pPr>
                    <w:jc w:val="left"/>
                    <w:rPr>
                      <w:b/>
                      <w:bCs/>
                      <w:color w:val="000000"/>
                      <w:szCs w:val="24"/>
                    </w:rPr>
                  </w:pPr>
                  <w:r w:rsidRPr="00EC3706">
                    <w:rPr>
                      <w:b/>
                      <w:bCs/>
                      <w:color w:val="000000"/>
                      <w:szCs w:val="24"/>
                    </w:rPr>
                    <w:t>Sekce státního tajemníka:</w:t>
                  </w:r>
                </w:p>
              </w:tc>
              <w:tc>
                <w:tcPr>
                  <w:tcW w:w="2989" w:type="dxa"/>
                  <w:tcBorders>
                    <w:top w:val="nil"/>
                    <w:left w:val="nil"/>
                    <w:bottom w:val="nil"/>
                    <w:right w:val="nil"/>
                  </w:tcBorders>
                  <w:shd w:val="clear" w:color="auto" w:fill="auto"/>
                  <w:noWrap/>
                  <w:vAlign w:val="center"/>
                  <w:hideMark/>
                </w:tcPr>
                <w:p w14:paraId="526566FD" w14:textId="77777777" w:rsidR="00EC3706" w:rsidRPr="00EC3706" w:rsidRDefault="00EC3706" w:rsidP="00EC3706">
                  <w:pPr>
                    <w:jc w:val="right"/>
                    <w:rPr>
                      <w:b/>
                      <w:bCs/>
                      <w:color w:val="000000"/>
                      <w:szCs w:val="24"/>
                    </w:rPr>
                  </w:pPr>
                  <w:r w:rsidRPr="00EC3706">
                    <w:rPr>
                      <w:b/>
                      <w:bCs/>
                      <w:color w:val="000000"/>
                      <w:szCs w:val="24"/>
                    </w:rPr>
                    <w:t>427 634 990 Kč</w:t>
                  </w:r>
                </w:p>
              </w:tc>
            </w:tr>
            <w:tr w:rsidR="00EC3706" w:rsidRPr="00EC3706" w14:paraId="35249CD4" w14:textId="77777777" w:rsidTr="00EC3706">
              <w:trPr>
                <w:trHeight w:val="315"/>
              </w:trPr>
              <w:tc>
                <w:tcPr>
                  <w:tcW w:w="654" w:type="dxa"/>
                  <w:tcBorders>
                    <w:top w:val="nil"/>
                    <w:left w:val="nil"/>
                    <w:bottom w:val="nil"/>
                    <w:right w:val="nil"/>
                  </w:tcBorders>
                  <w:shd w:val="clear" w:color="auto" w:fill="auto"/>
                  <w:vAlign w:val="center"/>
                  <w:hideMark/>
                </w:tcPr>
                <w:p w14:paraId="30BBFECA"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372A5ACF" w14:textId="77777777" w:rsidR="00EC3706" w:rsidRPr="00EC3706" w:rsidRDefault="00EC3706" w:rsidP="00EC3706">
                  <w:pPr>
                    <w:rPr>
                      <w:color w:val="000000"/>
                      <w:szCs w:val="24"/>
                    </w:rPr>
                  </w:pPr>
                  <w:r w:rsidRPr="00EC3706">
                    <w:rPr>
                      <w:color w:val="000000"/>
                      <w:szCs w:val="24"/>
                    </w:rPr>
                    <w:t>vlastní úřad platy vč. odvodů</w:t>
                  </w:r>
                </w:p>
              </w:tc>
              <w:tc>
                <w:tcPr>
                  <w:tcW w:w="2989" w:type="dxa"/>
                  <w:tcBorders>
                    <w:top w:val="nil"/>
                    <w:left w:val="nil"/>
                    <w:bottom w:val="nil"/>
                    <w:right w:val="nil"/>
                  </w:tcBorders>
                  <w:shd w:val="clear" w:color="auto" w:fill="auto"/>
                  <w:vAlign w:val="center"/>
                  <w:hideMark/>
                </w:tcPr>
                <w:p w14:paraId="6EEA7F5A" w14:textId="77777777" w:rsidR="00EC3706" w:rsidRPr="00EC3706" w:rsidRDefault="00EC3706" w:rsidP="00EC3706">
                  <w:pPr>
                    <w:jc w:val="right"/>
                    <w:rPr>
                      <w:color w:val="000000"/>
                      <w:szCs w:val="24"/>
                    </w:rPr>
                  </w:pPr>
                  <w:r w:rsidRPr="00EC3706">
                    <w:rPr>
                      <w:color w:val="000000"/>
                      <w:szCs w:val="24"/>
                    </w:rPr>
                    <w:t>389 161 738 Kč</w:t>
                  </w:r>
                </w:p>
              </w:tc>
            </w:tr>
            <w:tr w:rsidR="00EC3706" w:rsidRPr="00EC3706" w14:paraId="362685C0" w14:textId="77777777" w:rsidTr="00EC3706">
              <w:trPr>
                <w:trHeight w:val="315"/>
              </w:trPr>
              <w:tc>
                <w:tcPr>
                  <w:tcW w:w="654" w:type="dxa"/>
                  <w:tcBorders>
                    <w:top w:val="nil"/>
                    <w:left w:val="nil"/>
                    <w:bottom w:val="nil"/>
                    <w:right w:val="nil"/>
                  </w:tcBorders>
                  <w:shd w:val="clear" w:color="auto" w:fill="auto"/>
                  <w:vAlign w:val="center"/>
                  <w:hideMark/>
                </w:tcPr>
                <w:p w14:paraId="58A131AD"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3AFBB0AF" w14:textId="77777777" w:rsidR="00EC3706" w:rsidRPr="00EC3706" w:rsidRDefault="00EC3706" w:rsidP="00EC3706">
                  <w:pPr>
                    <w:rPr>
                      <w:color w:val="000000"/>
                      <w:szCs w:val="24"/>
                    </w:rPr>
                  </w:pPr>
                  <w:r w:rsidRPr="00EC3706">
                    <w:rPr>
                      <w:color w:val="000000"/>
                      <w:szCs w:val="24"/>
                    </w:rPr>
                    <w:t>dohody vč. odvodů</w:t>
                  </w:r>
                </w:p>
              </w:tc>
              <w:tc>
                <w:tcPr>
                  <w:tcW w:w="2989" w:type="dxa"/>
                  <w:tcBorders>
                    <w:top w:val="nil"/>
                    <w:left w:val="nil"/>
                    <w:bottom w:val="nil"/>
                    <w:right w:val="nil"/>
                  </w:tcBorders>
                  <w:shd w:val="clear" w:color="auto" w:fill="auto"/>
                  <w:vAlign w:val="center"/>
                  <w:hideMark/>
                </w:tcPr>
                <w:p w14:paraId="64B6068F" w14:textId="77777777" w:rsidR="00EC3706" w:rsidRPr="00EC3706" w:rsidRDefault="00EC3706" w:rsidP="00EC3706">
                  <w:pPr>
                    <w:jc w:val="right"/>
                    <w:rPr>
                      <w:color w:val="000000"/>
                      <w:szCs w:val="24"/>
                    </w:rPr>
                  </w:pPr>
                  <w:r w:rsidRPr="00EC3706">
                    <w:rPr>
                      <w:color w:val="000000"/>
                      <w:szCs w:val="24"/>
                    </w:rPr>
                    <w:t>33 732 152 Kč</w:t>
                  </w:r>
                </w:p>
              </w:tc>
            </w:tr>
            <w:tr w:rsidR="00EC3706" w:rsidRPr="00EC3706" w14:paraId="6137AFF3" w14:textId="77777777" w:rsidTr="00EC3706">
              <w:trPr>
                <w:trHeight w:val="315"/>
              </w:trPr>
              <w:tc>
                <w:tcPr>
                  <w:tcW w:w="654" w:type="dxa"/>
                  <w:tcBorders>
                    <w:top w:val="nil"/>
                    <w:left w:val="nil"/>
                    <w:bottom w:val="nil"/>
                    <w:right w:val="nil"/>
                  </w:tcBorders>
                  <w:shd w:val="clear" w:color="auto" w:fill="auto"/>
                  <w:vAlign w:val="center"/>
                  <w:hideMark/>
                </w:tcPr>
                <w:p w14:paraId="7EE5DC81"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r w:rsidRPr="00EC3706">
                    <w:rPr>
                      <w:rFonts w:eastAsia="Symbol"/>
                      <w:color w:val="000000"/>
                      <w:sz w:val="14"/>
                      <w:szCs w:val="14"/>
                    </w:rPr>
                    <w:t xml:space="preserve"> </w:t>
                  </w:r>
                </w:p>
              </w:tc>
              <w:tc>
                <w:tcPr>
                  <w:tcW w:w="4963" w:type="dxa"/>
                  <w:tcBorders>
                    <w:top w:val="nil"/>
                    <w:left w:val="nil"/>
                    <w:bottom w:val="nil"/>
                    <w:right w:val="nil"/>
                  </w:tcBorders>
                  <w:shd w:val="clear" w:color="auto" w:fill="auto"/>
                  <w:vAlign w:val="center"/>
                  <w:hideMark/>
                </w:tcPr>
                <w:p w14:paraId="53494530" w14:textId="77777777" w:rsidR="00EC3706" w:rsidRPr="00EC3706" w:rsidRDefault="00EC3706" w:rsidP="00EC3706">
                  <w:pPr>
                    <w:rPr>
                      <w:color w:val="000000"/>
                      <w:szCs w:val="24"/>
                    </w:rPr>
                  </w:pPr>
                  <w:r w:rsidRPr="00EC3706">
                    <w:rPr>
                      <w:color w:val="000000"/>
                      <w:szCs w:val="24"/>
                    </w:rPr>
                    <w:t>náhrady za nemoc</w:t>
                  </w:r>
                </w:p>
              </w:tc>
              <w:tc>
                <w:tcPr>
                  <w:tcW w:w="2989" w:type="dxa"/>
                  <w:tcBorders>
                    <w:top w:val="nil"/>
                    <w:left w:val="nil"/>
                    <w:bottom w:val="nil"/>
                    <w:right w:val="nil"/>
                  </w:tcBorders>
                  <w:shd w:val="clear" w:color="auto" w:fill="auto"/>
                  <w:vAlign w:val="center"/>
                  <w:hideMark/>
                </w:tcPr>
                <w:p w14:paraId="3CF013E3" w14:textId="77777777" w:rsidR="00EC3706" w:rsidRPr="00EC3706" w:rsidRDefault="00EC3706" w:rsidP="00EC3706">
                  <w:pPr>
                    <w:jc w:val="right"/>
                    <w:rPr>
                      <w:color w:val="000000"/>
                      <w:szCs w:val="24"/>
                    </w:rPr>
                  </w:pPr>
                  <w:r w:rsidRPr="00EC3706">
                    <w:rPr>
                      <w:color w:val="000000"/>
                      <w:szCs w:val="24"/>
                    </w:rPr>
                    <w:t>1 001 500 Kč</w:t>
                  </w:r>
                </w:p>
              </w:tc>
            </w:tr>
            <w:tr w:rsidR="00EC3706" w:rsidRPr="00EC3706" w14:paraId="2EEF0137" w14:textId="77777777" w:rsidTr="00EC3706">
              <w:trPr>
                <w:trHeight w:val="315"/>
              </w:trPr>
              <w:tc>
                <w:tcPr>
                  <w:tcW w:w="654" w:type="dxa"/>
                  <w:tcBorders>
                    <w:top w:val="nil"/>
                    <w:left w:val="nil"/>
                    <w:bottom w:val="nil"/>
                    <w:right w:val="nil"/>
                  </w:tcBorders>
                  <w:shd w:val="clear" w:color="auto" w:fill="auto"/>
                  <w:vAlign w:val="center"/>
                  <w:hideMark/>
                </w:tcPr>
                <w:p w14:paraId="3065D7DE"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r w:rsidRPr="00EC3706">
                    <w:rPr>
                      <w:rFonts w:eastAsia="Symbol"/>
                      <w:color w:val="000000"/>
                      <w:sz w:val="14"/>
                      <w:szCs w:val="14"/>
                    </w:rPr>
                    <w:t xml:space="preserve"> </w:t>
                  </w:r>
                </w:p>
              </w:tc>
              <w:tc>
                <w:tcPr>
                  <w:tcW w:w="4963" w:type="dxa"/>
                  <w:tcBorders>
                    <w:top w:val="nil"/>
                    <w:left w:val="nil"/>
                    <w:bottom w:val="nil"/>
                    <w:right w:val="nil"/>
                  </w:tcBorders>
                  <w:shd w:val="clear" w:color="auto" w:fill="auto"/>
                  <w:vAlign w:val="center"/>
                  <w:hideMark/>
                </w:tcPr>
                <w:p w14:paraId="4E172A47" w14:textId="77777777" w:rsidR="00EC3706" w:rsidRPr="00EC3706" w:rsidRDefault="00EC3706" w:rsidP="00EC3706">
                  <w:pPr>
                    <w:rPr>
                      <w:color w:val="000000"/>
                      <w:szCs w:val="24"/>
                    </w:rPr>
                  </w:pPr>
                  <w:r w:rsidRPr="00EC3706">
                    <w:rPr>
                      <w:color w:val="000000"/>
                      <w:szCs w:val="24"/>
                    </w:rPr>
                    <w:t>školení zaměstnanců</w:t>
                  </w:r>
                </w:p>
              </w:tc>
              <w:tc>
                <w:tcPr>
                  <w:tcW w:w="2989" w:type="dxa"/>
                  <w:tcBorders>
                    <w:top w:val="nil"/>
                    <w:left w:val="nil"/>
                    <w:bottom w:val="nil"/>
                    <w:right w:val="nil"/>
                  </w:tcBorders>
                  <w:shd w:val="clear" w:color="auto" w:fill="auto"/>
                  <w:vAlign w:val="center"/>
                  <w:hideMark/>
                </w:tcPr>
                <w:p w14:paraId="69BDBC55" w14:textId="77777777" w:rsidR="00EC3706" w:rsidRPr="00EC3706" w:rsidRDefault="00EC3706" w:rsidP="00EC3706">
                  <w:pPr>
                    <w:jc w:val="right"/>
                    <w:rPr>
                      <w:color w:val="000000"/>
                      <w:szCs w:val="24"/>
                    </w:rPr>
                  </w:pPr>
                  <w:r w:rsidRPr="00EC3706">
                    <w:rPr>
                      <w:color w:val="000000"/>
                      <w:szCs w:val="24"/>
                    </w:rPr>
                    <w:t>2 500 000 Kč</w:t>
                  </w:r>
                </w:p>
              </w:tc>
            </w:tr>
            <w:tr w:rsidR="00EC3706" w:rsidRPr="00EC3706" w14:paraId="0B49D61A" w14:textId="77777777" w:rsidTr="00EC3706">
              <w:trPr>
                <w:trHeight w:val="315"/>
              </w:trPr>
              <w:tc>
                <w:tcPr>
                  <w:tcW w:w="654" w:type="dxa"/>
                  <w:tcBorders>
                    <w:top w:val="nil"/>
                    <w:left w:val="nil"/>
                    <w:bottom w:val="nil"/>
                    <w:right w:val="nil"/>
                  </w:tcBorders>
                  <w:shd w:val="clear" w:color="auto" w:fill="auto"/>
                  <w:vAlign w:val="center"/>
                  <w:hideMark/>
                </w:tcPr>
                <w:p w14:paraId="220E69E2"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r w:rsidRPr="00EC3706">
                    <w:rPr>
                      <w:rFonts w:eastAsia="Symbol"/>
                      <w:color w:val="000000"/>
                      <w:sz w:val="14"/>
                      <w:szCs w:val="14"/>
                    </w:rPr>
                    <w:t xml:space="preserve"> </w:t>
                  </w:r>
                </w:p>
              </w:tc>
              <w:tc>
                <w:tcPr>
                  <w:tcW w:w="4963" w:type="dxa"/>
                  <w:tcBorders>
                    <w:top w:val="nil"/>
                    <w:left w:val="nil"/>
                    <w:bottom w:val="nil"/>
                    <w:right w:val="nil"/>
                  </w:tcBorders>
                  <w:shd w:val="clear" w:color="auto" w:fill="auto"/>
                  <w:vAlign w:val="center"/>
                  <w:hideMark/>
                </w:tcPr>
                <w:p w14:paraId="1E00C0D8" w14:textId="77777777" w:rsidR="00EC3706" w:rsidRPr="00EC3706" w:rsidRDefault="00EC3706" w:rsidP="00EC3706">
                  <w:pPr>
                    <w:rPr>
                      <w:color w:val="000000"/>
                      <w:szCs w:val="24"/>
                    </w:rPr>
                  </w:pPr>
                  <w:r w:rsidRPr="00EC3706">
                    <w:rPr>
                      <w:color w:val="000000"/>
                      <w:szCs w:val="24"/>
                    </w:rPr>
                    <w:t>lékařské prohlídky</w:t>
                  </w:r>
                </w:p>
              </w:tc>
              <w:tc>
                <w:tcPr>
                  <w:tcW w:w="2989" w:type="dxa"/>
                  <w:tcBorders>
                    <w:top w:val="nil"/>
                    <w:left w:val="nil"/>
                    <w:bottom w:val="nil"/>
                    <w:right w:val="nil"/>
                  </w:tcBorders>
                  <w:shd w:val="clear" w:color="auto" w:fill="auto"/>
                  <w:vAlign w:val="center"/>
                  <w:hideMark/>
                </w:tcPr>
                <w:p w14:paraId="1DF2EBB9" w14:textId="77777777" w:rsidR="00EC3706" w:rsidRPr="00EC3706" w:rsidRDefault="00EC3706" w:rsidP="00EC3706">
                  <w:pPr>
                    <w:jc w:val="right"/>
                    <w:rPr>
                      <w:color w:val="000000"/>
                      <w:szCs w:val="24"/>
                    </w:rPr>
                  </w:pPr>
                  <w:r w:rsidRPr="00EC3706">
                    <w:rPr>
                      <w:color w:val="000000"/>
                      <w:szCs w:val="24"/>
                    </w:rPr>
                    <w:t>300 000 Kč</w:t>
                  </w:r>
                </w:p>
              </w:tc>
            </w:tr>
            <w:tr w:rsidR="00EC3706" w:rsidRPr="00EC3706" w14:paraId="573BF1EF" w14:textId="77777777" w:rsidTr="00EC3706">
              <w:trPr>
                <w:trHeight w:val="315"/>
              </w:trPr>
              <w:tc>
                <w:tcPr>
                  <w:tcW w:w="654" w:type="dxa"/>
                  <w:tcBorders>
                    <w:top w:val="nil"/>
                    <w:left w:val="nil"/>
                    <w:bottom w:val="nil"/>
                    <w:right w:val="nil"/>
                  </w:tcBorders>
                  <w:shd w:val="clear" w:color="auto" w:fill="auto"/>
                  <w:vAlign w:val="center"/>
                  <w:hideMark/>
                </w:tcPr>
                <w:p w14:paraId="2AA75845"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lastRenderedPageBreak/>
                    <w:t></w:t>
                  </w:r>
                  <w:r w:rsidRPr="00EC3706">
                    <w:rPr>
                      <w:rFonts w:eastAsia="Symbol"/>
                      <w:color w:val="000000"/>
                      <w:sz w:val="14"/>
                      <w:szCs w:val="14"/>
                    </w:rPr>
                    <w:t xml:space="preserve"> </w:t>
                  </w:r>
                </w:p>
              </w:tc>
              <w:tc>
                <w:tcPr>
                  <w:tcW w:w="4963" w:type="dxa"/>
                  <w:tcBorders>
                    <w:top w:val="nil"/>
                    <w:left w:val="nil"/>
                    <w:bottom w:val="nil"/>
                    <w:right w:val="nil"/>
                  </w:tcBorders>
                  <w:shd w:val="clear" w:color="auto" w:fill="auto"/>
                  <w:vAlign w:val="center"/>
                  <w:hideMark/>
                </w:tcPr>
                <w:p w14:paraId="70F22B13" w14:textId="77777777" w:rsidR="00EC3706" w:rsidRPr="00EC3706" w:rsidRDefault="00EC3706" w:rsidP="00EC3706">
                  <w:pPr>
                    <w:rPr>
                      <w:color w:val="000000"/>
                      <w:szCs w:val="24"/>
                    </w:rPr>
                  </w:pPr>
                  <w:r w:rsidRPr="00EC3706">
                    <w:rPr>
                      <w:color w:val="000000"/>
                      <w:szCs w:val="24"/>
                    </w:rPr>
                    <w:t>knihy, odborné časopisy a tisk</w:t>
                  </w:r>
                </w:p>
              </w:tc>
              <w:tc>
                <w:tcPr>
                  <w:tcW w:w="2989" w:type="dxa"/>
                  <w:tcBorders>
                    <w:top w:val="nil"/>
                    <w:left w:val="nil"/>
                    <w:bottom w:val="nil"/>
                    <w:right w:val="nil"/>
                  </w:tcBorders>
                  <w:shd w:val="clear" w:color="auto" w:fill="auto"/>
                  <w:vAlign w:val="center"/>
                  <w:hideMark/>
                </w:tcPr>
                <w:p w14:paraId="156B7A35" w14:textId="77777777" w:rsidR="00EC3706" w:rsidRPr="00EC3706" w:rsidRDefault="00EC3706" w:rsidP="00EC3706">
                  <w:pPr>
                    <w:jc w:val="right"/>
                    <w:rPr>
                      <w:color w:val="000000"/>
                      <w:szCs w:val="24"/>
                    </w:rPr>
                  </w:pPr>
                  <w:r w:rsidRPr="00EC3706">
                    <w:rPr>
                      <w:color w:val="000000"/>
                      <w:szCs w:val="24"/>
                    </w:rPr>
                    <w:t>90 000 Kč</w:t>
                  </w:r>
                </w:p>
              </w:tc>
            </w:tr>
            <w:tr w:rsidR="00EC3706" w:rsidRPr="00EC3706" w14:paraId="0D3822C1" w14:textId="77777777" w:rsidTr="00EC3706">
              <w:trPr>
                <w:trHeight w:val="315"/>
              </w:trPr>
              <w:tc>
                <w:tcPr>
                  <w:tcW w:w="654" w:type="dxa"/>
                  <w:tcBorders>
                    <w:top w:val="nil"/>
                    <w:left w:val="nil"/>
                    <w:bottom w:val="nil"/>
                    <w:right w:val="nil"/>
                  </w:tcBorders>
                  <w:shd w:val="clear" w:color="auto" w:fill="auto"/>
                  <w:vAlign w:val="center"/>
                  <w:hideMark/>
                </w:tcPr>
                <w:p w14:paraId="31BD3DE2"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43FBDBB2" w14:textId="77777777" w:rsidR="00EC3706" w:rsidRPr="00EC3706" w:rsidRDefault="00EC3706" w:rsidP="00EC3706">
                  <w:pPr>
                    <w:rPr>
                      <w:color w:val="000000"/>
                      <w:szCs w:val="24"/>
                    </w:rPr>
                  </w:pPr>
                  <w:r w:rsidRPr="00EC3706">
                    <w:rPr>
                      <w:color w:val="000000"/>
                      <w:szCs w:val="24"/>
                    </w:rPr>
                    <w:t>další vybrané agendy</w:t>
                  </w:r>
                </w:p>
              </w:tc>
              <w:tc>
                <w:tcPr>
                  <w:tcW w:w="2989" w:type="dxa"/>
                  <w:tcBorders>
                    <w:top w:val="nil"/>
                    <w:left w:val="nil"/>
                    <w:bottom w:val="nil"/>
                    <w:right w:val="nil"/>
                  </w:tcBorders>
                  <w:shd w:val="clear" w:color="auto" w:fill="auto"/>
                  <w:vAlign w:val="center"/>
                  <w:hideMark/>
                </w:tcPr>
                <w:p w14:paraId="30281847" w14:textId="77777777" w:rsidR="00EC3706" w:rsidRPr="00EC3706" w:rsidRDefault="00EC3706" w:rsidP="00EC3706">
                  <w:pPr>
                    <w:jc w:val="right"/>
                    <w:rPr>
                      <w:color w:val="000000"/>
                      <w:szCs w:val="24"/>
                    </w:rPr>
                  </w:pPr>
                  <w:r w:rsidRPr="00EC3706">
                    <w:rPr>
                      <w:color w:val="000000"/>
                      <w:szCs w:val="24"/>
                    </w:rPr>
                    <w:t>849 600 Kč</w:t>
                  </w:r>
                </w:p>
              </w:tc>
            </w:tr>
            <w:tr w:rsidR="00EC3706" w:rsidRPr="00EC3706" w14:paraId="37B844F8" w14:textId="77777777" w:rsidTr="00EC3706">
              <w:trPr>
                <w:trHeight w:val="315"/>
              </w:trPr>
              <w:tc>
                <w:tcPr>
                  <w:tcW w:w="654" w:type="dxa"/>
                  <w:tcBorders>
                    <w:top w:val="nil"/>
                    <w:left w:val="nil"/>
                    <w:bottom w:val="nil"/>
                    <w:right w:val="nil"/>
                  </w:tcBorders>
                  <w:shd w:val="clear" w:color="auto" w:fill="auto"/>
                  <w:noWrap/>
                  <w:vAlign w:val="center"/>
                  <w:hideMark/>
                </w:tcPr>
                <w:p w14:paraId="3D99FA1D" w14:textId="77777777" w:rsidR="00EC3706" w:rsidRPr="00EC3706" w:rsidRDefault="00EC3706" w:rsidP="00EC3706">
                  <w:pPr>
                    <w:rPr>
                      <w:b/>
                      <w:bCs/>
                      <w:color w:val="000000"/>
                      <w:szCs w:val="24"/>
                    </w:rPr>
                  </w:pPr>
                </w:p>
              </w:tc>
              <w:tc>
                <w:tcPr>
                  <w:tcW w:w="4963" w:type="dxa"/>
                  <w:tcBorders>
                    <w:top w:val="nil"/>
                    <w:left w:val="nil"/>
                    <w:bottom w:val="nil"/>
                    <w:right w:val="nil"/>
                  </w:tcBorders>
                  <w:shd w:val="clear" w:color="auto" w:fill="auto"/>
                  <w:noWrap/>
                  <w:vAlign w:val="bottom"/>
                  <w:hideMark/>
                </w:tcPr>
                <w:p w14:paraId="571D069F" w14:textId="77777777" w:rsidR="00EC3706" w:rsidRPr="00EC3706" w:rsidRDefault="00EC3706" w:rsidP="00EC3706">
                  <w:pPr>
                    <w:jc w:val="left"/>
                    <w:rPr>
                      <w:rFonts w:ascii="Calibri" w:hAnsi="Calibri"/>
                      <w:color w:val="000000"/>
                      <w:sz w:val="22"/>
                      <w:szCs w:val="22"/>
                    </w:rPr>
                  </w:pPr>
                </w:p>
              </w:tc>
              <w:tc>
                <w:tcPr>
                  <w:tcW w:w="2989" w:type="dxa"/>
                  <w:tcBorders>
                    <w:top w:val="nil"/>
                    <w:left w:val="nil"/>
                    <w:bottom w:val="nil"/>
                    <w:right w:val="nil"/>
                  </w:tcBorders>
                  <w:shd w:val="clear" w:color="auto" w:fill="auto"/>
                  <w:noWrap/>
                  <w:vAlign w:val="bottom"/>
                  <w:hideMark/>
                </w:tcPr>
                <w:p w14:paraId="0F93E4AC" w14:textId="77777777" w:rsidR="00EC3706" w:rsidRPr="00EC3706" w:rsidRDefault="00EC3706" w:rsidP="00EC3706">
                  <w:pPr>
                    <w:jc w:val="right"/>
                    <w:rPr>
                      <w:rFonts w:ascii="Calibri" w:hAnsi="Calibri"/>
                      <w:color w:val="000000"/>
                      <w:sz w:val="22"/>
                      <w:szCs w:val="22"/>
                    </w:rPr>
                  </w:pPr>
                </w:p>
              </w:tc>
            </w:tr>
            <w:tr w:rsidR="00EC3706" w:rsidRPr="00EC3706" w14:paraId="27AB5913" w14:textId="77777777" w:rsidTr="00EC3706">
              <w:trPr>
                <w:trHeight w:val="315"/>
              </w:trPr>
              <w:tc>
                <w:tcPr>
                  <w:tcW w:w="5617" w:type="dxa"/>
                  <w:gridSpan w:val="2"/>
                  <w:tcBorders>
                    <w:top w:val="nil"/>
                    <w:left w:val="nil"/>
                    <w:bottom w:val="nil"/>
                    <w:right w:val="nil"/>
                  </w:tcBorders>
                  <w:shd w:val="clear" w:color="auto" w:fill="auto"/>
                  <w:noWrap/>
                  <w:vAlign w:val="center"/>
                  <w:hideMark/>
                </w:tcPr>
                <w:p w14:paraId="333AB78F" w14:textId="77777777" w:rsidR="00EC3706" w:rsidRPr="00EC3706" w:rsidRDefault="00EC3706" w:rsidP="00EC3706">
                  <w:pPr>
                    <w:jc w:val="left"/>
                    <w:rPr>
                      <w:b/>
                      <w:bCs/>
                      <w:color w:val="000000"/>
                      <w:szCs w:val="24"/>
                    </w:rPr>
                  </w:pPr>
                  <w:r w:rsidRPr="00EC3706">
                    <w:rPr>
                      <w:b/>
                      <w:bCs/>
                      <w:color w:val="000000"/>
                      <w:szCs w:val="24"/>
                    </w:rPr>
                    <w:t xml:space="preserve">Odbor kanceláře NAÚ: </w:t>
                  </w:r>
                </w:p>
              </w:tc>
              <w:tc>
                <w:tcPr>
                  <w:tcW w:w="2989" w:type="dxa"/>
                  <w:tcBorders>
                    <w:top w:val="nil"/>
                    <w:left w:val="nil"/>
                    <w:bottom w:val="nil"/>
                    <w:right w:val="nil"/>
                  </w:tcBorders>
                  <w:shd w:val="clear" w:color="auto" w:fill="auto"/>
                  <w:noWrap/>
                  <w:vAlign w:val="center"/>
                  <w:hideMark/>
                </w:tcPr>
                <w:p w14:paraId="6EA0BE24" w14:textId="77777777" w:rsidR="00EC3706" w:rsidRPr="00EC3706" w:rsidRDefault="00EC3706" w:rsidP="00EC3706">
                  <w:pPr>
                    <w:jc w:val="right"/>
                    <w:rPr>
                      <w:b/>
                      <w:bCs/>
                      <w:color w:val="000000"/>
                      <w:szCs w:val="24"/>
                    </w:rPr>
                  </w:pPr>
                  <w:r w:rsidRPr="00EC3706">
                    <w:rPr>
                      <w:b/>
                      <w:bCs/>
                      <w:color w:val="000000"/>
                      <w:szCs w:val="24"/>
                    </w:rPr>
                    <w:t>12 532 000 Kč</w:t>
                  </w:r>
                </w:p>
              </w:tc>
            </w:tr>
            <w:tr w:rsidR="00EC3706" w:rsidRPr="00EC3706" w14:paraId="7DCA2D8D" w14:textId="77777777" w:rsidTr="00EC3706">
              <w:trPr>
                <w:trHeight w:val="315"/>
              </w:trPr>
              <w:tc>
                <w:tcPr>
                  <w:tcW w:w="654" w:type="dxa"/>
                  <w:tcBorders>
                    <w:top w:val="nil"/>
                    <w:left w:val="nil"/>
                    <w:bottom w:val="nil"/>
                    <w:right w:val="nil"/>
                  </w:tcBorders>
                  <w:shd w:val="clear" w:color="auto" w:fill="auto"/>
                  <w:vAlign w:val="center"/>
                  <w:hideMark/>
                </w:tcPr>
                <w:p w14:paraId="7384FA40"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4F816CF9" w14:textId="77777777" w:rsidR="00EC3706" w:rsidRPr="00EC3706" w:rsidRDefault="00EC3706" w:rsidP="00EC3706">
                  <w:pPr>
                    <w:rPr>
                      <w:color w:val="000000"/>
                      <w:szCs w:val="24"/>
                    </w:rPr>
                  </w:pPr>
                  <w:r w:rsidRPr="00EC3706">
                    <w:rPr>
                      <w:color w:val="000000"/>
                      <w:szCs w:val="24"/>
                    </w:rPr>
                    <w:t>dohody vč. odvodů</w:t>
                  </w:r>
                </w:p>
              </w:tc>
              <w:tc>
                <w:tcPr>
                  <w:tcW w:w="2989" w:type="dxa"/>
                  <w:tcBorders>
                    <w:top w:val="nil"/>
                    <w:left w:val="nil"/>
                    <w:bottom w:val="nil"/>
                    <w:right w:val="nil"/>
                  </w:tcBorders>
                  <w:shd w:val="clear" w:color="auto" w:fill="auto"/>
                  <w:vAlign w:val="center"/>
                  <w:hideMark/>
                </w:tcPr>
                <w:p w14:paraId="333E72E3" w14:textId="77777777" w:rsidR="00EC3706" w:rsidRPr="00EC3706" w:rsidRDefault="00EC3706" w:rsidP="00EC3706">
                  <w:pPr>
                    <w:jc w:val="right"/>
                    <w:rPr>
                      <w:color w:val="000000"/>
                      <w:szCs w:val="24"/>
                    </w:rPr>
                  </w:pPr>
                  <w:r w:rsidRPr="00EC3706">
                    <w:rPr>
                      <w:color w:val="000000"/>
                      <w:szCs w:val="24"/>
                    </w:rPr>
                    <w:t xml:space="preserve">  10 832 000 Kč</w:t>
                  </w:r>
                </w:p>
              </w:tc>
            </w:tr>
            <w:tr w:rsidR="00EC3706" w:rsidRPr="00EC3706" w14:paraId="664ACB89" w14:textId="77777777" w:rsidTr="00EC3706">
              <w:trPr>
                <w:trHeight w:val="315"/>
              </w:trPr>
              <w:tc>
                <w:tcPr>
                  <w:tcW w:w="654" w:type="dxa"/>
                  <w:tcBorders>
                    <w:top w:val="nil"/>
                    <w:left w:val="nil"/>
                    <w:bottom w:val="nil"/>
                    <w:right w:val="nil"/>
                  </w:tcBorders>
                  <w:shd w:val="clear" w:color="auto" w:fill="auto"/>
                  <w:vAlign w:val="center"/>
                  <w:hideMark/>
                </w:tcPr>
                <w:p w14:paraId="5042782D"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21093D3A" w14:textId="77777777" w:rsidR="00EC3706" w:rsidRPr="00EC3706" w:rsidRDefault="00EC3706" w:rsidP="00EC3706">
                  <w:pPr>
                    <w:rPr>
                      <w:color w:val="000000"/>
                      <w:szCs w:val="24"/>
                    </w:rPr>
                  </w:pPr>
                  <w:r w:rsidRPr="00EC3706">
                    <w:rPr>
                      <w:color w:val="000000"/>
                      <w:szCs w:val="24"/>
                    </w:rPr>
                    <w:t>cestovné, občerstvení atd.</w:t>
                  </w:r>
                </w:p>
              </w:tc>
              <w:tc>
                <w:tcPr>
                  <w:tcW w:w="2989" w:type="dxa"/>
                  <w:tcBorders>
                    <w:top w:val="nil"/>
                    <w:left w:val="nil"/>
                    <w:bottom w:val="nil"/>
                    <w:right w:val="nil"/>
                  </w:tcBorders>
                  <w:shd w:val="clear" w:color="auto" w:fill="auto"/>
                  <w:vAlign w:val="center"/>
                  <w:hideMark/>
                </w:tcPr>
                <w:p w14:paraId="7A7E9C9A" w14:textId="77777777" w:rsidR="00EC3706" w:rsidRPr="00EC3706" w:rsidRDefault="00EC3706" w:rsidP="00EC3706">
                  <w:pPr>
                    <w:jc w:val="right"/>
                    <w:rPr>
                      <w:color w:val="000000"/>
                      <w:szCs w:val="24"/>
                    </w:rPr>
                  </w:pPr>
                  <w:r w:rsidRPr="00EC3706">
                    <w:rPr>
                      <w:color w:val="000000"/>
                      <w:szCs w:val="24"/>
                    </w:rPr>
                    <w:t>1 700 000 Kč</w:t>
                  </w:r>
                </w:p>
              </w:tc>
            </w:tr>
            <w:tr w:rsidR="00EC3706" w:rsidRPr="00EC3706" w14:paraId="5136A803" w14:textId="77777777" w:rsidTr="00EC3706">
              <w:trPr>
                <w:trHeight w:val="315"/>
              </w:trPr>
              <w:tc>
                <w:tcPr>
                  <w:tcW w:w="654" w:type="dxa"/>
                  <w:tcBorders>
                    <w:top w:val="nil"/>
                    <w:left w:val="nil"/>
                    <w:bottom w:val="nil"/>
                    <w:right w:val="nil"/>
                  </w:tcBorders>
                  <w:shd w:val="clear" w:color="auto" w:fill="auto"/>
                  <w:noWrap/>
                  <w:vAlign w:val="center"/>
                  <w:hideMark/>
                </w:tcPr>
                <w:p w14:paraId="5E6F2FE4" w14:textId="77777777" w:rsidR="00EC3706" w:rsidRPr="00EC3706" w:rsidRDefault="00EC3706" w:rsidP="00EC3706">
                  <w:pPr>
                    <w:rPr>
                      <w:b/>
                      <w:bCs/>
                      <w:color w:val="000000"/>
                      <w:szCs w:val="24"/>
                    </w:rPr>
                  </w:pPr>
                </w:p>
              </w:tc>
              <w:tc>
                <w:tcPr>
                  <w:tcW w:w="4963" w:type="dxa"/>
                  <w:tcBorders>
                    <w:top w:val="nil"/>
                    <w:left w:val="nil"/>
                    <w:bottom w:val="nil"/>
                    <w:right w:val="nil"/>
                  </w:tcBorders>
                  <w:shd w:val="clear" w:color="auto" w:fill="auto"/>
                  <w:noWrap/>
                  <w:vAlign w:val="bottom"/>
                  <w:hideMark/>
                </w:tcPr>
                <w:p w14:paraId="6A8D37F5" w14:textId="77777777" w:rsidR="00EC3706" w:rsidRPr="00EC3706" w:rsidRDefault="00EC3706" w:rsidP="00EC3706">
                  <w:pPr>
                    <w:jc w:val="left"/>
                    <w:rPr>
                      <w:rFonts w:ascii="Calibri" w:hAnsi="Calibri"/>
                      <w:color w:val="000000"/>
                      <w:sz w:val="22"/>
                      <w:szCs w:val="22"/>
                    </w:rPr>
                  </w:pPr>
                </w:p>
              </w:tc>
              <w:tc>
                <w:tcPr>
                  <w:tcW w:w="2989" w:type="dxa"/>
                  <w:tcBorders>
                    <w:top w:val="nil"/>
                    <w:left w:val="nil"/>
                    <w:bottom w:val="nil"/>
                    <w:right w:val="nil"/>
                  </w:tcBorders>
                  <w:shd w:val="clear" w:color="auto" w:fill="auto"/>
                  <w:noWrap/>
                  <w:vAlign w:val="bottom"/>
                  <w:hideMark/>
                </w:tcPr>
                <w:p w14:paraId="46A8B50E" w14:textId="77777777" w:rsidR="00EC3706" w:rsidRPr="00EC3706" w:rsidRDefault="00EC3706" w:rsidP="00EC3706">
                  <w:pPr>
                    <w:jc w:val="right"/>
                    <w:rPr>
                      <w:rFonts w:ascii="Calibri" w:hAnsi="Calibri"/>
                      <w:color w:val="000000"/>
                      <w:sz w:val="22"/>
                      <w:szCs w:val="22"/>
                    </w:rPr>
                  </w:pPr>
                </w:p>
              </w:tc>
            </w:tr>
            <w:tr w:rsidR="00EC3706" w:rsidRPr="00EC3706" w14:paraId="04C116FE" w14:textId="77777777" w:rsidTr="00EC3706">
              <w:trPr>
                <w:trHeight w:val="315"/>
              </w:trPr>
              <w:tc>
                <w:tcPr>
                  <w:tcW w:w="5617" w:type="dxa"/>
                  <w:gridSpan w:val="2"/>
                  <w:tcBorders>
                    <w:top w:val="nil"/>
                    <w:left w:val="nil"/>
                    <w:bottom w:val="nil"/>
                    <w:right w:val="nil"/>
                  </w:tcBorders>
                  <w:shd w:val="clear" w:color="auto" w:fill="auto"/>
                  <w:noWrap/>
                  <w:vAlign w:val="center"/>
                  <w:hideMark/>
                </w:tcPr>
                <w:p w14:paraId="38D85155" w14:textId="77777777" w:rsidR="00EC3706" w:rsidRPr="00EC3706" w:rsidRDefault="00EC3706" w:rsidP="00EC3706">
                  <w:pPr>
                    <w:jc w:val="left"/>
                    <w:rPr>
                      <w:b/>
                      <w:bCs/>
                      <w:color w:val="000000"/>
                      <w:szCs w:val="24"/>
                    </w:rPr>
                  </w:pPr>
                  <w:r w:rsidRPr="00EC3706">
                    <w:rPr>
                      <w:b/>
                      <w:bCs/>
                      <w:color w:val="000000"/>
                      <w:szCs w:val="24"/>
                    </w:rPr>
                    <w:t>Sekce ekonomická:</w:t>
                  </w:r>
                </w:p>
              </w:tc>
              <w:tc>
                <w:tcPr>
                  <w:tcW w:w="2989" w:type="dxa"/>
                  <w:tcBorders>
                    <w:top w:val="nil"/>
                    <w:left w:val="nil"/>
                    <w:bottom w:val="nil"/>
                    <w:right w:val="nil"/>
                  </w:tcBorders>
                  <w:shd w:val="clear" w:color="auto" w:fill="auto"/>
                  <w:noWrap/>
                  <w:vAlign w:val="center"/>
                  <w:hideMark/>
                </w:tcPr>
                <w:p w14:paraId="5DB50657" w14:textId="77777777" w:rsidR="00EC3706" w:rsidRPr="00EC3706" w:rsidRDefault="00EC3706" w:rsidP="00EC3706">
                  <w:pPr>
                    <w:jc w:val="right"/>
                    <w:rPr>
                      <w:b/>
                      <w:bCs/>
                      <w:color w:val="000000"/>
                      <w:szCs w:val="24"/>
                    </w:rPr>
                  </w:pPr>
                  <w:r w:rsidRPr="00EC3706">
                    <w:rPr>
                      <w:b/>
                      <w:bCs/>
                      <w:color w:val="000000"/>
                      <w:szCs w:val="24"/>
                    </w:rPr>
                    <w:t>63 249 248 Kč</w:t>
                  </w:r>
                </w:p>
              </w:tc>
            </w:tr>
            <w:tr w:rsidR="00EC3706" w:rsidRPr="00EC3706" w14:paraId="31B98BF2" w14:textId="77777777" w:rsidTr="00EC3706">
              <w:trPr>
                <w:trHeight w:val="315"/>
              </w:trPr>
              <w:tc>
                <w:tcPr>
                  <w:tcW w:w="654" w:type="dxa"/>
                  <w:tcBorders>
                    <w:top w:val="nil"/>
                    <w:left w:val="nil"/>
                    <w:bottom w:val="nil"/>
                    <w:right w:val="nil"/>
                  </w:tcBorders>
                  <w:shd w:val="clear" w:color="auto" w:fill="auto"/>
                  <w:vAlign w:val="center"/>
                  <w:hideMark/>
                </w:tcPr>
                <w:p w14:paraId="7E9BCA83"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39B5054B" w14:textId="77777777" w:rsidR="00EC3706" w:rsidRPr="00EC3706" w:rsidRDefault="00EC3706" w:rsidP="00EC3706">
                  <w:pPr>
                    <w:rPr>
                      <w:color w:val="000000"/>
                      <w:szCs w:val="24"/>
                    </w:rPr>
                  </w:pPr>
                  <w:r w:rsidRPr="00EC3706">
                    <w:rPr>
                      <w:color w:val="000000"/>
                      <w:szCs w:val="24"/>
                    </w:rPr>
                    <w:t>odbor majetkoprávní a veřejných zakázek</w:t>
                  </w:r>
                </w:p>
              </w:tc>
              <w:tc>
                <w:tcPr>
                  <w:tcW w:w="2989" w:type="dxa"/>
                  <w:tcBorders>
                    <w:top w:val="nil"/>
                    <w:left w:val="nil"/>
                    <w:bottom w:val="nil"/>
                    <w:right w:val="nil"/>
                  </w:tcBorders>
                  <w:shd w:val="clear" w:color="auto" w:fill="auto"/>
                  <w:vAlign w:val="center"/>
                  <w:hideMark/>
                </w:tcPr>
                <w:p w14:paraId="7098D1E7" w14:textId="77777777" w:rsidR="00EC3706" w:rsidRPr="00EC3706" w:rsidRDefault="00EC3706" w:rsidP="00EC3706">
                  <w:pPr>
                    <w:jc w:val="right"/>
                    <w:rPr>
                      <w:color w:val="000000"/>
                      <w:szCs w:val="24"/>
                    </w:rPr>
                  </w:pPr>
                  <w:r w:rsidRPr="00EC3706">
                    <w:rPr>
                      <w:color w:val="000000"/>
                      <w:szCs w:val="24"/>
                    </w:rPr>
                    <w:t>38 883 255 Kč</w:t>
                  </w:r>
                </w:p>
              </w:tc>
            </w:tr>
            <w:tr w:rsidR="00EC3706" w:rsidRPr="00EC3706" w14:paraId="0AAA3D7A" w14:textId="77777777" w:rsidTr="00EC3706">
              <w:trPr>
                <w:trHeight w:val="315"/>
              </w:trPr>
              <w:tc>
                <w:tcPr>
                  <w:tcW w:w="654" w:type="dxa"/>
                  <w:tcBorders>
                    <w:top w:val="nil"/>
                    <w:left w:val="nil"/>
                    <w:bottom w:val="nil"/>
                    <w:right w:val="nil"/>
                  </w:tcBorders>
                  <w:shd w:val="clear" w:color="auto" w:fill="auto"/>
                  <w:vAlign w:val="center"/>
                  <w:hideMark/>
                </w:tcPr>
                <w:p w14:paraId="363A94A9"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0065F7C2" w14:textId="77777777" w:rsidR="00EC3706" w:rsidRPr="00EC3706" w:rsidRDefault="00EC3706" w:rsidP="00EC3706">
                  <w:pPr>
                    <w:rPr>
                      <w:color w:val="000000"/>
                      <w:szCs w:val="24"/>
                    </w:rPr>
                  </w:pPr>
                  <w:r w:rsidRPr="00EC3706">
                    <w:rPr>
                      <w:color w:val="000000"/>
                      <w:szCs w:val="24"/>
                    </w:rPr>
                    <w:t>odbor ICT</w:t>
                  </w:r>
                </w:p>
              </w:tc>
              <w:tc>
                <w:tcPr>
                  <w:tcW w:w="2989" w:type="dxa"/>
                  <w:tcBorders>
                    <w:top w:val="nil"/>
                    <w:left w:val="nil"/>
                    <w:bottom w:val="nil"/>
                    <w:right w:val="nil"/>
                  </w:tcBorders>
                  <w:shd w:val="clear" w:color="auto" w:fill="auto"/>
                  <w:vAlign w:val="center"/>
                  <w:hideMark/>
                </w:tcPr>
                <w:p w14:paraId="62DE7137" w14:textId="77777777" w:rsidR="00EC3706" w:rsidRPr="00EC3706" w:rsidRDefault="00EC3706" w:rsidP="00EC3706">
                  <w:pPr>
                    <w:jc w:val="right"/>
                    <w:rPr>
                      <w:color w:val="000000"/>
                      <w:szCs w:val="24"/>
                    </w:rPr>
                  </w:pPr>
                  <w:r w:rsidRPr="00EC3706">
                    <w:rPr>
                      <w:color w:val="000000"/>
                      <w:szCs w:val="24"/>
                    </w:rPr>
                    <w:t>24 365 993 Kč</w:t>
                  </w:r>
                </w:p>
              </w:tc>
            </w:tr>
            <w:tr w:rsidR="00EC3706" w:rsidRPr="00EC3706" w14:paraId="7B3DCB78" w14:textId="77777777" w:rsidTr="00EC3706">
              <w:trPr>
                <w:trHeight w:val="315"/>
              </w:trPr>
              <w:tc>
                <w:tcPr>
                  <w:tcW w:w="654" w:type="dxa"/>
                  <w:tcBorders>
                    <w:top w:val="nil"/>
                    <w:left w:val="nil"/>
                    <w:bottom w:val="nil"/>
                    <w:right w:val="nil"/>
                  </w:tcBorders>
                  <w:shd w:val="clear" w:color="auto" w:fill="auto"/>
                  <w:noWrap/>
                  <w:vAlign w:val="center"/>
                  <w:hideMark/>
                </w:tcPr>
                <w:p w14:paraId="400521CD" w14:textId="77777777" w:rsidR="00EC3706" w:rsidRPr="00EC3706" w:rsidRDefault="00EC3706" w:rsidP="00EC3706">
                  <w:pPr>
                    <w:rPr>
                      <w:b/>
                      <w:bCs/>
                      <w:color w:val="000000"/>
                      <w:szCs w:val="24"/>
                    </w:rPr>
                  </w:pPr>
                </w:p>
              </w:tc>
              <w:tc>
                <w:tcPr>
                  <w:tcW w:w="4963" w:type="dxa"/>
                  <w:tcBorders>
                    <w:top w:val="nil"/>
                    <w:left w:val="nil"/>
                    <w:bottom w:val="nil"/>
                    <w:right w:val="nil"/>
                  </w:tcBorders>
                  <w:shd w:val="clear" w:color="auto" w:fill="auto"/>
                  <w:noWrap/>
                  <w:vAlign w:val="bottom"/>
                  <w:hideMark/>
                </w:tcPr>
                <w:p w14:paraId="1FEE7CF5" w14:textId="77777777" w:rsidR="00EC3706" w:rsidRPr="00EC3706" w:rsidRDefault="00EC3706" w:rsidP="00EC3706">
                  <w:pPr>
                    <w:jc w:val="left"/>
                    <w:rPr>
                      <w:rFonts w:ascii="Calibri" w:hAnsi="Calibri"/>
                      <w:color w:val="000000"/>
                      <w:sz w:val="22"/>
                      <w:szCs w:val="22"/>
                    </w:rPr>
                  </w:pPr>
                </w:p>
              </w:tc>
              <w:tc>
                <w:tcPr>
                  <w:tcW w:w="2989" w:type="dxa"/>
                  <w:tcBorders>
                    <w:top w:val="nil"/>
                    <w:left w:val="nil"/>
                    <w:bottom w:val="nil"/>
                    <w:right w:val="nil"/>
                  </w:tcBorders>
                  <w:shd w:val="clear" w:color="auto" w:fill="auto"/>
                  <w:noWrap/>
                  <w:vAlign w:val="bottom"/>
                  <w:hideMark/>
                </w:tcPr>
                <w:p w14:paraId="1B3C816C" w14:textId="77777777" w:rsidR="00EC3706" w:rsidRPr="00EC3706" w:rsidRDefault="00EC3706" w:rsidP="00EC3706">
                  <w:pPr>
                    <w:jc w:val="right"/>
                    <w:rPr>
                      <w:rFonts w:ascii="Calibri" w:hAnsi="Calibri"/>
                      <w:color w:val="000000"/>
                      <w:sz w:val="22"/>
                      <w:szCs w:val="22"/>
                    </w:rPr>
                  </w:pPr>
                </w:p>
              </w:tc>
            </w:tr>
            <w:tr w:rsidR="00EC3706" w:rsidRPr="00EC3706" w14:paraId="0CFA39DD" w14:textId="77777777" w:rsidTr="00EC3706">
              <w:trPr>
                <w:trHeight w:val="315"/>
              </w:trPr>
              <w:tc>
                <w:tcPr>
                  <w:tcW w:w="5617" w:type="dxa"/>
                  <w:gridSpan w:val="2"/>
                  <w:tcBorders>
                    <w:top w:val="nil"/>
                    <w:left w:val="nil"/>
                    <w:bottom w:val="nil"/>
                    <w:right w:val="nil"/>
                  </w:tcBorders>
                  <w:shd w:val="clear" w:color="auto" w:fill="auto"/>
                  <w:noWrap/>
                  <w:vAlign w:val="center"/>
                  <w:hideMark/>
                </w:tcPr>
                <w:p w14:paraId="0CB3C67D" w14:textId="77777777" w:rsidR="00EC3706" w:rsidRPr="00EC3706" w:rsidRDefault="00EC3706" w:rsidP="00EC3706">
                  <w:pPr>
                    <w:jc w:val="left"/>
                    <w:rPr>
                      <w:b/>
                      <w:bCs/>
                      <w:color w:val="000000"/>
                      <w:szCs w:val="24"/>
                    </w:rPr>
                  </w:pPr>
                  <w:r w:rsidRPr="00EC3706">
                    <w:rPr>
                      <w:b/>
                      <w:bCs/>
                      <w:color w:val="000000"/>
                      <w:szCs w:val="24"/>
                    </w:rPr>
                    <w:t>Sekce EU a ESIF (oddělení 70):</w:t>
                  </w:r>
                </w:p>
              </w:tc>
              <w:tc>
                <w:tcPr>
                  <w:tcW w:w="2989" w:type="dxa"/>
                  <w:tcBorders>
                    <w:top w:val="nil"/>
                    <w:left w:val="nil"/>
                    <w:bottom w:val="nil"/>
                    <w:right w:val="nil"/>
                  </w:tcBorders>
                  <w:shd w:val="clear" w:color="auto" w:fill="auto"/>
                  <w:noWrap/>
                  <w:vAlign w:val="center"/>
                  <w:hideMark/>
                </w:tcPr>
                <w:p w14:paraId="67D261AE" w14:textId="77777777" w:rsidR="00EC3706" w:rsidRPr="00EC3706" w:rsidRDefault="00EC3706" w:rsidP="00EC3706">
                  <w:pPr>
                    <w:jc w:val="right"/>
                    <w:rPr>
                      <w:b/>
                      <w:bCs/>
                      <w:color w:val="000000"/>
                      <w:szCs w:val="24"/>
                    </w:rPr>
                  </w:pPr>
                  <w:r w:rsidRPr="00EC3706">
                    <w:rPr>
                      <w:b/>
                      <w:bCs/>
                      <w:color w:val="000000"/>
                      <w:szCs w:val="24"/>
                    </w:rPr>
                    <w:t>12 000 Kč</w:t>
                  </w:r>
                </w:p>
              </w:tc>
            </w:tr>
            <w:tr w:rsidR="00EC3706" w:rsidRPr="00EC3706" w14:paraId="562D612B" w14:textId="77777777" w:rsidTr="00EC3706">
              <w:trPr>
                <w:trHeight w:val="315"/>
              </w:trPr>
              <w:tc>
                <w:tcPr>
                  <w:tcW w:w="654" w:type="dxa"/>
                  <w:tcBorders>
                    <w:top w:val="nil"/>
                    <w:left w:val="nil"/>
                    <w:bottom w:val="nil"/>
                    <w:right w:val="nil"/>
                  </w:tcBorders>
                  <w:shd w:val="clear" w:color="auto" w:fill="auto"/>
                  <w:vAlign w:val="center"/>
                  <w:hideMark/>
                </w:tcPr>
                <w:p w14:paraId="768A8B1B"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3C077103" w14:textId="77777777" w:rsidR="00EC3706" w:rsidRPr="00EC3706" w:rsidRDefault="00EC3706" w:rsidP="00EC3706">
                  <w:pPr>
                    <w:rPr>
                      <w:color w:val="000000"/>
                      <w:szCs w:val="24"/>
                    </w:rPr>
                  </w:pPr>
                  <w:r w:rsidRPr="00EC3706">
                    <w:rPr>
                      <w:color w:val="000000"/>
                      <w:szCs w:val="24"/>
                    </w:rPr>
                    <w:t>pohoštění, drobné dary pro sekci VI</w:t>
                  </w:r>
                </w:p>
              </w:tc>
              <w:tc>
                <w:tcPr>
                  <w:tcW w:w="2989" w:type="dxa"/>
                  <w:tcBorders>
                    <w:top w:val="nil"/>
                    <w:left w:val="nil"/>
                    <w:bottom w:val="nil"/>
                    <w:right w:val="nil"/>
                  </w:tcBorders>
                  <w:shd w:val="clear" w:color="auto" w:fill="auto"/>
                  <w:vAlign w:val="center"/>
                  <w:hideMark/>
                </w:tcPr>
                <w:p w14:paraId="048750A4" w14:textId="77777777" w:rsidR="00EC3706" w:rsidRPr="00EC3706" w:rsidRDefault="00EC3706" w:rsidP="00EC3706">
                  <w:pPr>
                    <w:jc w:val="right"/>
                    <w:rPr>
                      <w:color w:val="000000"/>
                      <w:szCs w:val="24"/>
                    </w:rPr>
                  </w:pPr>
                  <w:r w:rsidRPr="00EC3706">
                    <w:rPr>
                      <w:color w:val="000000"/>
                      <w:szCs w:val="24"/>
                    </w:rPr>
                    <w:t>12 000 Kč</w:t>
                  </w:r>
                </w:p>
              </w:tc>
            </w:tr>
            <w:tr w:rsidR="00EC3706" w:rsidRPr="00EC3706" w14:paraId="70F095F0" w14:textId="77777777" w:rsidTr="00EC3706">
              <w:trPr>
                <w:trHeight w:val="315"/>
              </w:trPr>
              <w:tc>
                <w:tcPr>
                  <w:tcW w:w="654" w:type="dxa"/>
                  <w:tcBorders>
                    <w:top w:val="nil"/>
                    <w:left w:val="nil"/>
                    <w:bottom w:val="nil"/>
                    <w:right w:val="nil"/>
                  </w:tcBorders>
                  <w:shd w:val="clear" w:color="auto" w:fill="auto"/>
                  <w:noWrap/>
                  <w:vAlign w:val="center"/>
                  <w:hideMark/>
                </w:tcPr>
                <w:p w14:paraId="25F5944D" w14:textId="77777777" w:rsidR="00EC3706" w:rsidRPr="00EC3706" w:rsidRDefault="00EC3706" w:rsidP="00EC3706">
                  <w:pPr>
                    <w:rPr>
                      <w:b/>
                      <w:bCs/>
                      <w:color w:val="000000"/>
                      <w:szCs w:val="24"/>
                    </w:rPr>
                  </w:pPr>
                </w:p>
              </w:tc>
              <w:tc>
                <w:tcPr>
                  <w:tcW w:w="4963" w:type="dxa"/>
                  <w:tcBorders>
                    <w:top w:val="nil"/>
                    <w:left w:val="nil"/>
                    <w:bottom w:val="nil"/>
                    <w:right w:val="nil"/>
                  </w:tcBorders>
                  <w:shd w:val="clear" w:color="auto" w:fill="auto"/>
                  <w:noWrap/>
                  <w:vAlign w:val="bottom"/>
                  <w:hideMark/>
                </w:tcPr>
                <w:p w14:paraId="5947141B" w14:textId="77777777" w:rsidR="00EC3706" w:rsidRPr="00EC3706" w:rsidRDefault="00EC3706" w:rsidP="00EC3706">
                  <w:pPr>
                    <w:jc w:val="left"/>
                    <w:rPr>
                      <w:rFonts w:ascii="Calibri" w:hAnsi="Calibri"/>
                      <w:color w:val="000000"/>
                      <w:sz w:val="22"/>
                      <w:szCs w:val="22"/>
                    </w:rPr>
                  </w:pPr>
                </w:p>
              </w:tc>
              <w:tc>
                <w:tcPr>
                  <w:tcW w:w="2989" w:type="dxa"/>
                  <w:tcBorders>
                    <w:top w:val="nil"/>
                    <w:left w:val="nil"/>
                    <w:bottom w:val="nil"/>
                    <w:right w:val="nil"/>
                  </w:tcBorders>
                  <w:shd w:val="clear" w:color="auto" w:fill="auto"/>
                  <w:noWrap/>
                  <w:vAlign w:val="bottom"/>
                  <w:hideMark/>
                </w:tcPr>
                <w:p w14:paraId="16DB2A40" w14:textId="77777777" w:rsidR="00EC3706" w:rsidRPr="00EC3706" w:rsidRDefault="00EC3706" w:rsidP="00EC3706">
                  <w:pPr>
                    <w:jc w:val="right"/>
                    <w:rPr>
                      <w:rFonts w:ascii="Calibri" w:hAnsi="Calibri"/>
                      <w:color w:val="000000"/>
                      <w:sz w:val="22"/>
                      <w:szCs w:val="22"/>
                    </w:rPr>
                  </w:pPr>
                </w:p>
              </w:tc>
            </w:tr>
            <w:tr w:rsidR="00EC3706" w:rsidRPr="00EC3706" w14:paraId="43CCB40B" w14:textId="77777777" w:rsidTr="00EC3706">
              <w:trPr>
                <w:trHeight w:val="315"/>
              </w:trPr>
              <w:tc>
                <w:tcPr>
                  <w:tcW w:w="5617" w:type="dxa"/>
                  <w:gridSpan w:val="2"/>
                  <w:tcBorders>
                    <w:top w:val="nil"/>
                    <w:left w:val="nil"/>
                    <w:bottom w:val="nil"/>
                    <w:right w:val="nil"/>
                  </w:tcBorders>
                  <w:shd w:val="clear" w:color="auto" w:fill="auto"/>
                  <w:noWrap/>
                  <w:vAlign w:val="center"/>
                  <w:hideMark/>
                </w:tcPr>
                <w:p w14:paraId="58B51D55" w14:textId="77777777" w:rsidR="00EC3706" w:rsidRPr="00EC3706" w:rsidRDefault="00EC3706" w:rsidP="00EC3706">
                  <w:pPr>
                    <w:jc w:val="left"/>
                    <w:rPr>
                      <w:b/>
                      <w:bCs/>
                      <w:color w:val="000000"/>
                      <w:szCs w:val="24"/>
                    </w:rPr>
                  </w:pPr>
                  <w:r w:rsidRPr="00EC3706">
                    <w:rPr>
                      <w:b/>
                      <w:bCs/>
                      <w:color w:val="000000"/>
                      <w:szCs w:val="24"/>
                    </w:rPr>
                    <w:t>Sekce legislativy a mezinárodní vztahů:</w:t>
                  </w:r>
                </w:p>
              </w:tc>
              <w:tc>
                <w:tcPr>
                  <w:tcW w:w="2989" w:type="dxa"/>
                  <w:tcBorders>
                    <w:top w:val="nil"/>
                    <w:left w:val="nil"/>
                    <w:bottom w:val="nil"/>
                    <w:right w:val="nil"/>
                  </w:tcBorders>
                  <w:shd w:val="clear" w:color="auto" w:fill="auto"/>
                  <w:noWrap/>
                  <w:vAlign w:val="center"/>
                  <w:hideMark/>
                </w:tcPr>
                <w:p w14:paraId="37333D8A" w14:textId="77777777" w:rsidR="00EC3706" w:rsidRPr="00EC3706" w:rsidRDefault="00EC3706" w:rsidP="00EC3706">
                  <w:pPr>
                    <w:jc w:val="right"/>
                    <w:rPr>
                      <w:b/>
                      <w:bCs/>
                      <w:color w:val="000000"/>
                      <w:szCs w:val="24"/>
                    </w:rPr>
                  </w:pPr>
                  <w:r w:rsidRPr="00EC3706">
                    <w:rPr>
                      <w:b/>
                      <w:bCs/>
                      <w:color w:val="000000"/>
                      <w:szCs w:val="24"/>
                    </w:rPr>
                    <w:t>6 693 950 Kč</w:t>
                  </w:r>
                </w:p>
              </w:tc>
            </w:tr>
            <w:tr w:rsidR="00EC3706" w:rsidRPr="00EC3706" w14:paraId="5907771C" w14:textId="77777777" w:rsidTr="00EC3706">
              <w:trPr>
                <w:trHeight w:val="315"/>
              </w:trPr>
              <w:tc>
                <w:tcPr>
                  <w:tcW w:w="654" w:type="dxa"/>
                  <w:tcBorders>
                    <w:top w:val="nil"/>
                    <w:left w:val="nil"/>
                    <w:bottom w:val="nil"/>
                    <w:right w:val="nil"/>
                  </w:tcBorders>
                  <w:shd w:val="clear" w:color="auto" w:fill="auto"/>
                  <w:vAlign w:val="center"/>
                  <w:hideMark/>
                </w:tcPr>
                <w:p w14:paraId="1F23ECD4"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40414AE5" w14:textId="77777777" w:rsidR="00EC3706" w:rsidRPr="00EC3706" w:rsidRDefault="00EC3706" w:rsidP="00EC3706">
                  <w:pPr>
                    <w:rPr>
                      <w:color w:val="000000"/>
                      <w:szCs w:val="24"/>
                    </w:rPr>
                  </w:pPr>
                  <w:r w:rsidRPr="00EC3706">
                    <w:rPr>
                      <w:color w:val="000000"/>
                      <w:szCs w:val="24"/>
                    </w:rPr>
                    <w:t>zahraniční cesty zaměstnanců MŠMT</w:t>
                  </w:r>
                </w:p>
              </w:tc>
              <w:tc>
                <w:tcPr>
                  <w:tcW w:w="2989" w:type="dxa"/>
                  <w:tcBorders>
                    <w:top w:val="nil"/>
                    <w:left w:val="nil"/>
                    <w:bottom w:val="nil"/>
                    <w:right w:val="nil"/>
                  </w:tcBorders>
                  <w:shd w:val="clear" w:color="auto" w:fill="auto"/>
                  <w:vAlign w:val="center"/>
                  <w:hideMark/>
                </w:tcPr>
                <w:p w14:paraId="23E310C7" w14:textId="77777777" w:rsidR="00EC3706" w:rsidRPr="00EC3706" w:rsidRDefault="00EC3706" w:rsidP="00EC3706">
                  <w:pPr>
                    <w:jc w:val="right"/>
                    <w:rPr>
                      <w:color w:val="000000"/>
                      <w:szCs w:val="24"/>
                    </w:rPr>
                  </w:pPr>
                  <w:r w:rsidRPr="00EC3706">
                    <w:rPr>
                      <w:color w:val="000000"/>
                      <w:szCs w:val="24"/>
                    </w:rPr>
                    <w:t>6 425 125 Kč</w:t>
                  </w:r>
                </w:p>
              </w:tc>
            </w:tr>
            <w:tr w:rsidR="00EC3706" w:rsidRPr="00EC3706" w14:paraId="5B89F6BB" w14:textId="77777777" w:rsidTr="00EC3706">
              <w:trPr>
                <w:trHeight w:val="315"/>
              </w:trPr>
              <w:tc>
                <w:tcPr>
                  <w:tcW w:w="654" w:type="dxa"/>
                  <w:tcBorders>
                    <w:top w:val="nil"/>
                    <w:left w:val="nil"/>
                    <w:bottom w:val="nil"/>
                    <w:right w:val="nil"/>
                  </w:tcBorders>
                  <w:shd w:val="clear" w:color="auto" w:fill="auto"/>
                  <w:vAlign w:val="center"/>
                  <w:hideMark/>
                </w:tcPr>
                <w:p w14:paraId="0E715EB1"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2E4A66E5" w14:textId="77777777" w:rsidR="00EC3706" w:rsidRPr="00EC3706" w:rsidRDefault="00EC3706" w:rsidP="00EC3706">
                  <w:pPr>
                    <w:rPr>
                      <w:color w:val="000000"/>
                      <w:szCs w:val="24"/>
                    </w:rPr>
                  </w:pPr>
                  <w:r w:rsidRPr="00EC3706">
                    <w:rPr>
                      <w:color w:val="000000"/>
                      <w:szCs w:val="24"/>
                    </w:rPr>
                    <w:t>dárkový sklad</w:t>
                  </w:r>
                </w:p>
              </w:tc>
              <w:tc>
                <w:tcPr>
                  <w:tcW w:w="2989" w:type="dxa"/>
                  <w:tcBorders>
                    <w:top w:val="nil"/>
                    <w:left w:val="nil"/>
                    <w:bottom w:val="nil"/>
                    <w:right w:val="nil"/>
                  </w:tcBorders>
                  <w:shd w:val="clear" w:color="auto" w:fill="auto"/>
                  <w:vAlign w:val="center"/>
                  <w:hideMark/>
                </w:tcPr>
                <w:p w14:paraId="775A3AAD" w14:textId="77777777" w:rsidR="00EC3706" w:rsidRPr="00EC3706" w:rsidRDefault="00EC3706" w:rsidP="00EC3706">
                  <w:pPr>
                    <w:jc w:val="right"/>
                    <w:rPr>
                      <w:color w:val="000000"/>
                      <w:szCs w:val="24"/>
                    </w:rPr>
                  </w:pPr>
                  <w:r w:rsidRPr="00EC3706">
                    <w:rPr>
                      <w:color w:val="000000"/>
                      <w:szCs w:val="24"/>
                    </w:rPr>
                    <w:t>398 825 Kč</w:t>
                  </w:r>
                </w:p>
              </w:tc>
            </w:tr>
            <w:tr w:rsidR="00EC3706" w:rsidRPr="00EC3706" w14:paraId="21FE615B" w14:textId="77777777" w:rsidTr="00EC3706">
              <w:trPr>
                <w:trHeight w:val="315"/>
              </w:trPr>
              <w:tc>
                <w:tcPr>
                  <w:tcW w:w="654" w:type="dxa"/>
                  <w:tcBorders>
                    <w:top w:val="nil"/>
                    <w:left w:val="nil"/>
                    <w:bottom w:val="nil"/>
                    <w:right w:val="nil"/>
                  </w:tcBorders>
                  <w:shd w:val="clear" w:color="auto" w:fill="auto"/>
                  <w:vAlign w:val="center"/>
                  <w:hideMark/>
                </w:tcPr>
                <w:p w14:paraId="56CB55C0" w14:textId="77777777" w:rsidR="00EC3706" w:rsidRPr="00EC3706" w:rsidRDefault="00EC3706" w:rsidP="00EC3706">
                  <w:pPr>
                    <w:rPr>
                      <w:rFonts w:ascii="Symbol" w:hAnsi="Symbol"/>
                      <w:color w:val="000000"/>
                      <w:szCs w:val="24"/>
                    </w:rPr>
                  </w:pPr>
                  <w:r w:rsidRPr="00EC3706">
                    <w:rPr>
                      <w:rFonts w:ascii="Symbol" w:eastAsia="Symbol" w:hAnsi="Symbol" w:cs="Symbol"/>
                      <w:color w:val="000000"/>
                      <w:szCs w:val="24"/>
                    </w:rPr>
                    <w:t></w:t>
                  </w:r>
                </w:p>
              </w:tc>
              <w:tc>
                <w:tcPr>
                  <w:tcW w:w="4963" w:type="dxa"/>
                  <w:tcBorders>
                    <w:top w:val="nil"/>
                    <w:left w:val="nil"/>
                    <w:bottom w:val="nil"/>
                    <w:right w:val="nil"/>
                  </w:tcBorders>
                  <w:shd w:val="clear" w:color="auto" w:fill="auto"/>
                  <w:vAlign w:val="center"/>
                  <w:hideMark/>
                </w:tcPr>
                <w:p w14:paraId="51A57D37" w14:textId="77777777" w:rsidR="00EC3706" w:rsidRPr="00EC3706" w:rsidRDefault="00EC3706" w:rsidP="00EC3706">
                  <w:pPr>
                    <w:rPr>
                      <w:color w:val="000000"/>
                      <w:szCs w:val="24"/>
                    </w:rPr>
                  </w:pPr>
                  <w:r w:rsidRPr="00EC3706">
                    <w:rPr>
                      <w:color w:val="000000"/>
                      <w:szCs w:val="24"/>
                    </w:rPr>
                    <w:t>pohoštění a drobné dary</w:t>
                  </w:r>
                </w:p>
              </w:tc>
              <w:tc>
                <w:tcPr>
                  <w:tcW w:w="2989" w:type="dxa"/>
                  <w:tcBorders>
                    <w:top w:val="nil"/>
                    <w:left w:val="nil"/>
                    <w:bottom w:val="nil"/>
                    <w:right w:val="nil"/>
                  </w:tcBorders>
                  <w:shd w:val="clear" w:color="auto" w:fill="auto"/>
                  <w:vAlign w:val="center"/>
                  <w:hideMark/>
                </w:tcPr>
                <w:p w14:paraId="54C19859" w14:textId="7D23A609" w:rsidR="00EC3706" w:rsidRPr="00EC3706" w:rsidRDefault="00EC3706" w:rsidP="0068494F">
                  <w:pPr>
                    <w:jc w:val="right"/>
                    <w:rPr>
                      <w:color w:val="000000"/>
                      <w:szCs w:val="24"/>
                    </w:rPr>
                  </w:pPr>
                  <w:r w:rsidRPr="00EC3706">
                    <w:rPr>
                      <w:color w:val="000000"/>
                      <w:szCs w:val="24"/>
                    </w:rPr>
                    <w:t>50 000 Kč</w:t>
                  </w:r>
                </w:p>
              </w:tc>
            </w:tr>
          </w:tbl>
          <w:p w14:paraId="36E99D6D" w14:textId="77777777" w:rsidR="00EC3706" w:rsidRPr="00EC3706" w:rsidRDefault="00EC3706" w:rsidP="00EC3706">
            <w:pPr>
              <w:jc w:val="left"/>
              <w:rPr>
                <w:b/>
                <w:bCs/>
                <w:color w:val="000000"/>
                <w:szCs w:val="24"/>
              </w:rPr>
            </w:pPr>
          </w:p>
        </w:tc>
        <w:tc>
          <w:tcPr>
            <w:tcW w:w="0" w:type="auto"/>
            <w:tcBorders>
              <w:top w:val="nil"/>
              <w:left w:val="nil"/>
              <w:bottom w:val="nil"/>
              <w:right w:val="nil"/>
            </w:tcBorders>
            <w:shd w:val="clear" w:color="auto" w:fill="auto"/>
            <w:noWrap/>
            <w:vAlign w:val="center"/>
          </w:tcPr>
          <w:p w14:paraId="3B492F5F" w14:textId="77777777" w:rsidR="00EC3706" w:rsidRPr="00EC3706" w:rsidRDefault="00EC3706" w:rsidP="00EC3706">
            <w:pPr>
              <w:jc w:val="right"/>
              <w:rPr>
                <w:b/>
                <w:bCs/>
                <w:color w:val="000000"/>
                <w:szCs w:val="24"/>
              </w:rPr>
            </w:pPr>
          </w:p>
        </w:tc>
      </w:tr>
    </w:tbl>
    <w:p w14:paraId="1D44800B" w14:textId="77777777" w:rsidR="00BF78FC" w:rsidRDefault="00BF78FC" w:rsidP="00BF78FC">
      <w:pPr>
        <w:pStyle w:val="Zkladntext211"/>
        <w:ind w:left="567"/>
      </w:pPr>
    </w:p>
    <w:p w14:paraId="17A6B4EE" w14:textId="77777777" w:rsidR="001F5626" w:rsidRPr="00543422" w:rsidRDefault="002B2E31" w:rsidP="00F94A17">
      <w:pPr>
        <w:pStyle w:val="Nadpis5"/>
      </w:pPr>
      <w:r w:rsidRPr="00543422">
        <w:t>ČŠI</w:t>
      </w:r>
    </w:p>
    <w:p w14:paraId="7177D125" w14:textId="77777777" w:rsidR="00A972A0" w:rsidRPr="00853611" w:rsidRDefault="00A972A0" w:rsidP="00A972A0">
      <w:pPr>
        <w:rPr>
          <w:highlight w:val="yellow"/>
        </w:rPr>
      </w:pPr>
    </w:p>
    <w:p w14:paraId="1C9F6B9C" w14:textId="77777777" w:rsidR="00BF78FC" w:rsidRPr="0015421F" w:rsidRDefault="00BF78FC" w:rsidP="00BF78FC">
      <w:pPr>
        <w:pStyle w:val="Text"/>
      </w:pPr>
      <w:r>
        <w:t xml:space="preserve">ČŠI </w:t>
      </w:r>
      <w:r w:rsidRPr="00941F80">
        <w:t xml:space="preserve">byl rozpis rozpočtu ve </w:t>
      </w:r>
      <w:r w:rsidRPr="0031382A">
        <w:t>výši 422</w:t>
      </w:r>
      <w:r w:rsidR="003174B4">
        <w:t> </w:t>
      </w:r>
      <w:r w:rsidRPr="0031382A">
        <w:t>835</w:t>
      </w:r>
      <w:r w:rsidR="003174B4">
        <w:t> </w:t>
      </w:r>
      <w:r w:rsidRPr="0031382A">
        <w:t xml:space="preserve">631 Kč </w:t>
      </w:r>
      <w:r w:rsidRPr="0015421F">
        <w:t>připraven prostřednictvím IISSP</w:t>
      </w:r>
      <w:r w:rsidR="001318A3">
        <w:t> </w:t>
      </w:r>
      <w:r w:rsidR="001318A3">
        <w:noBreakHyphen/>
        <w:t> R</w:t>
      </w:r>
      <w:r w:rsidRPr="0015421F">
        <w:t xml:space="preserve">ISPR. </w:t>
      </w:r>
    </w:p>
    <w:p w14:paraId="2AEFFA31" w14:textId="77777777" w:rsidR="00BF78FC" w:rsidRPr="00941F80" w:rsidRDefault="00BF78FC" w:rsidP="00BF78FC">
      <w:pPr>
        <w:pStyle w:val="Text"/>
      </w:pPr>
      <w:r w:rsidRPr="00941F80">
        <w:t xml:space="preserve">Celkový rozpočet ve </w:t>
      </w:r>
      <w:r w:rsidRPr="0031382A">
        <w:t>výši 422 835 631 Kč se</w:t>
      </w:r>
      <w:r w:rsidRPr="00941F80">
        <w:t xml:space="preserve"> člení na výdaje na kmenovou činnost organizace ve výši </w:t>
      </w:r>
      <w:r>
        <w:t>418 065 745</w:t>
      </w:r>
      <w:r w:rsidRPr="00D375D3">
        <w:t xml:space="preserve"> </w:t>
      </w:r>
      <w:r w:rsidRPr="00F7022E">
        <w:t>Kč</w:t>
      </w:r>
      <w:r w:rsidRPr="00941F80">
        <w:t xml:space="preserve"> (z toho běžné výdaje činí </w:t>
      </w:r>
      <w:r>
        <w:t>405 196 675</w:t>
      </w:r>
      <w:r w:rsidRPr="00D76937">
        <w:t xml:space="preserve"> Kč)</w:t>
      </w:r>
      <w:r w:rsidRPr="00941F80">
        <w:t xml:space="preserve"> a na projekty TIMSS a PISA ve výši </w:t>
      </w:r>
      <w:r>
        <w:t>4 769 886</w:t>
      </w:r>
      <w:r w:rsidRPr="00941F80">
        <w:t xml:space="preserve"> Kč. </w:t>
      </w:r>
    </w:p>
    <w:p w14:paraId="535DFE52" w14:textId="77777777" w:rsidR="00BF78FC" w:rsidRPr="00941F80" w:rsidRDefault="00BF78FC" w:rsidP="00BF78FC">
      <w:pPr>
        <w:pStyle w:val="Text"/>
      </w:pPr>
      <w:r w:rsidRPr="0015421F">
        <w:t xml:space="preserve">Limit počtu zaměstnanců </w:t>
      </w:r>
      <w:r w:rsidRPr="00941F80">
        <w:t>je stanoven ve výši 51</w:t>
      </w:r>
      <w:r>
        <w:t>3</w:t>
      </w:r>
      <w:r w:rsidRPr="00941F80">
        <w:t>,0 přepočtených úvazků, v tom 46</w:t>
      </w:r>
      <w:r>
        <w:t>3</w:t>
      </w:r>
      <w:r w:rsidRPr="00941F80">
        <w:t>,0 státních zaměstnanců a 5</w:t>
      </w:r>
      <w:r>
        <w:t>0</w:t>
      </w:r>
      <w:r w:rsidRPr="00941F80">
        <w:t xml:space="preserve">,0 zaměstnanců v pracovním poměru. </w:t>
      </w:r>
      <w:r>
        <w:t>Počty zaměstnanců jsou ve </w:t>
      </w:r>
      <w:r w:rsidRPr="00D07C5E">
        <w:t>srovnání s r. 2018 kráceny z důvodu neobsazenosti o 2 přepočtené úvazky.</w:t>
      </w:r>
      <w:r>
        <w:rPr>
          <w:color w:val="2E74B5"/>
        </w:rPr>
        <w:t xml:space="preserve"> </w:t>
      </w:r>
      <w:r>
        <w:t>Na </w:t>
      </w:r>
      <w:r w:rsidRPr="00E447E3">
        <w:t>projekty PISA a TIMSS je v rámci limitu počtu s</w:t>
      </w:r>
      <w:r>
        <w:t xml:space="preserve">tátních zaměstnanců </w:t>
      </w:r>
      <w:r w:rsidRPr="00941F80">
        <w:t xml:space="preserve">vyčleněno </w:t>
      </w:r>
      <w:r>
        <w:t>6</w:t>
      </w:r>
      <w:r w:rsidRPr="00941F80">
        <w:t xml:space="preserve"> přepočtených úvazků. </w:t>
      </w:r>
    </w:p>
    <w:p w14:paraId="57F2656E" w14:textId="77777777" w:rsidR="00BF78FC" w:rsidRDefault="00BF78FC" w:rsidP="00BF78FC">
      <w:pPr>
        <w:pStyle w:val="Text"/>
      </w:pPr>
      <w:r w:rsidRPr="00E447E3">
        <w:t>Limit prostředků na platy je proti roku 201</w:t>
      </w:r>
      <w:r>
        <w:t>8</w:t>
      </w:r>
      <w:r w:rsidRPr="00E447E3">
        <w:t xml:space="preserve"> zvýšen </w:t>
      </w:r>
      <w:r w:rsidRPr="006133DE">
        <w:t>o 33 087 694 Kč, tj</w:t>
      </w:r>
      <w:r w:rsidRPr="00E447E3">
        <w:t>. o 1</w:t>
      </w:r>
      <w:r>
        <w:t>4</w:t>
      </w:r>
      <w:r w:rsidRPr="00E447E3">
        <w:t>,</w:t>
      </w:r>
      <w:r>
        <w:t>68</w:t>
      </w:r>
      <w:r w:rsidRPr="00E447E3">
        <w:t xml:space="preserve"> %. Toto </w:t>
      </w:r>
      <w:r>
        <w:t>zvýšení souvisí především s dorovnáním růstu platů školních inspektorů do úrovně platů pedagogů, tj. do výše 15% navýšení objemu prostředků na platy.</w:t>
      </w:r>
    </w:p>
    <w:p w14:paraId="092A1E68" w14:textId="77777777" w:rsidR="00BF78FC" w:rsidRPr="001E4D8A" w:rsidRDefault="00BF78FC" w:rsidP="00BF78FC">
      <w:pPr>
        <w:pStyle w:val="Text"/>
      </w:pPr>
      <w:r w:rsidRPr="001E4D8A">
        <w:t>Limit na ostatní platby za provedenou práci (na dohody o pracích konaných mimo pracovní poměr) činí 6</w:t>
      </w:r>
      <w:r>
        <w:t> </w:t>
      </w:r>
      <w:r w:rsidRPr="001E4D8A">
        <w:t>616</w:t>
      </w:r>
      <w:r>
        <w:t xml:space="preserve"> 164</w:t>
      </w:r>
      <w:r w:rsidRPr="001E4D8A">
        <w:t xml:space="preserve"> Kč a zůstává na úrovni r. 2018.</w:t>
      </w:r>
    </w:p>
    <w:p w14:paraId="2FDD2F68" w14:textId="77777777" w:rsidR="00BF78FC" w:rsidRPr="001E4D8A" w:rsidRDefault="00BF78FC" w:rsidP="00BF78FC">
      <w:pPr>
        <w:pStyle w:val="Text"/>
      </w:pPr>
      <w:r w:rsidRPr="001E4D8A">
        <w:t>Zákonné odvody do fondů kopírují navýšení mzdových prostředků.</w:t>
      </w:r>
    </w:p>
    <w:p w14:paraId="53708864" w14:textId="77777777" w:rsidR="00BF78FC" w:rsidRPr="00194EBD" w:rsidRDefault="00BF78FC" w:rsidP="00BF78FC">
      <w:pPr>
        <w:pStyle w:val="Text"/>
      </w:pPr>
      <w:r w:rsidRPr="00443E0B">
        <w:t>OBV jsou stanoveny ve výši 49</w:t>
      </w:r>
      <w:r>
        <w:t> </w:t>
      </w:r>
      <w:r w:rsidRPr="00443E0B">
        <w:t>496</w:t>
      </w:r>
      <w:r>
        <w:t xml:space="preserve"> 227</w:t>
      </w:r>
      <w:r w:rsidRPr="00443E0B">
        <w:t xml:space="preserve"> Kč </w:t>
      </w:r>
      <w:r>
        <w:t>a </w:t>
      </w:r>
      <w:r w:rsidRPr="00443E0B">
        <w:t>vytváří podmínky pro zabezpečení nezbytné činnosti organizace</w:t>
      </w:r>
      <w:r w:rsidRPr="00D30FF8">
        <w:rPr>
          <w:color w:val="548DD4" w:themeColor="text2" w:themeTint="99"/>
        </w:rPr>
        <w:t xml:space="preserve">. </w:t>
      </w:r>
      <w:r w:rsidRPr="00A67D53">
        <w:rPr>
          <w:color w:val="000000"/>
        </w:rPr>
        <w:t xml:space="preserve">V rámci stanoveného rozpočtu bude nutno zabezpečit prostředky </w:t>
      </w:r>
      <w:r w:rsidRPr="00A67D53">
        <w:rPr>
          <w:color w:val="000000"/>
          <w:u w:val="single"/>
        </w:rPr>
        <w:t xml:space="preserve">na náhradu mzdy, platu nebo odměny z dohody </w:t>
      </w:r>
      <w:r>
        <w:rPr>
          <w:color w:val="000000"/>
          <w:u w:val="single"/>
        </w:rPr>
        <w:t>o </w:t>
      </w:r>
      <w:r w:rsidRPr="00A67D53">
        <w:rPr>
          <w:color w:val="000000"/>
          <w:u w:val="single"/>
        </w:rPr>
        <w:t xml:space="preserve">pracovní činnosti za prvních 14 dnů dočasné pracovní neschopnosti. </w:t>
      </w:r>
      <w:r w:rsidRPr="00735292">
        <w:t xml:space="preserve">V rámci rozpočtu </w:t>
      </w:r>
      <w:r>
        <w:t>OBV</w:t>
      </w:r>
      <w:r w:rsidRPr="00735292">
        <w:t xml:space="preserve"> jsou </w:t>
      </w:r>
      <w:r>
        <w:t xml:space="preserve">stejně </w:t>
      </w:r>
      <w:r w:rsidRPr="00194EBD">
        <w:t xml:space="preserve">jako v r. 2018 zabezpečeny prostředky na zabezpečení udržitelnosti projektu NIQES ve výši 7 183 241 Kč. Proti schválenému rozpočtu r. 2018 byl rozpočet OBV navýšen o 1 000 000 Kč na pokrytí zvýšených nákladů souvisejících se změnou dislokace inspektorátu v Pardubicích. </w:t>
      </w:r>
    </w:p>
    <w:p w14:paraId="1F2D357A" w14:textId="77777777" w:rsidR="00BF78FC" w:rsidRPr="00FC6D9C" w:rsidRDefault="00BF78FC" w:rsidP="00BF78FC">
      <w:pPr>
        <w:pStyle w:val="Text"/>
      </w:pPr>
      <w:r w:rsidRPr="00194EBD">
        <w:t>Dofinancování projektu NIQES do požadované výše 8 000 000 Kč bude řešeno z nároků nespotřebovaných neprofilujících výdajů ČŠI.</w:t>
      </w:r>
    </w:p>
    <w:p w14:paraId="2469584C" w14:textId="77777777" w:rsidR="00BF78FC" w:rsidRPr="002118FE" w:rsidRDefault="00BF78FC" w:rsidP="00BF78FC">
      <w:pPr>
        <w:pStyle w:val="Text"/>
        <w:rPr>
          <w:highlight w:val="yellow"/>
        </w:rPr>
      </w:pPr>
      <w:r w:rsidRPr="00786338">
        <w:lastRenderedPageBreak/>
        <w:t>Rozpočet</w:t>
      </w:r>
      <w:r w:rsidRPr="00443E0B">
        <w:t xml:space="preserve"> příjmů na rok 2019 je stanoven ve výši 979 </w:t>
      </w:r>
      <w:r>
        <w:t>000</w:t>
      </w:r>
      <w:r w:rsidRPr="00443E0B">
        <w:t xml:space="preserve"> Kč</w:t>
      </w:r>
      <w:r w:rsidRPr="002118FE">
        <w:t>.</w:t>
      </w:r>
    </w:p>
    <w:p w14:paraId="0D7DB2EC" w14:textId="77777777" w:rsidR="008F0F94" w:rsidRPr="00BF78FC" w:rsidRDefault="008F0F94" w:rsidP="00F94A17">
      <w:pPr>
        <w:pStyle w:val="Nadpis5"/>
      </w:pPr>
      <w:r w:rsidRPr="00BF78FC">
        <w:t>Rozpočet příjmů</w:t>
      </w:r>
    </w:p>
    <w:p w14:paraId="2A45C600" w14:textId="77777777" w:rsidR="008F0F94" w:rsidRPr="00BF78FC" w:rsidRDefault="008F0F94" w:rsidP="00DA5A48">
      <w:pPr>
        <w:pStyle w:val="Text"/>
      </w:pPr>
    </w:p>
    <w:p w14:paraId="51C9C5AA" w14:textId="77777777" w:rsidR="008F0F94" w:rsidRPr="00BF78FC" w:rsidRDefault="008F0F94" w:rsidP="00DA5A48">
      <w:pPr>
        <w:pStyle w:val="Text"/>
      </w:pPr>
      <w:r w:rsidRPr="00BF78FC">
        <w:t>Rozpočet příjmů n</w:t>
      </w:r>
      <w:r w:rsidR="009F6151" w:rsidRPr="00BF78FC">
        <w:t>a rok 201</w:t>
      </w:r>
      <w:r w:rsidR="00EA2F53">
        <w:t>9</w:t>
      </w:r>
      <w:r w:rsidR="003B4B8F" w:rsidRPr="00BF78FC">
        <w:t xml:space="preserve"> je stanoven ve výši</w:t>
      </w:r>
      <w:r w:rsidR="003B4B8F" w:rsidRPr="00BF78FC">
        <w:tab/>
      </w:r>
      <w:r w:rsidR="00BF78FC" w:rsidRPr="00BF78FC">
        <w:rPr>
          <w:b/>
          <w:color w:val="000000"/>
        </w:rPr>
        <w:t>92 690 000</w:t>
      </w:r>
      <w:r w:rsidRPr="00BF78FC">
        <w:rPr>
          <w:b/>
        </w:rPr>
        <w:t xml:space="preserve"> Kč</w:t>
      </w:r>
    </w:p>
    <w:p w14:paraId="44B0F887" w14:textId="77777777" w:rsidR="008F0F94" w:rsidRPr="00BF78FC" w:rsidRDefault="008F0F94" w:rsidP="00DA5A48">
      <w:pPr>
        <w:pStyle w:val="Text"/>
      </w:pPr>
      <w:r w:rsidRPr="00BF78FC">
        <w:t xml:space="preserve"> v tom:</w:t>
      </w:r>
    </w:p>
    <w:p w14:paraId="543B30DA" w14:textId="77777777" w:rsidR="008F0F94" w:rsidRPr="00BF78FC" w:rsidRDefault="008F0F94" w:rsidP="00DA5A48">
      <w:pPr>
        <w:pStyle w:val="Text"/>
      </w:pPr>
      <w:r w:rsidRPr="00BF78FC">
        <w:t>•</w:t>
      </w:r>
      <w:r w:rsidRPr="00BF78FC">
        <w:tab/>
        <w:t>pro vlastní MŠMT (včetně splátky EIB)</w:t>
      </w:r>
      <w:r w:rsidR="003B4B8F" w:rsidRPr="00BF78FC">
        <w:tab/>
      </w:r>
      <w:r w:rsidR="00BF78FC" w:rsidRPr="00BF78FC">
        <w:rPr>
          <w:color w:val="000000"/>
        </w:rPr>
        <w:t>91 711 000</w:t>
      </w:r>
      <w:r w:rsidRPr="00BF78FC">
        <w:t xml:space="preserve"> Kč</w:t>
      </w:r>
    </w:p>
    <w:p w14:paraId="7DCE04EA" w14:textId="77777777" w:rsidR="008F0F94" w:rsidRPr="00BF78FC" w:rsidRDefault="008F0F94" w:rsidP="00DA5A48">
      <w:pPr>
        <w:pStyle w:val="Text"/>
      </w:pPr>
      <w:r w:rsidRPr="00BF78FC">
        <w:t>•</w:t>
      </w:r>
      <w:r w:rsidRPr="00BF78FC">
        <w:tab/>
        <w:t>pro ČŠI</w:t>
      </w:r>
      <w:r w:rsidRPr="00BF78FC">
        <w:tab/>
      </w:r>
      <w:r w:rsidR="00BF78FC" w:rsidRPr="00BF78FC">
        <w:rPr>
          <w:color w:val="000000"/>
        </w:rPr>
        <w:t>979 000</w:t>
      </w:r>
      <w:r w:rsidRPr="00BF78FC">
        <w:t xml:space="preserve"> Kč</w:t>
      </w:r>
    </w:p>
    <w:p w14:paraId="639F9086" w14:textId="77777777" w:rsidR="008F0F94" w:rsidRPr="00BF78FC" w:rsidRDefault="008F0F94" w:rsidP="00DA5A48">
      <w:pPr>
        <w:pStyle w:val="Text"/>
      </w:pPr>
      <w:r w:rsidRPr="00BF78FC">
        <w:t>Rozpis rozpočtu běžných výdajů státní správy na rok 201</w:t>
      </w:r>
      <w:r w:rsidR="00BF78FC">
        <w:t>9</w:t>
      </w:r>
      <w:r w:rsidRPr="00BF78FC">
        <w:t xml:space="preserve"> je uveden v tab. č. 2a.</w:t>
      </w:r>
    </w:p>
    <w:p w14:paraId="7B7846E8" w14:textId="77777777" w:rsidR="008F0F94" w:rsidRPr="00853611" w:rsidRDefault="008F0F94" w:rsidP="00036051">
      <w:pPr>
        <w:rPr>
          <w:color w:val="548DD4"/>
          <w:szCs w:val="24"/>
          <w:highlight w:val="yellow"/>
          <w:u w:val="single"/>
        </w:rPr>
      </w:pPr>
    </w:p>
    <w:p w14:paraId="50453781" w14:textId="77777777" w:rsidR="00C069EF" w:rsidRPr="00345DB4" w:rsidRDefault="00C069EF" w:rsidP="00B26388">
      <w:pPr>
        <w:pStyle w:val="Nadpis3"/>
      </w:pPr>
      <w:bookmarkStart w:id="177" w:name="_Toc5968888"/>
      <w:r w:rsidRPr="00345DB4">
        <w:t>Zahraniční rozvojová spolupráce</w:t>
      </w:r>
      <w:bookmarkEnd w:id="177"/>
    </w:p>
    <w:p w14:paraId="0A6F2835" w14:textId="77777777" w:rsidR="00C069EF" w:rsidRPr="00853611" w:rsidRDefault="00C069EF" w:rsidP="00C069EF">
      <w:pPr>
        <w:ind w:left="567" w:hanging="567"/>
        <w:rPr>
          <w:b/>
          <w:color w:val="FF0000"/>
          <w:sz w:val="16"/>
          <w:szCs w:val="16"/>
          <w:highlight w:val="yellow"/>
        </w:rPr>
      </w:pPr>
    </w:p>
    <w:p w14:paraId="656632A6" w14:textId="3B05569B" w:rsidR="00345DB4" w:rsidRPr="00345DB4" w:rsidRDefault="00345DB4" w:rsidP="00345DB4">
      <w:pPr>
        <w:pStyle w:val="Text"/>
      </w:pPr>
      <w:r w:rsidRPr="005834E8">
        <w:t>Na zahraniční rozvojovou spolupráci jsou na rok 201</w:t>
      </w:r>
      <w:r>
        <w:t>9</w:t>
      </w:r>
      <w:r w:rsidRPr="005834E8">
        <w:t xml:space="preserve"> vyčleněny finanční prostředky v celkové výši </w:t>
      </w:r>
      <w:r>
        <w:t>125 500</w:t>
      </w:r>
      <w:r w:rsidRPr="005834E8">
        <w:t xml:space="preserve"> 000 Kč. Tato částka je v plné výši zahrnuta do projektu „Studium studentů z rozvojových a jiných potřebných zemí na VVŠ v ČR na základě usnesení vlády ČR č. 301/2012</w:t>
      </w:r>
      <w:r w:rsidR="00502C3D">
        <w:t xml:space="preserve"> a č.77/2019</w:t>
      </w:r>
      <w:r w:rsidRPr="00345DB4">
        <w:t xml:space="preserve">“. </w:t>
      </w:r>
    </w:p>
    <w:p w14:paraId="1CB1E964" w14:textId="77777777" w:rsidR="0006164B" w:rsidRPr="00345DB4" w:rsidRDefault="0006164B" w:rsidP="00DA5A48">
      <w:pPr>
        <w:pStyle w:val="Text"/>
      </w:pPr>
    </w:p>
    <w:p w14:paraId="7053680F" w14:textId="77777777" w:rsidR="00C069EF" w:rsidRPr="00345DB4" w:rsidRDefault="00C069EF" w:rsidP="00B26388">
      <w:pPr>
        <w:pStyle w:val="Nadpis3"/>
      </w:pPr>
      <w:bookmarkStart w:id="178" w:name="_Toc5968889"/>
      <w:r w:rsidRPr="00345DB4">
        <w:t>Podpora vzdělávání národnostních menšin a multikulturní výchovy</w:t>
      </w:r>
      <w:bookmarkEnd w:id="178"/>
      <w:r w:rsidRPr="00345DB4">
        <w:t xml:space="preserve"> </w:t>
      </w:r>
    </w:p>
    <w:p w14:paraId="4ACBF345" w14:textId="77777777" w:rsidR="00C069EF" w:rsidRPr="00345DB4" w:rsidRDefault="00C069EF" w:rsidP="004E5E80">
      <w:pPr>
        <w:pStyle w:val="KS5"/>
        <w:numPr>
          <w:ilvl w:val="0"/>
          <w:numId w:val="0"/>
        </w:numPr>
        <w:ind w:left="1134"/>
      </w:pPr>
    </w:p>
    <w:p w14:paraId="0D408698" w14:textId="5F84A8D2" w:rsidR="00345DB4" w:rsidRPr="00345DB4" w:rsidRDefault="00345DB4" w:rsidP="00345DB4">
      <w:pPr>
        <w:pStyle w:val="Text"/>
      </w:pPr>
      <w:r w:rsidRPr="00345DB4">
        <w:t>Na výzvu na podávání žádostí o poskytnutí dotace na podporu vzdělávacích aktivit národnostních menšin v roce 2019 je vyčleněno celkem 15 0</w:t>
      </w:r>
      <w:r w:rsidR="00CB3D1B">
        <w:t>39 000 Kč, z toho prostředky na </w:t>
      </w:r>
      <w:r w:rsidRPr="00345DB4">
        <w:t xml:space="preserve">platy 600 000 Kč, OON 2 972 000 Kč, OBV 10 816 000 Kč a 651 000 Kč na zákonné odvody a FKSP. </w:t>
      </w:r>
    </w:p>
    <w:p w14:paraId="7F78379A" w14:textId="7F31C2A3" w:rsidR="00345DB4" w:rsidRPr="00345DB4" w:rsidRDefault="00345DB4" w:rsidP="00345DB4">
      <w:pPr>
        <w:pStyle w:val="Text"/>
      </w:pPr>
      <w:r w:rsidRPr="00345DB4">
        <w:t xml:space="preserve">Dotační výzva je každoročně vyhlašována na základě nařízení vlády č. 98/2002 Sb., kterým se stanoví podmínky a způsob poskytování dotací ze státního rozpočtu na aktivity příslušníků národnostních menšin a na podporu integrace </w:t>
      </w:r>
      <w:r w:rsidR="00CB3D1B">
        <w:t>příslušníků romské komunity, ve </w:t>
      </w:r>
      <w:r w:rsidRPr="00345DB4">
        <w:t xml:space="preserve">znění pozdějších předpisů. </w:t>
      </w:r>
    </w:p>
    <w:p w14:paraId="41FA0C9A" w14:textId="77777777" w:rsidR="00345DB4" w:rsidRPr="00345DB4" w:rsidRDefault="00345DB4" w:rsidP="00345DB4">
      <w:pPr>
        <w:pStyle w:val="Text"/>
      </w:pPr>
      <w:r w:rsidRPr="00345DB4">
        <w:t>Prostřednictvím dotační výzvy je plněna řada mezinárodních smluv i vládních usnesení – např. Strategie boje proti extremismu, Charta evropských či menšinových jazyků, Rámcová úmluva o ochraně národnostních menšin, Mezinárodní konference Fenomén Holocaust, atp.</w:t>
      </w:r>
    </w:p>
    <w:p w14:paraId="30C23AF3" w14:textId="77777777" w:rsidR="00345DB4" w:rsidRPr="00345DB4" w:rsidRDefault="00345DB4" w:rsidP="00345DB4">
      <w:pPr>
        <w:pStyle w:val="Text"/>
      </w:pPr>
      <w:r w:rsidRPr="00345DB4">
        <w:t>Výzva je rozdělena do dvou modulů:</w:t>
      </w:r>
    </w:p>
    <w:p w14:paraId="265C4F4D" w14:textId="77777777" w:rsidR="00345DB4" w:rsidRPr="00345DB4" w:rsidRDefault="00345DB4" w:rsidP="005B6E93">
      <w:pPr>
        <w:numPr>
          <w:ilvl w:val="0"/>
          <w:numId w:val="44"/>
        </w:numPr>
        <w:rPr>
          <w:szCs w:val="24"/>
        </w:rPr>
      </w:pPr>
      <w:r w:rsidRPr="00345DB4">
        <w:rPr>
          <w:szCs w:val="24"/>
        </w:rPr>
        <w:t>podpora vzdělávání v jazycích národnostních menšin,</w:t>
      </w:r>
    </w:p>
    <w:p w14:paraId="3E5AFA57" w14:textId="77777777" w:rsidR="00345DB4" w:rsidRPr="00345DB4" w:rsidRDefault="00345DB4" w:rsidP="005B6E93">
      <w:pPr>
        <w:numPr>
          <w:ilvl w:val="0"/>
          <w:numId w:val="44"/>
        </w:numPr>
        <w:rPr>
          <w:szCs w:val="24"/>
        </w:rPr>
      </w:pPr>
      <w:r w:rsidRPr="00345DB4">
        <w:rPr>
          <w:szCs w:val="24"/>
        </w:rPr>
        <w:t>podpora aktivit národnostních menšin.</w:t>
      </w:r>
    </w:p>
    <w:p w14:paraId="4342AC61" w14:textId="77777777" w:rsidR="00564484" w:rsidRPr="00345DB4" w:rsidRDefault="00564484" w:rsidP="0031482F">
      <w:pPr>
        <w:pStyle w:val="Nadpis4"/>
        <w:numPr>
          <w:ilvl w:val="0"/>
          <w:numId w:val="0"/>
        </w:numPr>
        <w:ind w:left="864"/>
      </w:pPr>
    </w:p>
    <w:p w14:paraId="6FDBD7BB" w14:textId="77777777" w:rsidR="00C069EF" w:rsidRPr="00345DB4" w:rsidRDefault="00C069EF" w:rsidP="00B26388">
      <w:pPr>
        <w:pStyle w:val="Nadpis3"/>
      </w:pPr>
      <w:bookmarkStart w:id="179" w:name="_Toc242256136"/>
      <w:bookmarkStart w:id="180" w:name="_Toc5968890"/>
      <w:r w:rsidRPr="00345DB4">
        <w:t>Program sociální prevence a prevence kriminality</w:t>
      </w:r>
      <w:bookmarkEnd w:id="179"/>
      <w:bookmarkEnd w:id="180"/>
    </w:p>
    <w:p w14:paraId="5FF0209C" w14:textId="77777777" w:rsidR="00C069EF" w:rsidRPr="00345DB4" w:rsidRDefault="00C069EF" w:rsidP="00C069EF">
      <w:pPr>
        <w:ind w:left="360"/>
        <w:rPr>
          <w:b/>
          <w:color w:val="548DD4"/>
          <w:szCs w:val="24"/>
        </w:rPr>
      </w:pPr>
      <w:r w:rsidRPr="00345DB4">
        <w:rPr>
          <w:b/>
          <w:color w:val="548DD4"/>
          <w:szCs w:val="24"/>
        </w:rPr>
        <w:t xml:space="preserve"> </w:t>
      </w:r>
    </w:p>
    <w:p w14:paraId="1A1FEE4B" w14:textId="77777777" w:rsidR="00345DB4" w:rsidRPr="00345DB4" w:rsidRDefault="00345DB4" w:rsidP="00345DB4">
      <w:pPr>
        <w:pStyle w:val="Text"/>
      </w:pPr>
      <w:bookmarkStart w:id="181" w:name="_Toc341677475"/>
      <w:r w:rsidRPr="00345DB4">
        <w:t>Na program prevence kriminality je vyčleněno 8 132 000 Kč, z toho prostředky na platy 150 000 Kč, OON 1 200 000 Kč, OBV 6 529 000 Kč a 253 000 Kč na zákonné odvody a FKSP.</w:t>
      </w:r>
    </w:p>
    <w:p w14:paraId="5605831E" w14:textId="65C8E1FC" w:rsidR="00345DB4" w:rsidRPr="002C3CEF" w:rsidRDefault="00345DB4" w:rsidP="00345DB4">
      <w:pPr>
        <w:pStyle w:val="Text"/>
      </w:pPr>
      <w:r w:rsidRPr="00345DB4">
        <w:t>Dotační program prevence kriminality je vyhlašován v</w:t>
      </w:r>
      <w:r w:rsidRPr="002C3CEF">
        <w:t xml:space="preserve"> souladu s Národní strategií primární prevence rizikového chování u dětí a mládeže v působnosti MŠMT, Strategií prevence kriminality v České republice na léta 2016 až 2020, Národní strategií protidrogové politiky na období a s Akčním plánem realizace Národní strategie proti</w:t>
      </w:r>
      <w:r w:rsidR="00E65EE1">
        <w:t>drogové politiky, v </w:t>
      </w:r>
      <w:r w:rsidRPr="002C3CEF">
        <w:t>platném znění, zákonem č. 65/2017 Sb., o ochraně zdraví před škodlivými účinky návykových látek, ve znění pozdějších předpisů.</w:t>
      </w:r>
    </w:p>
    <w:p w14:paraId="2C8407DE" w14:textId="77777777" w:rsidR="00345DB4" w:rsidRPr="002C3CEF" w:rsidRDefault="00345DB4" w:rsidP="00345DB4">
      <w:pPr>
        <w:pStyle w:val="Text"/>
      </w:pPr>
    </w:p>
    <w:p w14:paraId="602E8DB0" w14:textId="77777777" w:rsidR="00345DB4" w:rsidRPr="002C3CEF" w:rsidRDefault="00345DB4" w:rsidP="00345DB4">
      <w:pPr>
        <w:ind w:left="284"/>
      </w:pPr>
      <w:r w:rsidRPr="002C3CEF">
        <w:t>Prostředky jsou určeny primárně do oblasti:</w:t>
      </w:r>
    </w:p>
    <w:p w14:paraId="74FE820F" w14:textId="77777777" w:rsidR="00345DB4" w:rsidRPr="002C3CEF" w:rsidRDefault="00345DB4" w:rsidP="009404D4">
      <w:pPr>
        <w:pStyle w:val="Odstavecseseznamem"/>
        <w:numPr>
          <w:ilvl w:val="0"/>
          <w:numId w:val="78"/>
        </w:numPr>
        <w:ind w:left="851" w:hanging="567"/>
      </w:pPr>
      <w:r w:rsidRPr="002C3CEF">
        <w:lastRenderedPageBreak/>
        <w:t>plnění úkolů v oblasti prevence kriminality a rizikového chování,</w:t>
      </w:r>
    </w:p>
    <w:p w14:paraId="62D07395" w14:textId="16033201" w:rsidR="00345DB4" w:rsidRDefault="00345DB4" w:rsidP="009404D4">
      <w:pPr>
        <w:pStyle w:val="Odstavecseseznamem"/>
        <w:numPr>
          <w:ilvl w:val="0"/>
          <w:numId w:val="78"/>
        </w:numPr>
        <w:ind w:left="851" w:hanging="567"/>
      </w:pPr>
      <w:r w:rsidRPr="002C3CEF">
        <w:t>zabezpečení úkolů a činností vyplývajících z vyhlášeného programu na podporu aktivit v oblasti primární prevence rizikového cho</w:t>
      </w:r>
      <w:r w:rsidR="00E65EE1">
        <w:t>vání realizovaných ve školách a </w:t>
      </w:r>
      <w:r w:rsidRPr="002C3CEF">
        <w:t xml:space="preserve">školských zařízeních, určených školám, školským poradenským </w:t>
      </w:r>
      <w:r w:rsidRPr="00345DB4">
        <w:t>zařízením, školským zařízením pro výkon ústavní péče nebo ochranné výchovy, NNO, církevním organizacím, VŠ apod.</w:t>
      </w:r>
    </w:p>
    <w:p w14:paraId="71EEF7F6" w14:textId="77777777" w:rsidR="00137568" w:rsidRPr="00345DB4" w:rsidRDefault="00137568" w:rsidP="00137568">
      <w:pPr>
        <w:pStyle w:val="Odstavecseseznamem"/>
        <w:ind w:left="851"/>
      </w:pPr>
    </w:p>
    <w:p w14:paraId="77AB9A97" w14:textId="77777777" w:rsidR="00C069EF" w:rsidRPr="00345DB4" w:rsidRDefault="00C069EF" w:rsidP="00B26388">
      <w:pPr>
        <w:pStyle w:val="Nadpis3"/>
      </w:pPr>
      <w:bookmarkStart w:id="182" w:name="_Toc5968891"/>
      <w:r w:rsidRPr="00345DB4">
        <w:t>Program protidrogové politiky</w:t>
      </w:r>
      <w:bookmarkEnd w:id="181"/>
      <w:bookmarkEnd w:id="182"/>
    </w:p>
    <w:p w14:paraId="0D56875F" w14:textId="77777777" w:rsidR="00C069EF" w:rsidRPr="00345DB4" w:rsidRDefault="00C069EF" w:rsidP="0031482F">
      <w:pPr>
        <w:pStyle w:val="KS4"/>
      </w:pPr>
    </w:p>
    <w:p w14:paraId="4B940C5F" w14:textId="77777777" w:rsidR="00345DB4" w:rsidRPr="00345DB4" w:rsidRDefault="00345DB4" w:rsidP="00345DB4">
      <w:pPr>
        <w:pStyle w:val="Text"/>
      </w:pPr>
      <w:r w:rsidRPr="00345DB4">
        <w:t>Na primární prevenci drog je vyčleněno 12 197 000 Kč, z toho prostředky na platy 300 000 Kč, OON 800 000 Kč, OBV 10 841 000 Kč a 256 000 Kč na zákonné odvody a FKSP.</w:t>
      </w:r>
    </w:p>
    <w:p w14:paraId="09AB6F95" w14:textId="27CC62E2" w:rsidR="00345DB4" w:rsidRPr="00345DB4" w:rsidRDefault="00345DB4" w:rsidP="00345DB4">
      <w:pPr>
        <w:pStyle w:val="Text"/>
      </w:pPr>
      <w:r w:rsidRPr="00345DB4">
        <w:t>Dotační program protidrogové politiky je vyhlašován v souladu s Národní strategií primární prevence rizikového chování u dětí a mládeže v působnosti MŠMT, Strategií prevence kriminality v České republice na léta 2016 až 2020, Národní strategií protidrogové politiky na období a s Akčním plánem realizace Národní str</w:t>
      </w:r>
      <w:r w:rsidR="00E65EE1">
        <w:t>ategie protidrogové politiky, v </w:t>
      </w:r>
      <w:r w:rsidRPr="00345DB4">
        <w:t>platném znění, zákonem č. 65/2017 Sb., o ochraně zdraví před škodlivými účinky návykových látek, ve znění pozdějších předpisů.</w:t>
      </w:r>
    </w:p>
    <w:p w14:paraId="10E45D28" w14:textId="77777777" w:rsidR="00345DB4" w:rsidRPr="00345DB4" w:rsidRDefault="00345DB4" w:rsidP="00345DB4">
      <w:pPr>
        <w:pStyle w:val="Text"/>
      </w:pPr>
    </w:p>
    <w:p w14:paraId="23D67996" w14:textId="77777777" w:rsidR="00345DB4" w:rsidRPr="00345DB4" w:rsidRDefault="00345DB4" w:rsidP="00345DB4">
      <w:pPr>
        <w:ind w:left="567"/>
      </w:pPr>
      <w:r w:rsidRPr="00345DB4">
        <w:t>Prostředky jsou určeny primárně do oblastí:</w:t>
      </w:r>
    </w:p>
    <w:p w14:paraId="76032FDA" w14:textId="77777777" w:rsidR="00345DB4" w:rsidRPr="00345DB4" w:rsidRDefault="00345DB4" w:rsidP="003174B4">
      <w:pPr>
        <w:pStyle w:val="Odstavecseseznamem"/>
        <w:numPr>
          <w:ilvl w:val="0"/>
          <w:numId w:val="77"/>
        </w:numPr>
        <w:ind w:left="1134" w:hanging="567"/>
      </w:pPr>
      <w:r w:rsidRPr="00345DB4">
        <w:t xml:space="preserve">plnění úkolů v oblasti protidrogové politiky, </w:t>
      </w:r>
    </w:p>
    <w:p w14:paraId="734FBF85" w14:textId="1023CEFC" w:rsidR="00345DB4" w:rsidRPr="00345DB4" w:rsidRDefault="00345DB4" w:rsidP="003174B4">
      <w:pPr>
        <w:pStyle w:val="Odstavecseseznamem"/>
        <w:numPr>
          <w:ilvl w:val="0"/>
          <w:numId w:val="77"/>
        </w:numPr>
        <w:ind w:left="1134" w:hanging="567"/>
      </w:pPr>
      <w:r w:rsidRPr="00345DB4">
        <w:t>zabezpečení úkolů a činností vyplývajících z vyhlášené</w:t>
      </w:r>
      <w:r w:rsidR="003174B4">
        <w:t xml:space="preserve">ho programu </w:t>
      </w:r>
      <w:r w:rsidRPr="00345DB4">
        <w:t>na podporu aktivit v oblasti primární prevence rizikového cho</w:t>
      </w:r>
      <w:r w:rsidR="00E65EE1">
        <w:t>vání realizovaných ve školách a </w:t>
      </w:r>
      <w:r w:rsidRPr="00345DB4">
        <w:t>školských poradenských zařízeních, určených školám, školským poradenským zařízením, školským zařízením pro výkon ústavní péče nebo ochranné výchovy, NNO, církevním organizacím, VŠ apod.</w:t>
      </w:r>
    </w:p>
    <w:p w14:paraId="55733EEF" w14:textId="77777777" w:rsidR="006E6AF0" w:rsidRPr="00345DB4" w:rsidRDefault="006E6AF0" w:rsidP="00C069EF">
      <w:pPr>
        <w:rPr>
          <w:color w:val="548DD4"/>
          <w:szCs w:val="24"/>
        </w:rPr>
      </w:pPr>
    </w:p>
    <w:p w14:paraId="41424D23" w14:textId="77777777" w:rsidR="00C069EF" w:rsidRPr="00345DB4" w:rsidRDefault="00C069EF" w:rsidP="00B26388">
      <w:pPr>
        <w:pStyle w:val="Nadpis3"/>
      </w:pPr>
      <w:bookmarkStart w:id="183" w:name="_Toc341677476"/>
      <w:bookmarkStart w:id="184" w:name="_Toc5968892"/>
      <w:r w:rsidRPr="00345DB4">
        <w:t>Program integrace příslušníků romské komunity</w:t>
      </w:r>
      <w:bookmarkEnd w:id="183"/>
      <w:bookmarkEnd w:id="184"/>
      <w:r w:rsidRPr="00345DB4">
        <w:t xml:space="preserve"> </w:t>
      </w:r>
    </w:p>
    <w:p w14:paraId="27960A4A" w14:textId="77777777" w:rsidR="00C069EF" w:rsidRPr="00345DB4" w:rsidRDefault="00C069EF" w:rsidP="00C069EF">
      <w:pPr>
        <w:ind w:firstLine="348"/>
      </w:pPr>
    </w:p>
    <w:p w14:paraId="421572CD" w14:textId="77777777" w:rsidR="00345DB4" w:rsidRPr="002C3CEF" w:rsidRDefault="00345DB4" w:rsidP="00345DB4">
      <w:pPr>
        <w:pStyle w:val="Text"/>
      </w:pPr>
      <w:bookmarkStart w:id="185" w:name="_Toc242256137"/>
      <w:r w:rsidRPr="00345DB4">
        <w:t>Na program integrace příslušníků romské menšiny je vyčleněno celkem 19 875 000 Kč, z toho prostředky na platy 350 000 Kč, OON 2 268 000 Kč, OBV 17 000 000 Kč a 257 000 Kč na zákonné odvody a FKSP.</w:t>
      </w:r>
    </w:p>
    <w:p w14:paraId="4BE20BF9" w14:textId="36F5F80E" w:rsidR="00345DB4" w:rsidRPr="003174B4" w:rsidRDefault="00345DB4" w:rsidP="00345DB4">
      <w:pPr>
        <w:pStyle w:val="Text"/>
      </w:pPr>
      <w:r w:rsidRPr="002C3CEF">
        <w:t xml:space="preserve">V rámci </w:t>
      </w:r>
      <w:r w:rsidR="00D12DFF">
        <w:t>tohoto programu</w:t>
      </w:r>
      <w:r w:rsidRPr="002C3CEF">
        <w:t xml:space="preserve"> jsou zahrnuty dvě výzvy zaměřené na podporu vzdělávání příslušníků romské menšiny, jejichž cílem je podpořit vytváření podmínek pro plné zapojení dětí, žáků a studentů ze sociálně znevýhodněného prostředí do hlavního vzdělávacího proudu v oblasti </w:t>
      </w:r>
      <w:r w:rsidRPr="003174B4">
        <w:t xml:space="preserve">předškolního, základního i středního vzdělávání. </w:t>
      </w:r>
    </w:p>
    <w:p w14:paraId="689DF1CD" w14:textId="77777777" w:rsidR="00CB3D1B" w:rsidRPr="003174B4" w:rsidRDefault="00CB3D1B" w:rsidP="00345DB4">
      <w:pPr>
        <w:ind w:left="709"/>
        <w:rPr>
          <w:szCs w:val="24"/>
        </w:rPr>
      </w:pPr>
    </w:p>
    <w:p w14:paraId="18B72AD6" w14:textId="77777777" w:rsidR="00345DB4" w:rsidRPr="003174B4" w:rsidRDefault="00345DB4" w:rsidP="00345DB4">
      <w:pPr>
        <w:ind w:left="567"/>
        <w:rPr>
          <w:szCs w:val="24"/>
          <w:u w:val="single"/>
        </w:rPr>
      </w:pPr>
      <w:r w:rsidRPr="003174B4">
        <w:rPr>
          <w:szCs w:val="24"/>
          <w:u w:val="single"/>
        </w:rPr>
        <w:t>Finanční prostředky jsou určeny pro následující výzvy:</w:t>
      </w:r>
    </w:p>
    <w:p w14:paraId="45F3238A" w14:textId="77777777" w:rsidR="00345DB4" w:rsidRPr="003174B4" w:rsidRDefault="00345DB4" w:rsidP="0031482F">
      <w:pPr>
        <w:pStyle w:val="KS4"/>
      </w:pPr>
    </w:p>
    <w:p w14:paraId="1BA75022" w14:textId="77777777" w:rsidR="00345DB4" w:rsidRPr="003174B4" w:rsidRDefault="00345DB4" w:rsidP="003174B4">
      <w:pPr>
        <w:numPr>
          <w:ilvl w:val="0"/>
          <w:numId w:val="7"/>
        </w:numPr>
        <w:rPr>
          <w:szCs w:val="24"/>
        </w:rPr>
      </w:pPr>
      <w:r w:rsidRPr="003174B4">
        <w:rPr>
          <w:szCs w:val="24"/>
        </w:rPr>
        <w:t>Podpora integrace romské menšiny</w:t>
      </w:r>
    </w:p>
    <w:p w14:paraId="7CB9EA83" w14:textId="6515319A" w:rsidR="00345DB4" w:rsidRPr="003174B4" w:rsidRDefault="00345DB4" w:rsidP="003174B4">
      <w:pPr>
        <w:tabs>
          <w:tab w:val="num" w:pos="720"/>
        </w:tabs>
        <w:ind w:left="709"/>
        <w:rPr>
          <w:szCs w:val="24"/>
        </w:rPr>
      </w:pPr>
      <w:r w:rsidRPr="003174B4">
        <w:rPr>
          <w:szCs w:val="24"/>
        </w:rPr>
        <w:t>Výzva je každoročně vyhlašována na základě nařízení vlády č. 98/2002 Sb., Finanční prostředky jsou určeny na vzdělávací aktivity pro p</w:t>
      </w:r>
      <w:r w:rsidR="00E65EE1">
        <w:rPr>
          <w:szCs w:val="24"/>
        </w:rPr>
        <w:t>odporu aktivit spolků, nadací a </w:t>
      </w:r>
      <w:r w:rsidRPr="003174B4">
        <w:rPr>
          <w:szCs w:val="24"/>
        </w:rPr>
        <w:t xml:space="preserve">nadačních fondů, obecně prospěšných společností, které prokazatelně vykonávají činnost ve prospěch romské menšiny nejméně 1 rok. V oblasti vzdělávání je program tematicky zaměřen na romské děti, jejich rodiče a pedagogické pracovníky od předškolního vzdělávání přes vzdělávání na základních školách a volbu povolání až po podporu školní úspěšnosti romských žáků na školách středních. Prioritně jsou pro rok </w:t>
      </w:r>
      <w:r w:rsidRPr="003174B4">
        <w:rPr>
          <w:szCs w:val="24"/>
        </w:rPr>
        <w:lastRenderedPageBreak/>
        <w:t>2019 preferovány oblasti předškolního vzdělávání a včasné péče a vzdělávání pedagogických pracovníků.</w:t>
      </w:r>
    </w:p>
    <w:p w14:paraId="03668C58" w14:textId="06E112BD" w:rsidR="00345DB4" w:rsidRPr="003174B4" w:rsidRDefault="00345DB4" w:rsidP="003174B4">
      <w:pPr>
        <w:numPr>
          <w:ilvl w:val="0"/>
          <w:numId w:val="7"/>
        </w:numPr>
        <w:rPr>
          <w:szCs w:val="24"/>
        </w:rPr>
      </w:pPr>
      <w:r w:rsidRPr="003174B4">
        <w:rPr>
          <w:szCs w:val="24"/>
        </w:rPr>
        <w:t>Podpora sociálně znevýhodněných romských žáků</w:t>
      </w:r>
      <w:r w:rsidR="00E65EE1">
        <w:rPr>
          <w:szCs w:val="24"/>
        </w:rPr>
        <w:t xml:space="preserve"> středních škol, konzervatoří a </w:t>
      </w:r>
      <w:r w:rsidRPr="003174B4">
        <w:rPr>
          <w:szCs w:val="24"/>
        </w:rPr>
        <w:t>studentů vyšších odborných škol</w:t>
      </w:r>
      <w:r w:rsidRPr="003174B4">
        <w:rPr>
          <w:bCs/>
          <w:szCs w:val="24"/>
        </w:rPr>
        <w:t xml:space="preserve"> </w:t>
      </w:r>
    </w:p>
    <w:p w14:paraId="1022BD0D" w14:textId="77777777" w:rsidR="00345DB4" w:rsidRPr="00137568" w:rsidRDefault="00345DB4" w:rsidP="003174B4">
      <w:pPr>
        <w:tabs>
          <w:tab w:val="num" w:pos="720"/>
        </w:tabs>
        <w:ind w:left="709"/>
        <w:rPr>
          <w:szCs w:val="24"/>
        </w:rPr>
      </w:pPr>
      <w:r w:rsidRPr="003174B4">
        <w:rPr>
          <w:szCs w:val="24"/>
        </w:rPr>
        <w:t xml:space="preserve">Výzva je realizována na základě vládního usnesení č. 386/2000 ze dne 19. dubna 2000. Usnesení vlády č. 607/2004 ze dne 16. června 2004 uložilo MŠMT povinnost zajistit jeho průběžné fungování. Ve výzvě jsou poskytovány dotace právnickým </w:t>
      </w:r>
      <w:r w:rsidRPr="002C3CEF">
        <w:rPr>
          <w:szCs w:val="24"/>
        </w:rPr>
        <w:t xml:space="preserve">osobám vykonávajícím činnost střední školy, konzervatoře nebo vyšší odborné školy zapsané ve školském rejstříku podle školského zákona na zajištění motivačního faktoru pro vzdělávání romských žáků a studentů ve středních školách, vyšších </w:t>
      </w:r>
      <w:r w:rsidRPr="00137568">
        <w:rPr>
          <w:szCs w:val="24"/>
        </w:rPr>
        <w:t>odborných školách a konzervatořích, pokud jsou občany ČR, jejichž rodinám působí náklady spojené se středním nebo vyšším odborným vzděláváním finanční obtíže.</w:t>
      </w:r>
      <w:bookmarkEnd w:id="185"/>
    </w:p>
    <w:p w14:paraId="1FBB4E3A" w14:textId="77777777" w:rsidR="002E2BDF" w:rsidRPr="00137568" w:rsidRDefault="002E2BDF" w:rsidP="00CF49A5">
      <w:pPr>
        <w:rPr>
          <w:b/>
          <w:i/>
          <w:sz w:val="20"/>
          <w:lang w:eastAsia="en-US"/>
        </w:rPr>
      </w:pPr>
    </w:p>
    <w:p w14:paraId="6FB4CAE1" w14:textId="77777777" w:rsidR="00CF49A5" w:rsidRPr="00137568" w:rsidRDefault="00CF49A5" w:rsidP="00CF49A5">
      <w:pPr>
        <w:rPr>
          <w:b/>
          <w:i/>
          <w:sz w:val="20"/>
          <w:lang w:eastAsia="en-US"/>
        </w:rPr>
      </w:pPr>
      <w:r w:rsidRPr="00137568">
        <w:rPr>
          <w:b/>
          <w:i/>
          <w:sz w:val="20"/>
          <w:lang w:eastAsia="en-US"/>
        </w:rPr>
        <w:t>Tabulkové přílohy ke kapitole C.VI:</w:t>
      </w:r>
    </w:p>
    <w:p w14:paraId="05D80258" w14:textId="77777777" w:rsidR="00E21617" w:rsidRPr="00137568" w:rsidRDefault="00E21617" w:rsidP="00CF49A5">
      <w:pPr>
        <w:rPr>
          <w:b/>
          <w:i/>
          <w:sz w:val="20"/>
          <w:lang w:eastAsia="en-US"/>
        </w:rPr>
      </w:pPr>
    </w:p>
    <w:p w14:paraId="4ADE8CF6" w14:textId="77777777" w:rsidR="00254BFB" w:rsidRPr="00254BFB" w:rsidRDefault="00254BFB" w:rsidP="00254BFB">
      <w:pPr>
        <w:ind w:left="1418" w:hanging="1418"/>
        <w:rPr>
          <w:sz w:val="20"/>
          <w:lang w:eastAsia="en-US"/>
        </w:rPr>
      </w:pPr>
      <w:r w:rsidRPr="00254BFB">
        <w:rPr>
          <w:sz w:val="20"/>
          <w:lang w:eastAsia="en-US"/>
        </w:rPr>
        <w:t>Tabulka č.1</w:t>
      </w:r>
      <w:r w:rsidRPr="00254BFB">
        <w:rPr>
          <w:sz w:val="20"/>
          <w:lang w:eastAsia="en-US"/>
        </w:rPr>
        <w:tab/>
        <w:t>Rozpočet výdajů OPŘO, společné a účelově vymezené úkoly na rok 2019 (vč. zahraničních aktivit)</w:t>
      </w:r>
    </w:p>
    <w:p w14:paraId="56D28C89" w14:textId="77777777" w:rsidR="00254BFB" w:rsidRPr="00254BFB" w:rsidRDefault="00254BFB" w:rsidP="00254BFB">
      <w:pPr>
        <w:ind w:left="1418" w:hanging="1418"/>
        <w:rPr>
          <w:sz w:val="20"/>
          <w:lang w:eastAsia="en-US"/>
        </w:rPr>
      </w:pPr>
      <w:r w:rsidRPr="00254BFB">
        <w:rPr>
          <w:sz w:val="20"/>
          <w:lang w:eastAsia="en-US"/>
        </w:rPr>
        <w:t>Tabulka č.1a</w:t>
      </w:r>
      <w:r w:rsidRPr="00254BFB">
        <w:rPr>
          <w:sz w:val="20"/>
          <w:lang w:eastAsia="en-US"/>
        </w:rPr>
        <w:tab/>
      </w:r>
      <w:r w:rsidR="00E77E08" w:rsidRPr="00E77E08">
        <w:rPr>
          <w:sz w:val="20"/>
          <w:lang w:eastAsia="en-US"/>
        </w:rPr>
        <w:t>Celkový rozpočet běžných výdajů oblasti OPŘO při zapojení rezervního fondu do financování na r. 2019</w:t>
      </w:r>
    </w:p>
    <w:p w14:paraId="6666556F" w14:textId="77777777" w:rsidR="00254BFB" w:rsidRPr="00254BFB" w:rsidRDefault="00254BFB" w:rsidP="00254BFB">
      <w:pPr>
        <w:ind w:left="1418" w:hanging="1418"/>
        <w:rPr>
          <w:sz w:val="20"/>
          <w:lang w:eastAsia="en-US"/>
        </w:rPr>
      </w:pPr>
      <w:r w:rsidRPr="00254BFB">
        <w:rPr>
          <w:sz w:val="20"/>
          <w:lang w:eastAsia="en-US"/>
        </w:rPr>
        <w:t>Tabulka č.1b</w:t>
      </w:r>
      <w:r w:rsidRPr="00254BFB">
        <w:rPr>
          <w:sz w:val="20"/>
          <w:lang w:eastAsia="en-US"/>
        </w:rPr>
        <w:tab/>
      </w:r>
      <w:r w:rsidR="00E77E08" w:rsidRPr="00E77E08">
        <w:rPr>
          <w:sz w:val="20"/>
          <w:lang w:eastAsia="en-US"/>
        </w:rPr>
        <w:t>Rozpočet resortních projektů na rok 2019 podle schválených PHÚ včetně doplnění</w:t>
      </w:r>
    </w:p>
    <w:p w14:paraId="7EE87237" w14:textId="77777777" w:rsidR="00E77E08" w:rsidRDefault="00254BFB" w:rsidP="00254BFB">
      <w:pPr>
        <w:ind w:left="1418" w:hanging="1418"/>
        <w:rPr>
          <w:sz w:val="20"/>
          <w:lang w:eastAsia="en-US"/>
        </w:rPr>
      </w:pPr>
      <w:r w:rsidRPr="00254BFB">
        <w:rPr>
          <w:sz w:val="20"/>
          <w:lang w:eastAsia="en-US"/>
        </w:rPr>
        <w:t>Tabulka č.1c</w:t>
      </w:r>
      <w:r w:rsidRPr="00254BFB">
        <w:rPr>
          <w:sz w:val="20"/>
          <w:lang w:eastAsia="en-US"/>
        </w:rPr>
        <w:tab/>
      </w:r>
      <w:r w:rsidR="00E77E08" w:rsidRPr="00E77E08">
        <w:rPr>
          <w:sz w:val="20"/>
          <w:lang w:eastAsia="en-US"/>
        </w:rPr>
        <w:t>Rozpočet projektů udržitelnosti na rok 2019 podle schváleného plánu hlavních úkolů NÚV</w:t>
      </w:r>
    </w:p>
    <w:p w14:paraId="3672A197" w14:textId="6BED9275" w:rsidR="00E77E08" w:rsidRDefault="00254BFB" w:rsidP="00254BFB">
      <w:pPr>
        <w:ind w:left="1418" w:hanging="1418"/>
        <w:rPr>
          <w:sz w:val="20"/>
          <w:lang w:eastAsia="en-US"/>
        </w:rPr>
      </w:pPr>
      <w:r w:rsidRPr="00254BFB">
        <w:rPr>
          <w:sz w:val="20"/>
          <w:lang w:eastAsia="en-US"/>
        </w:rPr>
        <w:t>Tabulka č.1d</w:t>
      </w:r>
      <w:r w:rsidRPr="00254BFB">
        <w:rPr>
          <w:sz w:val="20"/>
          <w:lang w:eastAsia="en-US"/>
        </w:rPr>
        <w:tab/>
      </w:r>
      <w:r w:rsidR="00E77E08" w:rsidRPr="00E77E08">
        <w:rPr>
          <w:sz w:val="20"/>
          <w:lang w:eastAsia="en-US"/>
        </w:rPr>
        <w:t>Souhrnný přehled rozpisu rozpočtu n</w:t>
      </w:r>
      <w:r w:rsidR="00E65EE1">
        <w:rPr>
          <w:sz w:val="20"/>
          <w:lang w:eastAsia="en-US"/>
        </w:rPr>
        <w:t xml:space="preserve">ákladů a výnosů OPŘO na r. 2019 </w:t>
      </w:r>
      <w:r w:rsidR="00E77E08" w:rsidRPr="00E77E08">
        <w:rPr>
          <w:sz w:val="20"/>
          <w:lang w:eastAsia="en-US"/>
        </w:rPr>
        <w:t>pro jednotlivé organizace</w:t>
      </w:r>
    </w:p>
    <w:p w14:paraId="66ADF033" w14:textId="77777777" w:rsidR="00254BFB" w:rsidRPr="00254BFB" w:rsidRDefault="00254BFB" w:rsidP="00254BFB">
      <w:pPr>
        <w:ind w:left="1418" w:hanging="1418"/>
        <w:rPr>
          <w:sz w:val="20"/>
          <w:lang w:eastAsia="en-US"/>
        </w:rPr>
      </w:pPr>
      <w:r w:rsidRPr="00254BFB">
        <w:rPr>
          <w:sz w:val="20"/>
          <w:lang w:eastAsia="en-US"/>
        </w:rPr>
        <w:t>Tabulka č.2</w:t>
      </w:r>
      <w:r w:rsidRPr="00254BFB">
        <w:rPr>
          <w:sz w:val="20"/>
          <w:lang w:eastAsia="en-US"/>
        </w:rPr>
        <w:tab/>
        <w:t>Rozpočet výdajů státní správy na rok 2019</w:t>
      </w:r>
    </w:p>
    <w:p w14:paraId="39E4C645" w14:textId="77777777" w:rsidR="00254BFB" w:rsidRPr="00254BFB" w:rsidRDefault="00254BFB" w:rsidP="00254BFB">
      <w:pPr>
        <w:ind w:left="1418" w:hanging="1418"/>
        <w:rPr>
          <w:sz w:val="20"/>
          <w:lang w:eastAsia="en-US"/>
        </w:rPr>
      </w:pPr>
      <w:r w:rsidRPr="00254BFB">
        <w:rPr>
          <w:sz w:val="20"/>
          <w:lang w:eastAsia="en-US"/>
        </w:rPr>
        <w:t>Tabulka č.2a</w:t>
      </w:r>
      <w:r w:rsidRPr="00254BFB">
        <w:rPr>
          <w:sz w:val="20"/>
          <w:lang w:eastAsia="en-US"/>
        </w:rPr>
        <w:tab/>
      </w:r>
      <w:r w:rsidR="00E77E08" w:rsidRPr="00E77E08">
        <w:rPr>
          <w:sz w:val="20"/>
          <w:lang w:eastAsia="en-US"/>
        </w:rPr>
        <w:t>Rozpis běžných výdajů  státní správy na r. 2019</w:t>
      </w:r>
    </w:p>
    <w:p w14:paraId="18971491" w14:textId="77777777" w:rsidR="00254BFB" w:rsidRPr="00A33D15" w:rsidRDefault="00254BFB" w:rsidP="00254BFB">
      <w:pPr>
        <w:ind w:left="1418" w:hanging="1418"/>
        <w:rPr>
          <w:sz w:val="20"/>
          <w:lang w:eastAsia="en-US"/>
        </w:rPr>
      </w:pPr>
      <w:r w:rsidRPr="00254BFB">
        <w:rPr>
          <w:sz w:val="20"/>
          <w:lang w:eastAsia="en-US"/>
        </w:rPr>
        <w:t>Tabulka č.3</w:t>
      </w:r>
      <w:r w:rsidRPr="00254BFB">
        <w:rPr>
          <w:sz w:val="20"/>
          <w:lang w:eastAsia="en-US"/>
        </w:rPr>
        <w:tab/>
        <w:t>Rozpočet výdajů na ostatní programy na rok 2019 (zahraniční rozvojová spolupráce, program podpory vzdělávání v jazycích národnostních menšin a multikulturní výchova, sociální prevence a prevence kriminality, protidrogová politika, integrace příslušníků romské komunity, zajištění přípravy na krizové situace podle zákona č. 240/2000 Sb.)</w:t>
      </w:r>
    </w:p>
    <w:p w14:paraId="76FCCDCC" w14:textId="20E3C5E7" w:rsidR="003F61AA" w:rsidRDefault="0028125D">
      <w:pPr>
        <w:jc w:val="left"/>
        <w:rPr>
          <w:highlight w:val="yellow"/>
        </w:rPr>
      </w:pPr>
      <w:r w:rsidRPr="00853611">
        <w:rPr>
          <w:highlight w:val="yellow"/>
        </w:rPr>
        <w:br w:type="page"/>
      </w:r>
    </w:p>
    <w:p w14:paraId="5D2BFC18" w14:textId="77777777" w:rsidR="003F61AA" w:rsidRDefault="003F61AA">
      <w:pPr>
        <w:jc w:val="left"/>
        <w:rPr>
          <w:highlight w:val="yellow"/>
        </w:rPr>
      </w:pPr>
      <w:r>
        <w:rPr>
          <w:highlight w:val="yellow"/>
        </w:rPr>
        <w:lastRenderedPageBreak/>
        <w:br w:type="page"/>
      </w:r>
    </w:p>
    <w:p w14:paraId="5B70041E" w14:textId="77777777" w:rsidR="00C069EF" w:rsidRPr="00407BAD" w:rsidRDefault="00C069EF" w:rsidP="00F94A17">
      <w:pPr>
        <w:pStyle w:val="Nadpis1"/>
      </w:pPr>
      <w:bookmarkStart w:id="186" w:name="_Toc5968893"/>
      <w:r w:rsidRPr="00407BAD">
        <w:lastRenderedPageBreak/>
        <w:t>Souhrnná rekapitulace výdajů na programové financování</w:t>
      </w:r>
      <w:bookmarkEnd w:id="186"/>
    </w:p>
    <w:p w14:paraId="735ADA39" w14:textId="77777777" w:rsidR="00C069EF" w:rsidRPr="00407BAD" w:rsidRDefault="00C069EF" w:rsidP="00C069EF">
      <w:pPr>
        <w:ind w:firstLine="709"/>
        <w:rPr>
          <w:color w:val="548DD4"/>
        </w:rPr>
      </w:pPr>
    </w:p>
    <w:p w14:paraId="7F72A90D" w14:textId="77777777" w:rsidR="00325ABA" w:rsidRPr="00C11B85" w:rsidRDefault="00325ABA" w:rsidP="00C11B85">
      <w:pPr>
        <w:pStyle w:val="Text"/>
        <w:rPr>
          <w:color w:val="000000"/>
          <w:highlight w:val="yellow"/>
        </w:rPr>
      </w:pPr>
      <w:bookmarkStart w:id="187" w:name="_Toc177969009"/>
      <w:r w:rsidRPr="00407BAD">
        <w:t>V</w:t>
      </w:r>
      <w:r w:rsidRPr="00325ABA">
        <w:t xml:space="preserve"> rozpočtu kapitoly MŠMT na rok 2019 je na výdaje programového financování stanoven objem finančních prostředků ve výši</w:t>
      </w:r>
      <w:r w:rsidRPr="00C11B85">
        <w:rPr>
          <w:b/>
          <w:bCs/>
        </w:rPr>
        <w:t> 5 866 703 995 Kč.</w:t>
      </w:r>
      <w:r w:rsidRPr="00325ABA">
        <w:t xml:space="preserve"> </w:t>
      </w:r>
    </w:p>
    <w:p w14:paraId="6CCC4ABC" w14:textId="77777777" w:rsidR="00325ABA" w:rsidRPr="00325ABA" w:rsidRDefault="00325ABA" w:rsidP="00325ABA">
      <w:pPr>
        <w:rPr>
          <w:sz w:val="16"/>
          <w:szCs w:val="16"/>
        </w:rPr>
      </w:pPr>
      <w:r w:rsidRPr="00325ABA">
        <w:rPr>
          <w:sz w:val="16"/>
          <w:szCs w:val="16"/>
        </w:rPr>
        <w:t xml:space="preserve"> </w:t>
      </w:r>
    </w:p>
    <w:p w14:paraId="745C079A" w14:textId="77777777" w:rsidR="00325ABA" w:rsidRPr="00325ABA" w:rsidRDefault="00325ABA" w:rsidP="00325ABA">
      <w:pPr>
        <w:pStyle w:val="Titulek"/>
        <w:keepNext/>
      </w:pPr>
      <w:bookmarkStart w:id="188" w:name="_Toc5965643"/>
      <w:r w:rsidRPr="00325ABA">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D</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w:t>
      </w:r>
      <w:r w:rsidR="005F53B0">
        <w:rPr>
          <w:noProof/>
        </w:rPr>
        <w:fldChar w:fldCharType="end"/>
      </w:r>
      <w:r w:rsidRPr="00325ABA">
        <w:t>: Struktura programového financování MŠMT na rok 2019 (v Kč)</w:t>
      </w:r>
      <w:bookmarkEnd w:id="188"/>
    </w:p>
    <w:tbl>
      <w:tblPr>
        <w:tblW w:w="9073" w:type="dxa"/>
        <w:jc w:val="center"/>
        <w:tblCellMar>
          <w:left w:w="70" w:type="dxa"/>
          <w:right w:w="70" w:type="dxa"/>
        </w:tblCellMar>
        <w:tblLook w:val="04A0" w:firstRow="1" w:lastRow="0" w:firstColumn="1" w:lastColumn="0" w:noHBand="0" w:noVBand="1"/>
      </w:tblPr>
      <w:tblGrid>
        <w:gridCol w:w="1352"/>
        <w:gridCol w:w="6119"/>
        <w:gridCol w:w="1602"/>
      </w:tblGrid>
      <w:tr w:rsidR="00325ABA" w:rsidRPr="00325ABA" w14:paraId="4916F958" w14:textId="77777777" w:rsidTr="00325ABA">
        <w:trPr>
          <w:trHeight w:val="472"/>
          <w:jc w:val="center"/>
        </w:trPr>
        <w:tc>
          <w:tcPr>
            <w:tcW w:w="1352" w:type="dxa"/>
            <w:tcBorders>
              <w:top w:val="single" w:sz="12" w:space="0" w:color="auto"/>
              <w:left w:val="single" w:sz="12" w:space="0" w:color="auto"/>
              <w:bottom w:val="single" w:sz="12" w:space="0" w:color="auto"/>
              <w:right w:val="single" w:sz="8" w:space="0" w:color="auto"/>
            </w:tcBorders>
            <w:shd w:val="clear" w:color="auto" w:fill="auto"/>
            <w:vAlign w:val="center"/>
            <w:hideMark/>
          </w:tcPr>
          <w:p w14:paraId="099CA226" w14:textId="77777777" w:rsidR="00325ABA" w:rsidRPr="00325ABA" w:rsidRDefault="00325ABA" w:rsidP="00325ABA">
            <w:pPr>
              <w:jc w:val="center"/>
              <w:rPr>
                <w:b/>
                <w:bCs/>
                <w:color w:val="000000"/>
                <w:szCs w:val="24"/>
              </w:rPr>
            </w:pPr>
            <w:r w:rsidRPr="00325ABA">
              <w:rPr>
                <w:b/>
                <w:bCs/>
                <w:color w:val="000000"/>
                <w:szCs w:val="24"/>
              </w:rPr>
              <w:t>č. programu</w:t>
            </w:r>
          </w:p>
        </w:tc>
        <w:tc>
          <w:tcPr>
            <w:tcW w:w="6119" w:type="dxa"/>
            <w:tcBorders>
              <w:top w:val="single" w:sz="12" w:space="0" w:color="auto"/>
              <w:left w:val="nil"/>
              <w:bottom w:val="single" w:sz="12" w:space="0" w:color="auto"/>
              <w:right w:val="single" w:sz="8" w:space="0" w:color="auto"/>
            </w:tcBorders>
            <w:shd w:val="clear" w:color="auto" w:fill="auto"/>
            <w:vAlign w:val="center"/>
            <w:hideMark/>
          </w:tcPr>
          <w:p w14:paraId="59054161" w14:textId="77777777" w:rsidR="00325ABA" w:rsidRPr="00325ABA" w:rsidRDefault="00325ABA" w:rsidP="00325ABA">
            <w:pPr>
              <w:jc w:val="center"/>
              <w:rPr>
                <w:b/>
                <w:bCs/>
                <w:color w:val="000000"/>
                <w:szCs w:val="24"/>
              </w:rPr>
            </w:pPr>
            <w:r w:rsidRPr="00325ABA">
              <w:rPr>
                <w:b/>
                <w:bCs/>
                <w:color w:val="000000"/>
                <w:szCs w:val="24"/>
              </w:rPr>
              <w:t xml:space="preserve">Název programu </w:t>
            </w:r>
          </w:p>
        </w:tc>
        <w:tc>
          <w:tcPr>
            <w:tcW w:w="1602" w:type="dxa"/>
            <w:tcBorders>
              <w:top w:val="single" w:sz="12" w:space="0" w:color="auto"/>
              <w:left w:val="nil"/>
              <w:bottom w:val="single" w:sz="12" w:space="0" w:color="auto"/>
              <w:right w:val="single" w:sz="12" w:space="0" w:color="auto"/>
            </w:tcBorders>
            <w:shd w:val="clear" w:color="auto" w:fill="auto"/>
            <w:vAlign w:val="center"/>
            <w:hideMark/>
          </w:tcPr>
          <w:p w14:paraId="39A9FB35" w14:textId="77777777" w:rsidR="00325ABA" w:rsidRPr="00325ABA" w:rsidRDefault="00325ABA" w:rsidP="00325ABA">
            <w:pPr>
              <w:jc w:val="center"/>
              <w:rPr>
                <w:b/>
                <w:bCs/>
                <w:color w:val="000000"/>
                <w:szCs w:val="24"/>
              </w:rPr>
            </w:pPr>
            <w:r w:rsidRPr="00325ABA">
              <w:rPr>
                <w:b/>
                <w:bCs/>
                <w:color w:val="000000"/>
                <w:szCs w:val="24"/>
              </w:rPr>
              <w:t>SR</w:t>
            </w:r>
          </w:p>
        </w:tc>
      </w:tr>
      <w:tr w:rsidR="00325ABA" w:rsidRPr="00325ABA" w14:paraId="576DBAC0" w14:textId="77777777" w:rsidTr="00325ABA">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tcPr>
          <w:p w14:paraId="11687DB0" w14:textId="77777777" w:rsidR="00325ABA" w:rsidRPr="00325ABA" w:rsidRDefault="00325ABA" w:rsidP="00325ABA">
            <w:pPr>
              <w:jc w:val="center"/>
              <w:rPr>
                <w:color w:val="000000"/>
                <w:szCs w:val="24"/>
              </w:rPr>
            </w:pPr>
            <w:r w:rsidRPr="00325ABA">
              <w:rPr>
                <w:color w:val="000000"/>
                <w:szCs w:val="24"/>
              </w:rPr>
              <w:t>133 010</w:t>
            </w:r>
          </w:p>
        </w:tc>
        <w:tc>
          <w:tcPr>
            <w:tcW w:w="6119" w:type="dxa"/>
            <w:tcBorders>
              <w:top w:val="nil"/>
              <w:left w:val="nil"/>
              <w:bottom w:val="single" w:sz="8" w:space="0" w:color="auto"/>
              <w:right w:val="single" w:sz="8" w:space="0" w:color="auto"/>
            </w:tcBorders>
            <w:shd w:val="clear" w:color="auto" w:fill="auto"/>
            <w:vAlign w:val="center"/>
          </w:tcPr>
          <w:p w14:paraId="70AA7ECF" w14:textId="77777777" w:rsidR="00325ABA" w:rsidRPr="00325ABA" w:rsidRDefault="00325ABA" w:rsidP="00325ABA">
            <w:pPr>
              <w:rPr>
                <w:color w:val="000000"/>
                <w:szCs w:val="24"/>
              </w:rPr>
            </w:pPr>
            <w:r w:rsidRPr="00325ABA">
              <w:rPr>
                <w:color w:val="000000"/>
                <w:szCs w:val="24"/>
              </w:rPr>
              <w:t>Rozvoj a obnova materiálně technické základny systému řízení MŠMT</w:t>
            </w:r>
          </w:p>
        </w:tc>
        <w:tc>
          <w:tcPr>
            <w:tcW w:w="1602" w:type="dxa"/>
            <w:tcBorders>
              <w:top w:val="nil"/>
              <w:left w:val="nil"/>
              <w:bottom w:val="single" w:sz="8" w:space="0" w:color="auto"/>
              <w:right w:val="single" w:sz="12" w:space="0" w:color="auto"/>
            </w:tcBorders>
            <w:shd w:val="clear" w:color="auto" w:fill="auto"/>
            <w:vAlign w:val="center"/>
          </w:tcPr>
          <w:p w14:paraId="57CFBC0A" w14:textId="77777777" w:rsidR="00325ABA" w:rsidRPr="00325ABA" w:rsidRDefault="00325ABA" w:rsidP="00325ABA">
            <w:pPr>
              <w:jc w:val="right"/>
              <w:rPr>
                <w:color w:val="000000"/>
                <w:szCs w:val="24"/>
              </w:rPr>
            </w:pPr>
            <w:r w:rsidRPr="00325ABA">
              <w:rPr>
                <w:color w:val="000000"/>
                <w:szCs w:val="24"/>
              </w:rPr>
              <w:t>282 980 747</w:t>
            </w:r>
          </w:p>
        </w:tc>
      </w:tr>
      <w:tr w:rsidR="00325ABA" w:rsidRPr="00325ABA" w14:paraId="3C7B0247" w14:textId="77777777" w:rsidTr="00325ABA">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14:paraId="27A23FE7" w14:textId="77777777" w:rsidR="00325ABA" w:rsidRPr="00325ABA" w:rsidRDefault="00325ABA" w:rsidP="00325ABA">
            <w:pPr>
              <w:jc w:val="center"/>
              <w:rPr>
                <w:color w:val="000000"/>
                <w:szCs w:val="24"/>
              </w:rPr>
            </w:pPr>
            <w:r w:rsidRPr="00325ABA">
              <w:rPr>
                <w:color w:val="000000"/>
                <w:szCs w:val="24"/>
              </w:rPr>
              <w:t>133 110</w:t>
            </w:r>
          </w:p>
        </w:tc>
        <w:tc>
          <w:tcPr>
            <w:tcW w:w="6119" w:type="dxa"/>
            <w:tcBorders>
              <w:top w:val="nil"/>
              <w:left w:val="nil"/>
              <w:bottom w:val="single" w:sz="8" w:space="0" w:color="auto"/>
              <w:right w:val="single" w:sz="8" w:space="0" w:color="auto"/>
            </w:tcBorders>
            <w:shd w:val="clear" w:color="auto" w:fill="auto"/>
            <w:vAlign w:val="center"/>
            <w:hideMark/>
          </w:tcPr>
          <w:p w14:paraId="167A46D4" w14:textId="77777777" w:rsidR="00325ABA" w:rsidRPr="00325ABA" w:rsidRDefault="00325ABA" w:rsidP="00325ABA">
            <w:pPr>
              <w:rPr>
                <w:color w:val="000000"/>
                <w:szCs w:val="24"/>
              </w:rPr>
            </w:pPr>
            <w:r w:rsidRPr="00325ABA">
              <w:rPr>
                <w:color w:val="000000"/>
                <w:szCs w:val="24"/>
              </w:rPr>
              <w:t>Rozvoj a obnova materiálně technické základny speciálních škol a systému náhradní výchovné péče</w:t>
            </w:r>
          </w:p>
        </w:tc>
        <w:tc>
          <w:tcPr>
            <w:tcW w:w="1602" w:type="dxa"/>
            <w:tcBorders>
              <w:top w:val="nil"/>
              <w:left w:val="nil"/>
              <w:bottom w:val="single" w:sz="8" w:space="0" w:color="auto"/>
              <w:right w:val="single" w:sz="12" w:space="0" w:color="auto"/>
            </w:tcBorders>
            <w:shd w:val="clear" w:color="auto" w:fill="auto"/>
            <w:vAlign w:val="center"/>
            <w:hideMark/>
          </w:tcPr>
          <w:p w14:paraId="6BFBF88C" w14:textId="77777777" w:rsidR="00325ABA" w:rsidRPr="00325ABA" w:rsidRDefault="00325ABA" w:rsidP="00325ABA">
            <w:pPr>
              <w:jc w:val="right"/>
              <w:rPr>
                <w:color w:val="000000"/>
                <w:szCs w:val="24"/>
              </w:rPr>
            </w:pPr>
            <w:r w:rsidRPr="00325ABA">
              <w:rPr>
                <w:color w:val="000000"/>
                <w:szCs w:val="24"/>
              </w:rPr>
              <w:t>60 000 000</w:t>
            </w:r>
          </w:p>
        </w:tc>
      </w:tr>
      <w:tr w:rsidR="00325ABA" w:rsidRPr="00325ABA" w14:paraId="260A2C4F" w14:textId="77777777" w:rsidTr="00325ABA">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tcPr>
          <w:p w14:paraId="56133B87" w14:textId="77777777" w:rsidR="00325ABA" w:rsidRPr="00325ABA" w:rsidRDefault="00325ABA" w:rsidP="00325ABA">
            <w:pPr>
              <w:jc w:val="center"/>
              <w:rPr>
                <w:color w:val="000000"/>
                <w:szCs w:val="24"/>
              </w:rPr>
            </w:pPr>
            <w:r w:rsidRPr="00325ABA">
              <w:rPr>
                <w:color w:val="000000"/>
                <w:szCs w:val="24"/>
              </w:rPr>
              <w:t xml:space="preserve">133 120 </w:t>
            </w:r>
          </w:p>
        </w:tc>
        <w:tc>
          <w:tcPr>
            <w:tcW w:w="6119" w:type="dxa"/>
            <w:tcBorders>
              <w:top w:val="nil"/>
              <w:left w:val="nil"/>
              <w:bottom w:val="single" w:sz="8" w:space="0" w:color="auto"/>
              <w:right w:val="single" w:sz="8" w:space="0" w:color="auto"/>
            </w:tcBorders>
            <w:shd w:val="clear" w:color="auto" w:fill="auto"/>
            <w:vAlign w:val="center"/>
          </w:tcPr>
          <w:p w14:paraId="3ADF8CCD" w14:textId="77777777" w:rsidR="00325ABA" w:rsidRPr="00325ABA" w:rsidRDefault="00325ABA" w:rsidP="00325ABA">
            <w:pPr>
              <w:rPr>
                <w:color w:val="000000"/>
                <w:szCs w:val="24"/>
              </w:rPr>
            </w:pPr>
            <w:r w:rsidRPr="00325ABA">
              <w:rPr>
                <w:color w:val="000000"/>
                <w:szCs w:val="24"/>
              </w:rPr>
              <w:t>Rozvoj a obnova materiálně technické základny speciálních škol a systému náhradní výchovné péče</w:t>
            </w:r>
          </w:p>
        </w:tc>
        <w:tc>
          <w:tcPr>
            <w:tcW w:w="1602" w:type="dxa"/>
            <w:tcBorders>
              <w:top w:val="nil"/>
              <w:left w:val="nil"/>
              <w:bottom w:val="single" w:sz="8" w:space="0" w:color="auto"/>
              <w:right w:val="single" w:sz="12" w:space="0" w:color="auto"/>
            </w:tcBorders>
            <w:shd w:val="clear" w:color="auto" w:fill="auto"/>
            <w:vAlign w:val="center"/>
          </w:tcPr>
          <w:p w14:paraId="2D295763" w14:textId="77777777" w:rsidR="00325ABA" w:rsidRPr="00325ABA" w:rsidRDefault="00325ABA" w:rsidP="00325ABA">
            <w:pPr>
              <w:jc w:val="right"/>
              <w:rPr>
                <w:color w:val="000000"/>
                <w:szCs w:val="24"/>
              </w:rPr>
            </w:pPr>
            <w:r w:rsidRPr="00325ABA">
              <w:rPr>
                <w:color w:val="000000"/>
                <w:szCs w:val="24"/>
              </w:rPr>
              <w:t>5 000 000</w:t>
            </w:r>
          </w:p>
        </w:tc>
      </w:tr>
      <w:tr w:rsidR="00325ABA" w:rsidRPr="00325ABA" w14:paraId="59E39B70" w14:textId="77777777" w:rsidTr="00325ABA">
        <w:trPr>
          <w:trHeight w:val="384"/>
          <w:jc w:val="center"/>
        </w:trPr>
        <w:tc>
          <w:tcPr>
            <w:tcW w:w="1352" w:type="dxa"/>
            <w:tcBorders>
              <w:top w:val="nil"/>
              <w:left w:val="single" w:sz="12" w:space="0" w:color="auto"/>
              <w:bottom w:val="single" w:sz="8" w:space="0" w:color="auto"/>
              <w:right w:val="single" w:sz="8" w:space="0" w:color="auto"/>
            </w:tcBorders>
            <w:shd w:val="clear" w:color="auto" w:fill="auto"/>
            <w:vAlign w:val="center"/>
            <w:hideMark/>
          </w:tcPr>
          <w:p w14:paraId="6F52A724" w14:textId="77777777" w:rsidR="00325ABA" w:rsidRPr="00325ABA" w:rsidRDefault="00325ABA" w:rsidP="00325ABA">
            <w:pPr>
              <w:jc w:val="center"/>
              <w:rPr>
                <w:color w:val="000000"/>
                <w:szCs w:val="24"/>
              </w:rPr>
            </w:pPr>
            <w:r w:rsidRPr="00325ABA">
              <w:rPr>
                <w:color w:val="000000"/>
                <w:szCs w:val="24"/>
              </w:rPr>
              <w:t>133 210</w:t>
            </w:r>
          </w:p>
        </w:tc>
        <w:tc>
          <w:tcPr>
            <w:tcW w:w="6119" w:type="dxa"/>
            <w:tcBorders>
              <w:top w:val="nil"/>
              <w:left w:val="nil"/>
              <w:bottom w:val="single" w:sz="8" w:space="0" w:color="auto"/>
              <w:right w:val="single" w:sz="8" w:space="0" w:color="auto"/>
            </w:tcBorders>
            <w:shd w:val="clear" w:color="auto" w:fill="auto"/>
            <w:vAlign w:val="center"/>
            <w:hideMark/>
          </w:tcPr>
          <w:p w14:paraId="50E3051E" w14:textId="77777777" w:rsidR="00325ABA" w:rsidRPr="00325ABA" w:rsidRDefault="00325ABA" w:rsidP="00325ABA">
            <w:pPr>
              <w:rPr>
                <w:color w:val="000000"/>
                <w:szCs w:val="24"/>
              </w:rPr>
            </w:pPr>
            <w:r w:rsidRPr="00325ABA">
              <w:rPr>
                <w:color w:val="000000"/>
                <w:szCs w:val="24"/>
              </w:rPr>
              <w:t>Rozvoj a obnova materiálně technické základny veřejných vysokých škol</w:t>
            </w:r>
          </w:p>
        </w:tc>
        <w:tc>
          <w:tcPr>
            <w:tcW w:w="1602" w:type="dxa"/>
            <w:tcBorders>
              <w:top w:val="nil"/>
              <w:left w:val="nil"/>
              <w:bottom w:val="single" w:sz="8" w:space="0" w:color="auto"/>
              <w:right w:val="single" w:sz="12" w:space="0" w:color="auto"/>
            </w:tcBorders>
            <w:shd w:val="clear" w:color="auto" w:fill="auto"/>
            <w:vAlign w:val="center"/>
            <w:hideMark/>
          </w:tcPr>
          <w:p w14:paraId="30481F40" w14:textId="77777777" w:rsidR="00325ABA" w:rsidRPr="00325ABA" w:rsidRDefault="00325ABA" w:rsidP="00325ABA">
            <w:pPr>
              <w:jc w:val="right"/>
              <w:rPr>
                <w:color w:val="000000"/>
                <w:szCs w:val="24"/>
              </w:rPr>
            </w:pPr>
            <w:r w:rsidRPr="00325ABA">
              <w:rPr>
                <w:color w:val="000000"/>
                <w:szCs w:val="24"/>
              </w:rPr>
              <w:t>1 745 994 748</w:t>
            </w:r>
          </w:p>
        </w:tc>
      </w:tr>
      <w:tr w:rsidR="00325ABA" w:rsidRPr="00325ABA" w14:paraId="525ACE13" w14:textId="77777777" w:rsidTr="00325ABA">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tcPr>
          <w:p w14:paraId="0BCEF294" w14:textId="77777777" w:rsidR="00325ABA" w:rsidRPr="00325ABA" w:rsidRDefault="00325ABA" w:rsidP="00325ABA">
            <w:pPr>
              <w:jc w:val="center"/>
              <w:rPr>
                <w:color w:val="000000"/>
                <w:szCs w:val="24"/>
              </w:rPr>
            </w:pPr>
            <w:r w:rsidRPr="00325ABA">
              <w:rPr>
                <w:color w:val="000000"/>
                <w:szCs w:val="24"/>
              </w:rPr>
              <w:t>133 220</w:t>
            </w:r>
          </w:p>
        </w:tc>
        <w:tc>
          <w:tcPr>
            <w:tcW w:w="6119" w:type="dxa"/>
            <w:tcBorders>
              <w:top w:val="single" w:sz="8" w:space="0" w:color="auto"/>
              <w:left w:val="nil"/>
              <w:bottom w:val="single" w:sz="8" w:space="0" w:color="auto"/>
              <w:right w:val="single" w:sz="8" w:space="0" w:color="auto"/>
            </w:tcBorders>
            <w:shd w:val="clear" w:color="auto" w:fill="auto"/>
            <w:vAlign w:val="center"/>
          </w:tcPr>
          <w:p w14:paraId="1D3CD7E8" w14:textId="77777777" w:rsidR="00325ABA" w:rsidRPr="00325ABA" w:rsidRDefault="00325ABA" w:rsidP="00325ABA">
            <w:pPr>
              <w:rPr>
                <w:color w:val="000000"/>
                <w:szCs w:val="24"/>
              </w:rPr>
            </w:pPr>
            <w:r w:rsidRPr="00325ABA">
              <w:rPr>
                <w:color w:val="000000"/>
                <w:szCs w:val="24"/>
              </w:rPr>
              <w:t>Rozvoj a obnova materiálně technické základny veřejných vysokých škol</w:t>
            </w:r>
          </w:p>
        </w:tc>
        <w:tc>
          <w:tcPr>
            <w:tcW w:w="1602" w:type="dxa"/>
            <w:tcBorders>
              <w:top w:val="single" w:sz="8" w:space="0" w:color="auto"/>
              <w:left w:val="nil"/>
              <w:bottom w:val="single" w:sz="8" w:space="0" w:color="auto"/>
              <w:right w:val="single" w:sz="12" w:space="0" w:color="auto"/>
            </w:tcBorders>
            <w:shd w:val="clear" w:color="auto" w:fill="auto"/>
            <w:vAlign w:val="center"/>
          </w:tcPr>
          <w:p w14:paraId="4233A557" w14:textId="77777777" w:rsidR="00325ABA" w:rsidRPr="00325ABA" w:rsidRDefault="00325ABA" w:rsidP="00325ABA">
            <w:pPr>
              <w:jc w:val="right"/>
              <w:rPr>
                <w:color w:val="000000"/>
                <w:szCs w:val="24"/>
              </w:rPr>
            </w:pPr>
            <w:r w:rsidRPr="00325ABA">
              <w:rPr>
                <w:color w:val="000000"/>
                <w:szCs w:val="24"/>
              </w:rPr>
              <w:t>500 000 000</w:t>
            </w:r>
          </w:p>
        </w:tc>
      </w:tr>
      <w:tr w:rsidR="00325ABA" w:rsidRPr="00325ABA" w14:paraId="2BCE26E8" w14:textId="77777777" w:rsidTr="00325ABA">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hideMark/>
          </w:tcPr>
          <w:p w14:paraId="00A09615" w14:textId="77777777" w:rsidR="00325ABA" w:rsidRPr="00325ABA" w:rsidRDefault="00325ABA" w:rsidP="00325ABA">
            <w:pPr>
              <w:jc w:val="center"/>
              <w:rPr>
                <w:color w:val="000000"/>
                <w:szCs w:val="24"/>
              </w:rPr>
            </w:pPr>
            <w:r w:rsidRPr="00325ABA">
              <w:rPr>
                <w:color w:val="000000"/>
                <w:szCs w:val="24"/>
              </w:rPr>
              <w:t>133 310</w:t>
            </w:r>
          </w:p>
        </w:tc>
        <w:tc>
          <w:tcPr>
            <w:tcW w:w="6119" w:type="dxa"/>
            <w:tcBorders>
              <w:top w:val="single" w:sz="8" w:space="0" w:color="auto"/>
              <w:left w:val="nil"/>
              <w:bottom w:val="single" w:sz="8" w:space="0" w:color="auto"/>
              <w:right w:val="single" w:sz="8" w:space="0" w:color="auto"/>
            </w:tcBorders>
            <w:shd w:val="clear" w:color="auto" w:fill="auto"/>
            <w:vAlign w:val="center"/>
            <w:hideMark/>
          </w:tcPr>
          <w:p w14:paraId="2BAA5BAD" w14:textId="77777777" w:rsidR="00325ABA" w:rsidRPr="00325ABA" w:rsidRDefault="00325ABA" w:rsidP="00325ABA">
            <w:pPr>
              <w:rPr>
                <w:color w:val="000000"/>
                <w:szCs w:val="24"/>
              </w:rPr>
            </w:pPr>
            <w:r w:rsidRPr="00325ABA">
              <w:rPr>
                <w:color w:val="000000"/>
                <w:szCs w:val="24"/>
              </w:rPr>
              <w:t>Rozvoj výukových kapacit MŠ a ZŠ zřizovaných územně samosprávnými celky</w:t>
            </w:r>
          </w:p>
        </w:tc>
        <w:tc>
          <w:tcPr>
            <w:tcW w:w="1602" w:type="dxa"/>
            <w:tcBorders>
              <w:top w:val="single" w:sz="8" w:space="0" w:color="auto"/>
              <w:left w:val="nil"/>
              <w:bottom w:val="single" w:sz="8" w:space="0" w:color="auto"/>
              <w:right w:val="single" w:sz="12" w:space="0" w:color="auto"/>
            </w:tcBorders>
            <w:shd w:val="clear" w:color="auto" w:fill="auto"/>
            <w:vAlign w:val="center"/>
            <w:hideMark/>
          </w:tcPr>
          <w:p w14:paraId="418BD098" w14:textId="77777777" w:rsidR="00325ABA" w:rsidRPr="00325ABA" w:rsidRDefault="00325ABA" w:rsidP="00325ABA">
            <w:pPr>
              <w:jc w:val="right"/>
              <w:rPr>
                <w:color w:val="000000"/>
                <w:szCs w:val="24"/>
              </w:rPr>
            </w:pPr>
            <w:r w:rsidRPr="00325ABA">
              <w:rPr>
                <w:color w:val="000000"/>
                <w:szCs w:val="24"/>
              </w:rPr>
              <w:t>140 000 000</w:t>
            </w:r>
          </w:p>
        </w:tc>
      </w:tr>
      <w:tr w:rsidR="00325ABA" w:rsidRPr="00325ABA" w14:paraId="26FF3E7F" w14:textId="77777777" w:rsidTr="00325ABA">
        <w:trPr>
          <w:trHeight w:val="384"/>
          <w:jc w:val="center"/>
        </w:trPr>
        <w:tc>
          <w:tcPr>
            <w:tcW w:w="1352" w:type="dxa"/>
            <w:tcBorders>
              <w:top w:val="single" w:sz="8" w:space="0" w:color="auto"/>
              <w:left w:val="single" w:sz="12" w:space="0" w:color="auto"/>
              <w:bottom w:val="single" w:sz="8" w:space="0" w:color="auto"/>
              <w:right w:val="single" w:sz="8" w:space="0" w:color="auto"/>
            </w:tcBorders>
            <w:shd w:val="clear" w:color="auto" w:fill="auto"/>
            <w:vAlign w:val="center"/>
          </w:tcPr>
          <w:p w14:paraId="1EB75F9C" w14:textId="77777777" w:rsidR="00325ABA" w:rsidRPr="00325ABA" w:rsidRDefault="00325ABA" w:rsidP="00325ABA">
            <w:pPr>
              <w:jc w:val="center"/>
              <w:rPr>
                <w:color w:val="000000"/>
                <w:szCs w:val="24"/>
              </w:rPr>
            </w:pPr>
            <w:r w:rsidRPr="00325ABA">
              <w:rPr>
                <w:color w:val="000000"/>
                <w:szCs w:val="24"/>
              </w:rPr>
              <w:t>133 320</w:t>
            </w:r>
          </w:p>
        </w:tc>
        <w:tc>
          <w:tcPr>
            <w:tcW w:w="6119" w:type="dxa"/>
            <w:tcBorders>
              <w:top w:val="single" w:sz="8" w:space="0" w:color="auto"/>
              <w:left w:val="nil"/>
              <w:bottom w:val="single" w:sz="8" w:space="0" w:color="auto"/>
              <w:right w:val="single" w:sz="8" w:space="0" w:color="auto"/>
            </w:tcBorders>
            <w:shd w:val="clear" w:color="auto" w:fill="auto"/>
            <w:vAlign w:val="center"/>
          </w:tcPr>
          <w:p w14:paraId="7BDBA887" w14:textId="77777777" w:rsidR="00325ABA" w:rsidRPr="00325ABA" w:rsidRDefault="00325ABA" w:rsidP="00325ABA">
            <w:pPr>
              <w:rPr>
                <w:color w:val="000000"/>
                <w:szCs w:val="24"/>
              </w:rPr>
            </w:pPr>
            <w:r w:rsidRPr="00325ABA">
              <w:rPr>
                <w:color w:val="000000"/>
                <w:szCs w:val="24"/>
              </w:rPr>
              <w:t xml:space="preserve">Podpora zajištění vybraných investičních podpůrných opatření při vzdělávání dětí, žáků a studentů se speciálními vzdělávacími potřebami </w:t>
            </w:r>
          </w:p>
        </w:tc>
        <w:tc>
          <w:tcPr>
            <w:tcW w:w="1602" w:type="dxa"/>
            <w:tcBorders>
              <w:top w:val="single" w:sz="8" w:space="0" w:color="auto"/>
              <w:left w:val="nil"/>
              <w:bottom w:val="single" w:sz="8" w:space="0" w:color="auto"/>
              <w:right w:val="single" w:sz="12" w:space="0" w:color="auto"/>
            </w:tcBorders>
            <w:shd w:val="clear" w:color="auto" w:fill="auto"/>
            <w:vAlign w:val="center"/>
          </w:tcPr>
          <w:p w14:paraId="34DD4079" w14:textId="77777777" w:rsidR="00325ABA" w:rsidRPr="00325ABA" w:rsidRDefault="00325ABA" w:rsidP="00325ABA">
            <w:pPr>
              <w:jc w:val="right"/>
              <w:rPr>
                <w:color w:val="000000"/>
                <w:szCs w:val="24"/>
              </w:rPr>
            </w:pPr>
            <w:r w:rsidRPr="00325ABA">
              <w:rPr>
                <w:color w:val="000000"/>
                <w:szCs w:val="24"/>
              </w:rPr>
              <w:t>0</w:t>
            </w:r>
          </w:p>
        </w:tc>
      </w:tr>
      <w:tr w:rsidR="00325ABA" w:rsidRPr="00325ABA" w14:paraId="06998980" w14:textId="77777777" w:rsidTr="00325ABA">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14:paraId="290D4E21" w14:textId="77777777" w:rsidR="00325ABA" w:rsidRPr="00325ABA" w:rsidRDefault="00325ABA" w:rsidP="00325ABA">
            <w:pPr>
              <w:jc w:val="center"/>
              <w:rPr>
                <w:color w:val="000000"/>
                <w:szCs w:val="24"/>
              </w:rPr>
            </w:pPr>
            <w:r w:rsidRPr="00325ABA">
              <w:rPr>
                <w:color w:val="000000"/>
                <w:szCs w:val="24"/>
              </w:rPr>
              <w:t>133 330</w:t>
            </w:r>
          </w:p>
        </w:tc>
        <w:tc>
          <w:tcPr>
            <w:tcW w:w="6119" w:type="dxa"/>
            <w:tcBorders>
              <w:top w:val="single" w:sz="8" w:space="0" w:color="auto"/>
              <w:left w:val="nil"/>
              <w:bottom w:val="single" w:sz="12" w:space="0" w:color="auto"/>
              <w:right w:val="single" w:sz="8" w:space="0" w:color="auto"/>
            </w:tcBorders>
            <w:shd w:val="clear" w:color="auto" w:fill="auto"/>
            <w:vAlign w:val="center"/>
          </w:tcPr>
          <w:p w14:paraId="7E7B001B" w14:textId="77777777" w:rsidR="00325ABA" w:rsidRPr="00325ABA" w:rsidRDefault="00325ABA" w:rsidP="00325ABA">
            <w:pPr>
              <w:rPr>
                <w:color w:val="000000"/>
                <w:szCs w:val="24"/>
              </w:rPr>
            </w:pPr>
            <w:r w:rsidRPr="00325ABA">
              <w:rPr>
                <w:color w:val="000000"/>
                <w:szCs w:val="24"/>
              </w:rPr>
              <w:t>Podpora vybraných projektů rozvoje výukových kapacit základního vzdělávání zřizovaného obcemi a dobrovolnými svazky obcí</w:t>
            </w:r>
          </w:p>
        </w:tc>
        <w:tc>
          <w:tcPr>
            <w:tcW w:w="1602" w:type="dxa"/>
            <w:tcBorders>
              <w:top w:val="single" w:sz="8" w:space="0" w:color="auto"/>
              <w:left w:val="nil"/>
              <w:bottom w:val="single" w:sz="12" w:space="0" w:color="auto"/>
              <w:right w:val="single" w:sz="12" w:space="0" w:color="auto"/>
            </w:tcBorders>
            <w:shd w:val="clear" w:color="auto" w:fill="auto"/>
            <w:vAlign w:val="center"/>
          </w:tcPr>
          <w:p w14:paraId="4FC00DE2" w14:textId="77777777" w:rsidR="00325ABA" w:rsidRPr="00325ABA" w:rsidRDefault="00325ABA" w:rsidP="00325ABA">
            <w:pPr>
              <w:jc w:val="right"/>
              <w:rPr>
                <w:color w:val="000000"/>
                <w:szCs w:val="24"/>
              </w:rPr>
            </w:pPr>
            <w:r w:rsidRPr="00325ABA">
              <w:rPr>
                <w:color w:val="000000"/>
                <w:szCs w:val="24"/>
              </w:rPr>
              <w:t>460  000 000</w:t>
            </w:r>
          </w:p>
          <w:p w14:paraId="15E17D88" w14:textId="77777777" w:rsidR="00325ABA" w:rsidRPr="00325ABA" w:rsidRDefault="00325ABA" w:rsidP="00325ABA">
            <w:pPr>
              <w:jc w:val="right"/>
              <w:rPr>
                <w:color w:val="000000"/>
                <w:szCs w:val="24"/>
              </w:rPr>
            </w:pPr>
          </w:p>
        </w:tc>
      </w:tr>
      <w:tr w:rsidR="00325ABA" w:rsidRPr="00325ABA" w14:paraId="25EC687A" w14:textId="77777777" w:rsidTr="00325ABA">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14:paraId="4B3CA4BA" w14:textId="77777777" w:rsidR="00325ABA" w:rsidRPr="00325ABA" w:rsidRDefault="00325ABA" w:rsidP="00325ABA">
            <w:pPr>
              <w:jc w:val="center"/>
              <w:rPr>
                <w:color w:val="000000"/>
                <w:szCs w:val="24"/>
              </w:rPr>
            </w:pPr>
            <w:r w:rsidRPr="00325ABA">
              <w:rPr>
                <w:color w:val="000000"/>
                <w:szCs w:val="24"/>
              </w:rPr>
              <w:t>133 520</w:t>
            </w:r>
          </w:p>
        </w:tc>
        <w:tc>
          <w:tcPr>
            <w:tcW w:w="6119" w:type="dxa"/>
            <w:tcBorders>
              <w:top w:val="single" w:sz="8" w:space="0" w:color="auto"/>
              <w:left w:val="nil"/>
              <w:bottom w:val="single" w:sz="12" w:space="0" w:color="auto"/>
              <w:right w:val="single" w:sz="8" w:space="0" w:color="auto"/>
            </w:tcBorders>
            <w:shd w:val="clear" w:color="auto" w:fill="auto"/>
            <w:vAlign w:val="center"/>
          </w:tcPr>
          <w:p w14:paraId="70885A5F" w14:textId="77777777" w:rsidR="00325ABA" w:rsidRPr="00325ABA" w:rsidRDefault="00325ABA" w:rsidP="00325ABA">
            <w:pPr>
              <w:rPr>
                <w:color w:val="000000"/>
                <w:szCs w:val="24"/>
              </w:rPr>
            </w:pPr>
            <w:r w:rsidRPr="00325ABA">
              <w:rPr>
                <w:color w:val="000000"/>
                <w:szCs w:val="24"/>
              </w:rPr>
              <w:t>Hlavní směry rozvoje sportovní infrastruktury České republiky 2017-2024</w:t>
            </w:r>
          </w:p>
        </w:tc>
        <w:tc>
          <w:tcPr>
            <w:tcW w:w="1602" w:type="dxa"/>
            <w:tcBorders>
              <w:top w:val="single" w:sz="8" w:space="0" w:color="auto"/>
              <w:left w:val="nil"/>
              <w:bottom w:val="single" w:sz="12" w:space="0" w:color="auto"/>
              <w:right w:val="single" w:sz="12" w:space="0" w:color="auto"/>
            </w:tcBorders>
            <w:shd w:val="clear" w:color="auto" w:fill="auto"/>
            <w:vAlign w:val="center"/>
          </w:tcPr>
          <w:p w14:paraId="39FFD072" w14:textId="77777777" w:rsidR="00325ABA" w:rsidRPr="00325ABA" w:rsidRDefault="00325ABA" w:rsidP="00325ABA">
            <w:pPr>
              <w:jc w:val="right"/>
              <w:rPr>
                <w:color w:val="000000"/>
                <w:szCs w:val="24"/>
              </w:rPr>
            </w:pPr>
            <w:r w:rsidRPr="00325ABA">
              <w:rPr>
                <w:color w:val="000000"/>
                <w:szCs w:val="24"/>
              </w:rPr>
              <w:t>450 000 000</w:t>
            </w:r>
          </w:p>
        </w:tc>
      </w:tr>
      <w:tr w:rsidR="00325ABA" w:rsidRPr="00325ABA" w14:paraId="7F3E7988" w14:textId="77777777" w:rsidTr="00325ABA">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14:paraId="7970D999" w14:textId="77777777" w:rsidR="00325ABA" w:rsidRPr="00325ABA" w:rsidRDefault="00325ABA" w:rsidP="00325ABA">
            <w:pPr>
              <w:jc w:val="center"/>
              <w:rPr>
                <w:color w:val="000000"/>
                <w:szCs w:val="24"/>
              </w:rPr>
            </w:pPr>
            <w:r w:rsidRPr="00325ABA">
              <w:rPr>
                <w:color w:val="000000"/>
                <w:szCs w:val="24"/>
              </w:rPr>
              <w:t>133 530</w:t>
            </w:r>
          </w:p>
        </w:tc>
        <w:tc>
          <w:tcPr>
            <w:tcW w:w="6119" w:type="dxa"/>
            <w:tcBorders>
              <w:top w:val="single" w:sz="8" w:space="0" w:color="auto"/>
              <w:left w:val="nil"/>
              <w:bottom w:val="single" w:sz="12" w:space="0" w:color="auto"/>
              <w:right w:val="single" w:sz="8" w:space="0" w:color="auto"/>
            </w:tcBorders>
            <w:shd w:val="clear" w:color="auto" w:fill="auto"/>
            <w:vAlign w:val="center"/>
          </w:tcPr>
          <w:p w14:paraId="7958B525" w14:textId="77777777" w:rsidR="00325ABA" w:rsidRPr="00325ABA" w:rsidRDefault="00325ABA" w:rsidP="00325ABA">
            <w:pPr>
              <w:rPr>
                <w:color w:val="000000"/>
                <w:szCs w:val="24"/>
              </w:rPr>
            </w:pPr>
            <w:r w:rsidRPr="00325ABA">
              <w:rPr>
                <w:color w:val="000000"/>
                <w:szCs w:val="24"/>
              </w:rPr>
              <w:t>Podpora materiálně technické základny sportu 2017 až 2024</w:t>
            </w:r>
          </w:p>
        </w:tc>
        <w:tc>
          <w:tcPr>
            <w:tcW w:w="1602" w:type="dxa"/>
            <w:tcBorders>
              <w:top w:val="single" w:sz="8" w:space="0" w:color="auto"/>
              <w:left w:val="nil"/>
              <w:bottom w:val="single" w:sz="12" w:space="0" w:color="auto"/>
              <w:right w:val="single" w:sz="12" w:space="0" w:color="auto"/>
            </w:tcBorders>
            <w:shd w:val="clear" w:color="auto" w:fill="auto"/>
            <w:vAlign w:val="center"/>
          </w:tcPr>
          <w:p w14:paraId="5B2A424D" w14:textId="77777777" w:rsidR="00325ABA" w:rsidRPr="00325ABA" w:rsidRDefault="00325ABA" w:rsidP="00325ABA">
            <w:pPr>
              <w:jc w:val="right"/>
              <w:rPr>
                <w:color w:val="000000"/>
                <w:szCs w:val="24"/>
              </w:rPr>
            </w:pPr>
            <w:r w:rsidRPr="00325ABA">
              <w:rPr>
                <w:color w:val="000000"/>
                <w:szCs w:val="24"/>
              </w:rPr>
              <w:t>1 533 500 000</w:t>
            </w:r>
          </w:p>
        </w:tc>
      </w:tr>
      <w:tr w:rsidR="00325ABA" w:rsidRPr="00325ABA" w14:paraId="5074DC0A" w14:textId="77777777" w:rsidTr="00325ABA">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14:paraId="1AC95663" w14:textId="77777777" w:rsidR="00325ABA" w:rsidRPr="00325ABA" w:rsidRDefault="00325ABA" w:rsidP="00325ABA">
            <w:pPr>
              <w:jc w:val="center"/>
              <w:rPr>
                <w:color w:val="000000"/>
                <w:szCs w:val="24"/>
              </w:rPr>
            </w:pPr>
            <w:r w:rsidRPr="00325ABA">
              <w:rPr>
                <w:color w:val="000000"/>
                <w:szCs w:val="24"/>
              </w:rPr>
              <w:t>133 620</w:t>
            </w:r>
          </w:p>
        </w:tc>
        <w:tc>
          <w:tcPr>
            <w:tcW w:w="6119" w:type="dxa"/>
            <w:tcBorders>
              <w:top w:val="single" w:sz="8" w:space="0" w:color="auto"/>
              <w:left w:val="nil"/>
              <w:bottom w:val="single" w:sz="12" w:space="0" w:color="auto"/>
              <w:right w:val="single" w:sz="8" w:space="0" w:color="auto"/>
            </w:tcBorders>
            <w:shd w:val="clear" w:color="auto" w:fill="auto"/>
            <w:vAlign w:val="center"/>
          </w:tcPr>
          <w:p w14:paraId="3903D0BC" w14:textId="77777777" w:rsidR="00325ABA" w:rsidRPr="00325ABA" w:rsidRDefault="00325ABA" w:rsidP="00325ABA">
            <w:pPr>
              <w:rPr>
                <w:color w:val="000000"/>
                <w:szCs w:val="24"/>
              </w:rPr>
            </w:pPr>
            <w:r w:rsidRPr="00325ABA">
              <w:rPr>
                <w:color w:val="000000"/>
                <w:szCs w:val="24"/>
              </w:rPr>
              <w:t>Rozšíření strategické průmyslové zóny Solnice - Kvasiny a zlepšení veřejné infrastruktury v Královéhradeckém regionu – vzdělávací a sportovní infrastruktura</w:t>
            </w:r>
          </w:p>
        </w:tc>
        <w:tc>
          <w:tcPr>
            <w:tcW w:w="1602" w:type="dxa"/>
            <w:tcBorders>
              <w:top w:val="single" w:sz="8" w:space="0" w:color="auto"/>
              <w:left w:val="nil"/>
              <w:bottom w:val="single" w:sz="12" w:space="0" w:color="auto"/>
              <w:right w:val="single" w:sz="12" w:space="0" w:color="auto"/>
            </w:tcBorders>
            <w:shd w:val="clear" w:color="auto" w:fill="auto"/>
            <w:vAlign w:val="center"/>
          </w:tcPr>
          <w:p w14:paraId="626B7BAF" w14:textId="77777777" w:rsidR="00325ABA" w:rsidRPr="00325ABA" w:rsidRDefault="00325ABA" w:rsidP="00325ABA">
            <w:pPr>
              <w:jc w:val="right"/>
              <w:rPr>
                <w:color w:val="000000"/>
                <w:szCs w:val="24"/>
              </w:rPr>
            </w:pPr>
            <w:r w:rsidRPr="00325ABA">
              <w:rPr>
                <w:color w:val="000000"/>
                <w:szCs w:val="24"/>
              </w:rPr>
              <w:t>16 500 000</w:t>
            </w:r>
          </w:p>
        </w:tc>
      </w:tr>
      <w:tr w:rsidR="00325ABA" w:rsidRPr="00325ABA" w14:paraId="16FF6570" w14:textId="77777777" w:rsidTr="00325ABA">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14:paraId="2E2A41F4" w14:textId="77777777" w:rsidR="00325ABA" w:rsidRPr="00325ABA" w:rsidRDefault="00325ABA" w:rsidP="00325ABA">
            <w:pPr>
              <w:jc w:val="center"/>
              <w:rPr>
                <w:color w:val="000000"/>
                <w:szCs w:val="24"/>
              </w:rPr>
            </w:pPr>
            <w:r w:rsidRPr="00325ABA">
              <w:rPr>
                <w:color w:val="000000"/>
                <w:szCs w:val="24"/>
              </w:rPr>
              <w:t>133 710</w:t>
            </w:r>
          </w:p>
        </w:tc>
        <w:tc>
          <w:tcPr>
            <w:tcW w:w="6119" w:type="dxa"/>
            <w:tcBorders>
              <w:top w:val="single" w:sz="8" w:space="0" w:color="auto"/>
              <w:left w:val="nil"/>
              <w:bottom w:val="single" w:sz="12" w:space="0" w:color="auto"/>
              <w:right w:val="single" w:sz="8" w:space="0" w:color="auto"/>
            </w:tcBorders>
            <w:shd w:val="clear" w:color="auto" w:fill="auto"/>
            <w:vAlign w:val="center"/>
          </w:tcPr>
          <w:p w14:paraId="2630EAB6" w14:textId="77777777" w:rsidR="00325ABA" w:rsidRPr="00325ABA" w:rsidRDefault="00325ABA" w:rsidP="00325ABA">
            <w:pPr>
              <w:rPr>
                <w:color w:val="000000"/>
                <w:szCs w:val="24"/>
              </w:rPr>
            </w:pPr>
            <w:r w:rsidRPr="00325ABA">
              <w:rPr>
                <w:color w:val="000000"/>
                <w:szCs w:val="24"/>
              </w:rPr>
              <w:t>Rozvoj MTZ mimoškolních aktivit dětí a mládeže</w:t>
            </w:r>
          </w:p>
        </w:tc>
        <w:tc>
          <w:tcPr>
            <w:tcW w:w="1602" w:type="dxa"/>
            <w:tcBorders>
              <w:top w:val="single" w:sz="8" w:space="0" w:color="auto"/>
              <w:left w:val="nil"/>
              <w:bottom w:val="single" w:sz="12" w:space="0" w:color="auto"/>
              <w:right w:val="single" w:sz="12" w:space="0" w:color="auto"/>
            </w:tcBorders>
            <w:shd w:val="clear" w:color="auto" w:fill="auto"/>
            <w:vAlign w:val="center"/>
          </w:tcPr>
          <w:p w14:paraId="3DA8FD04" w14:textId="77777777" w:rsidR="00325ABA" w:rsidRPr="00325ABA" w:rsidRDefault="00325ABA" w:rsidP="00325ABA">
            <w:pPr>
              <w:jc w:val="right"/>
              <w:rPr>
                <w:color w:val="000000"/>
                <w:szCs w:val="24"/>
              </w:rPr>
            </w:pPr>
            <w:r w:rsidRPr="00325ABA">
              <w:rPr>
                <w:color w:val="000000"/>
                <w:szCs w:val="24"/>
              </w:rPr>
              <w:t>25 194 100</w:t>
            </w:r>
          </w:p>
        </w:tc>
      </w:tr>
      <w:tr w:rsidR="00325ABA" w:rsidRPr="00325ABA" w14:paraId="047777F3" w14:textId="77777777" w:rsidTr="00325ABA">
        <w:trPr>
          <w:trHeight w:val="384"/>
          <w:jc w:val="center"/>
        </w:trPr>
        <w:tc>
          <w:tcPr>
            <w:tcW w:w="1352" w:type="dxa"/>
            <w:tcBorders>
              <w:top w:val="single" w:sz="8" w:space="0" w:color="auto"/>
              <w:left w:val="single" w:sz="12" w:space="0" w:color="auto"/>
              <w:bottom w:val="single" w:sz="12" w:space="0" w:color="auto"/>
              <w:right w:val="single" w:sz="8" w:space="0" w:color="auto"/>
            </w:tcBorders>
            <w:shd w:val="clear" w:color="auto" w:fill="auto"/>
            <w:vAlign w:val="center"/>
          </w:tcPr>
          <w:p w14:paraId="5EE32B23" w14:textId="77777777" w:rsidR="00325ABA" w:rsidRPr="00325ABA" w:rsidRDefault="00325ABA" w:rsidP="00325ABA">
            <w:pPr>
              <w:jc w:val="center"/>
              <w:rPr>
                <w:color w:val="000000"/>
                <w:szCs w:val="24"/>
              </w:rPr>
            </w:pPr>
            <w:r w:rsidRPr="00325ABA">
              <w:rPr>
                <w:color w:val="000000"/>
                <w:szCs w:val="24"/>
              </w:rPr>
              <w:t>133 810</w:t>
            </w:r>
          </w:p>
        </w:tc>
        <w:tc>
          <w:tcPr>
            <w:tcW w:w="6119" w:type="dxa"/>
            <w:tcBorders>
              <w:top w:val="single" w:sz="8" w:space="0" w:color="auto"/>
              <w:left w:val="nil"/>
              <w:bottom w:val="single" w:sz="12" w:space="0" w:color="auto"/>
              <w:right w:val="single" w:sz="8" w:space="0" w:color="auto"/>
            </w:tcBorders>
            <w:shd w:val="clear" w:color="auto" w:fill="auto"/>
            <w:vAlign w:val="center"/>
          </w:tcPr>
          <w:p w14:paraId="4BFAD96C" w14:textId="77777777" w:rsidR="00325ABA" w:rsidRPr="00325ABA" w:rsidRDefault="00325ABA" w:rsidP="00325ABA">
            <w:pPr>
              <w:rPr>
                <w:color w:val="000000"/>
                <w:szCs w:val="24"/>
              </w:rPr>
            </w:pPr>
            <w:r w:rsidRPr="00325ABA">
              <w:rPr>
                <w:color w:val="000000"/>
                <w:szCs w:val="24"/>
              </w:rPr>
              <w:t>Financování vybraných akcí OP VVV</w:t>
            </w:r>
          </w:p>
        </w:tc>
        <w:tc>
          <w:tcPr>
            <w:tcW w:w="1602" w:type="dxa"/>
            <w:tcBorders>
              <w:top w:val="single" w:sz="8" w:space="0" w:color="auto"/>
              <w:left w:val="nil"/>
              <w:bottom w:val="single" w:sz="12" w:space="0" w:color="auto"/>
              <w:right w:val="single" w:sz="12" w:space="0" w:color="auto"/>
            </w:tcBorders>
            <w:shd w:val="clear" w:color="auto" w:fill="auto"/>
            <w:vAlign w:val="center"/>
          </w:tcPr>
          <w:p w14:paraId="7173D9CD" w14:textId="77777777" w:rsidR="00325ABA" w:rsidRPr="00325ABA" w:rsidRDefault="00325ABA" w:rsidP="00325ABA">
            <w:pPr>
              <w:jc w:val="right"/>
              <w:rPr>
                <w:color w:val="000000"/>
                <w:szCs w:val="24"/>
              </w:rPr>
            </w:pPr>
            <w:r w:rsidRPr="00325ABA">
              <w:rPr>
                <w:color w:val="000000"/>
                <w:szCs w:val="24"/>
              </w:rPr>
              <w:t>647 534 400</w:t>
            </w:r>
          </w:p>
        </w:tc>
      </w:tr>
      <w:tr w:rsidR="00325ABA" w:rsidRPr="00325ABA" w14:paraId="2527EB22" w14:textId="77777777" w:rsidTr="00325ABA">
        <w:trPr>
          <w:trHeight w:val="384"/>
          <w:jc w:val="center"/>
        </w:trPr>
        <w:tc>
          <w:tcPr>
            <w:tcW w:w="1352" w:type="dxa"/>
            <w:tcBorders>
              <w:top w:val="nil"/>
              <w:left w:val="single" w:sz="12" w:space="0" w:color="auto"/>
              <w:bottom w:val="single" w:sz="12" w:space="0" w:color="auto"/>
              <w:right w:val="nil"/>
            </w:tcBorders>
            <w:shd w:val="clear" w:color="auto" w:fill="auto"/>
            <w:vAlign w:val="center"/>
          </w:tcPr>
          <w:p w14:paraId="76415D19" w14:textId="77777777" w:rsidR="00325ABA" w:rsidRPr="00325ABA" w:rsidRDefault="00325ABA" w:rsidP="00325ABA">
            <w:pPr>
              <w:jc w:val="right"/>
              <w:rPr>
                <w:color w:val="000000"/>
                <w:szCs w:val="24"/>
              </w:rPr>
            </w:pPr>
            <w:r w:rsidRPr="00325ABA">
              <w:rPr>
                <w:b/>
                <w:bCs/>
                <w:color w:val="000000"/>
                <w:szCs w:val="24"/>
              </w:rPr>
              <w:t>Celkem:</w:t>
            </w:r>
          </w:p>
        </w:tc>
        <w:tc>
          <w:tcPr>
            <w:tcW w:w="6119" w:type="dxa"/>
            <w:tcBorders>
              <w:top w:val="nil"/>
              <w:left w:val="nil"/>
              <w:bottom w:val="single" w:sz="12" w:space="0" w:color="auto"/>
              <w:right w:val="nil"/>
            </w:tcBorders>
            <w:shd w:val="clear" w:color="auto" w:fill="auto"/>
            <w:vAlign w:val="center"/>
          </w:tcPr>
          <w:p w14:paraId="449D6E49" w14:textId="77777777" w:rsidR="00325ABA" w:rsidRPr="00325ABA" w:rsidRDefault="00325ABA" w:rsidP="00325ABA">
            <w:pPr>
              <w:rPr>
                <w:color w:val="000000"/>
                <w:szCs w:val="24"/>
              </w:rPr>
            </w:pPr>
            <w:r w:rsidRPr="00325ABA">
              <w:rPr>
                <w:b/>
                <w:bCs/>
                <w:color w:val="000000"/>
                <w:szCs w:val="24"/>
              </w:rPr>
              <w:t> </w:t>
            </w:r>
          </w:p>
        </w:tc>
        <w:tc>
          <w:tcPr>
            <w:tcW w:w="1602" w:type="dxa"/>
            <w:tcBorders>
              <w:top w:val="nil"/>
              <w:left w:val="nil"/>
              <w:bottom w:val="single" w:sz="12" w:space="0" w:color="auto"/>
              <w:right w:val="single" w:sz="12" w:space="0" w:color="auto"/>
            </w:tcBorders>
            <w:shd w:val="clear" w:color="auto" w:fill="auto"/>
            <w:vAlign w:val="center"/>
          </w:tcPr>
          <w:p w14:paraId="669CB711" w14:textId="77777777" w:rsidR="00325ABA" w:rsidRPr="00325ABA" w:rsidRDefault="00325ABA" w:rsidP="00325ABA">
            <w:pPr>
              <w:jc w:val="right"/>
              <w:rPr>
                <w:color w:val="000000"/>
                <w:szCs w:val="24"/>
              </w:rPr>
            </w:pPr>
            <w:r w:rsidRPr="00325ABA">
              <w:rPr>
                <w:b/>
                <w:bCs/>
                <w:color w:val="000000"/>
                <w:szCs w:val="24"/>
              </w:rPr>
              <w:t>5 866 703 995</w:t>
            </w:r>
          </w:p>
        </w:tc>
      </w:tr>
    </w:tbl>
    <w:p w14:paraId="077436AB" w14:textId="77777777" w:rsidR="00325ABA" w:rsidRPr="00325ABA" w:rsidRDefault="00325ABA" w:rsidP="00325ABA">
      <w:pPr>
        <w:jc w:val="right"/>
        <w:rPr>
          <w:szCs w:val="24"/>
        </w:rPr>
      </w:pPr>
    </w:p>
    <w:p w14:paraId="10620442" w14:textId="0E52308C" w:rsidR="00325ABA" w:rsidRPr="00325ABA" w:rsidRDefault="00325ABA" w:rsidP="00325ABA">
      <w:pPr>
        <w:pStyle w:val="Text"/>
        <w:rPr>
          <w:rFonts w:cs="Times New Roman"/>
        </w:rPr>
      </w:pPr>
      <w:r w:rsidRPr="00325ABA">
        <w:t xml:space="preserve">Rozpočet programů reprodukce majetku na rok 2019 vychází z potřeb na pokrytí výdajů akcí evidovaných v informačním systému programového financování. Dělí se na dvě oblasti: Správa majetku ve vlastnictví státu (SMVS) pro financování OSS, PŘO a OPŘO a Evidenční dotační systém (EDS) pro ostatní příjemce dotací. Programové financování zahrnuje: </w:t>
      </w:r>
    </w:p>
    <w:p w14:paraId="1B4A0C0E" w14:textId="77777777" w:rsidR="00325ABA" w:rsidRPr="00325ABA" w:rsidRDefault="00325ABA" w:rsidP="005B6E93">
      <w:pPr>
        <w:numPr>
          <w:ilvl w:val="0"/>
          <w:numId w:val="17"/>
        </w:numPr>
        <w:rPr>
          <w:szCs w:val="24"/>
        </w:rPr>
      </w:pPr>
      <w:r w:rsidRPr="00325ABA">
        <w:rPr>
          <w:szCs w:val="24"/>
        </w:rPr>
        <w:t>kapitálové výdaje,</w:t>
      </w:r>
    </w:p>
    <w:p w14:paraId="02BD31C8" w14:textId="77777777" w:rsidR="00325ABA" w:rsidRPr="00325ABA" w:rsidRDefault="00325ABA" w:rsidP="005B6E93">
      <w:pPr>
        <w:numPr>
          <w:ilvl w:val="0"/>
          <w:numId w:val="17"/>
        </w:numPr>
        <w:rPr>
          <w:szCs w:val="24"/>
        </w:rPr>
      </w:pPr>
      <w:r w:rsidRPr="00325ABA">
        <w:rPr>
          <w:szCs w:val="24"/>
        </w:rPr>
        <w:t>běžné výdaje (neinvestiční výdaje spojené s pořízením nebo technickým zhodnocením hmotného a nehmotného dlouhodobého majetku).</w:t>
      </w:r>
    </w:p>
    <w:p w14:paraId="2F2B7E14" w14:textId="77777777" w:rsidR="00325ABA" w:rsidRDefault="00325ABA" w:rsidP="00325ABA">
      <w:pPr>
        <w:ind w:left="360"/>
        <w:rPr>
          <w:szCs w:val="24"/>
        </w:rPr>
      </w:pPr>
    </w:p>
    <w:p w14:paraId="14187DF4" w14:textId="77777777" w:rsidR="00E65EE1" w:rsidRDefault="00E65EE1" w:rsidP="00325ABA">
      <w:pPr>
        <w:ind w:left="360"/>
        <w:rPr>
          <w:szCs w:val="24"/>
        </w:rPr>
      </w:pPr>
    </w:p>
    <w:p w14:paraId="021D33FE" w14:textId="77777777" w:rsidR="00CB3D1B" w:rsidRPr="00325ABA" w:rsidRDefault="00CB3D1B" w:rsidP="00325ABA">
      <w:pPr>
        <w:ind w:left="360"/>
        <w:rPr>
          <w:szCs w:val="24"/>
        </w:rPr>
      </w:pPr>
    </w:p>
    <w:p w14:paraId="3290967E" w14:textId="77777777" w:rsidR="00325ABA" w:rsidRPr="00325ABA" w:rsidRDefault="00325ABA" w:rsidP="00325ABA">
      <w:pPr>
        <w:ind w:left="360"/>
        <w:rPr>
          <w:szCs w:val="24"/>
        </w:rPr>
      </w:pPr>
      <w:r w:rsidRPr="00325ABA">
        <w:rPr>
          <w:szCs w:val="24"/>
        </w:rPr>
        <w:lastRenderedPageBreak/>
        <w:t>Při jeho sestavování byly uplatněny tyto preference:</w:t>
      </w:r>
    </w:p>
    <w:p w14:paraId="6FEA265A" w14:textId="77777777" w:rsidR="00325ABA" w:rsidRPr="00325ABA" w:rsidRDefault="00325ABA" w:rsidP="00325ABA">
      <w:pPr>
        <w:ind w:left="360"/>
        <w:rPr>
          <w:szCs w:val="24"/>
        </w:rPr>
      </w:pPr>
    </w:p>
    <w:p w14:paraId="04CE4EF3" w14:textId="77777777" w:rsidR="00325ABA" w:rsidRPr="00325ABA" w:rsidRDefault="00325ABA" w:rsidP="005B6E93">
      <w:pPr>
        <w:numPr>
          <w:ilvl w:val="0"/>
          <w:numId w:val="18"/>
        </w:numPr>
        <w:rPr>
          <w:szCs w:val="24"/>
        </w:rPr>
      </w:pPr>
      <w:r w:rsidRPr="00325ABA">
        <w:rPr>
          <w:szCs w:val="24"/>
        </w:rPr>
        <w:t>plynulé pokračování zahájených akcí,</w:t>
      </w:r>
    </w:p>
    <w:p w14:paraId="79B76451" w14:textId="77777777" w:rsidR="00325ABA" w:rsidRPr="00325ABA" w:rsidRDefault="00325ABA" w:rsidP="005B6E93">
      <w:pPr>
        <w:numPr>
          <w:ilvl w:val="0"/>
          <w:numId w:val="18"/>
        </w:numPr>
        <w:rPr>
          <w:szCs w:val="24"/>
        </w:rPr>
      </w:pPr>
      <w:r w:rsidRPr="00325ABA">
        <w:rPr>
          <w:szCs w:val="24"/>
        </w:rPr>
        <w:t>zahájení financování vybraných žádostí o poskytnutí dotace v rámci výzev vyhlášených v závěru roku 2018,</w:t>
      </w:r>
    </w:p>
    <w:p w14:paraId="0B905F6E" w14:textId="77777777" w:rsidR="00325ABA" w:rsidRPr="00325ABA" w:rsidRDefault="00325ABA" w:rsidP="005B6E93">
      <w:pPr>
        <w:numPr>
          <w:ilvl w:val="0"/>
          <w:numId w:val="18"/>
        </w:numPr>
        <w:rPr>
          <w:szCs w:val="24"/>
        </w:rPr>
      </w:pPr>
      <w:r w:rsidRPr="00325ABA">
        <w:rPr>
          <w:szCs w:val="24"/>
        </w:rPr>
        <w:t>financování jmenovitě určených investičních záměrů obsažených v dokumentacích programů (programy 133 210, 133 220 a 133 330),</w:t>
      </w:r>
    </w:p>
    <w:p w14:paraId="3CA9B6EF" w14:textId="77777777" w:rsidR="00325ABA" w:rsidRPr="00325ABA" w:rsidRDefault="00325ABA" w:rsidP="005B6E93">
      <w:pPr>
        <w:numPr>
          <w:ilvl w:val="0"/>
          <w:numId w:val="18"/>
        </w:numPr>
        <w:rPr>
          <w:szCs w:val="24"/>
        </w:rPr>
      </w:pPr>
      <w:r w:rsidRPr="00325ABA">
        <w:rPr>
          <w:szCs w:val="24"/>
        </w:rPr>
        <w:t>zahájení financování vybraných žádostí o poskytnutí dotace v rámci výzev, které budou vyhlášeny v roce 2019.</w:t>
      </w:r>
    </w:p>
    <w:p w14:paraId="55DBBC99" w14:textId="77777777" w:rsidR="00325ABA" w:rsidRPr="00A558AE" w:rsidRDefault="00325ABA" w:rsidP="00325ABA">
      <w:pPr>
        <w:rPr>
          <w:color w:val="000000"/>
          <w:szCs w:val="24"/>
        </w:rPr>
      </w:pPr>
      <w:r w:rsidRPr="00A558AE">
        <w:rPr>
          <w:color w:val="000000"/>
          <w:szCs w:val="24"/>
        </w:rPr>
        <w:t xml:space="preserve"> </w:t>
      </w:r>
    </w:p>
    <w:p w14:paraId="69DF2840" w14:textId="77777777" w:rsidR="00325ABA" w:rsidRPr="00325ABA" w:rsidRDefault="00325ABA" w:rsidP="00F94A17">
      <w:pPr>
        <w:pStyle w:val="Nadpis2"/>
      </w:pPr>
      <w:bookmarkStart w:id="189" w:name="_Toc511202915"/>
      <w:bookmarkStart w:id="190" w:name="_Toc5968894"/>
      <w:r w:rsidRPr="00325ABA">
        <w:t>Výdaje na financování dlouhodobého majetku</w:t>
      </w:r>
      <w:bookmarkEnd w:id="189"/>
      <w:bookmarkEnd w:id="190"/>
    </w:p>
    <w:p w14:paraId="311803F4" w14:textId="77777777" w:rsidR="00325ABA" w:rsidRPr="00325ABA" w:rsidRDefault="00325ABA" w:rsidP="00325ABA">
      <w:pPr>
        <w:pStyle w:val="Zkladntext"/>
        <w:rPr>
          <w:b/>
          <w:i/>
        </w:rPr>
      </w:pPr>
    </w:p>
    <w:p w14:paraId="015C8647" w14:textId="77777777" w:rsidR="00325ABA" w:rsidRPr="00325ABA" w:rsidRDefault="00325ABA" w:rsidP="00325ABA">
      <w:pPr>
        <w:pStyle w:val="Text"/>
      </w:pPr>
      <w:r w:rsidRPr="00325ABA">
        <w:t xml:space="preserve">Objem finančních prostředků na financování reprodukce dlouhodobého majetku byl pro přípravu návrhu rozpočtu na rok 2019 v jednotlivých programech rozepsán do konkrétních akcí, část byla ponechána v agregovaných položkách jako rezerva. </w:t>
      </w:r>
    </w:p>
    <w:p w14:paraId="55981514" w14:textId="77777777" w:rsidR="00325ABA" w:rsidRPr="00325ABA" w:rsidRDefault="00325ABA" w:rsidP="00325ABA">
      <w:pPr>
        <w:pStyle w:val="Zkladntext"/>
        <w:spacing w:after="0"/>
      </w:pPr>
    </w:p>
    <w:p w14:paraId="466D7E74" w14:textId="77777777" w:rsidR="00325ABA" w:rsidRPr="00325ABA" w:rsidRDefault="00325ABA" w:rsidP="00325ABA">
      <w:pPr>
        <w:pStyle w:val="Titulek"/>
        <w:keepNext/>
      </w:pPr>
      <w:bookmarkStart w:id="191" w:name="_Toc5965644"/>
      <w:r w:rsidRPr="00325ABA">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D</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2</w:t>
      </w:r>
      <w:r w:rsidR="005F53B0">
        <w:rPr>
          <w:noProof/>
        </w:rPr>
        <w:fldChar w:fldCharType="end"/>
      </w:r>
      <w:r w:rsidRPr="00325ABA">
        <w:t>: Přehled výdajů na programové financování reprodukce majetku v letech 2011 - 2018</w:t>
      </w:r>
      <w:bookmarkEnd w:id="191"/>
      <w:r w:rsidRPr="00325ABA">
        <w:t xml:space="preserve"> </w:t>
      </w:r>
    </w:p>
    <w:tbl>
      <w:tblPr>
        <w:tblW w:w="8787" w:type="dxa"/>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3544"/>
        <w:gridCol w:w="3542"/>
      </w:tblGrid>
      <w:tr w:rsidR="00325ABA" w:rsidRPr="00325ABA" w14:paraId="1B926A9B" w14:textId="77777777" w:rsidTr="005F6FE4">
        <w:trPr>
          <w:trHeight w:val="388"/>
        </w:trPr>
        <w:tc>
          <w:tcPr>
            <w:tcW w:w="1701" w:type="dxa"/>
          </w:tcPr>
          <w:p w14:paraId="7198F371" w14:textId="77777777" w:rsidR="00325ABA" w:rsidRPr="00325ABA" w:rsidRDefault="00325ABA" w:rsidP="00325ABA">
            <w:pPr>
              <w:pStyle w:val="Zkladntext"/>
              <w:jc w:val="center"/>
              <w:rPr>
                <w:b/>
              </w:rPr>
            </w:pPr>
            <w:r w:rsidRPr="00325ABA">
              <w:rPr>
                <w:b/>
              </w:rPr>
              <w:t>rok</w:t>
            </w:r>
          </w:p>
        </w:tc>
        <w:tc>
          <w:tcPr>
            <w:tcW w:w="3544" w:type="dxa"/>
          </w:tcPr>
          <w:p w14:paraId="4D562B29" w14:textId="5D5E2CC2" w:rsidR="00325ABA" w:rsidRPr="00325ABA" w:rsidRDefault="00325ABA" w:rsidP="005F6FE4">
            <w:pPr>
              <w:pStyle w:val="Zkladntext"/>
              <w:jc w:val="center"/>
              <w:rPr>
                <w:b/>
              </w:rPr>
            </w:pPr>
            <w:r w:rsidRPr="00325ABA">
              <w:rPr>
                <w:b/>
              </w:rPr>
              <w:t>schválený rozpočet</w:t>
            </w:r>
            <w:r w:rsidR="005F6FE4">
              <w:rPr>
                <w:b/>
              </w:rPr>
              <w:t xml:space="preserve"> </w:t>
            </w:r>
            <w:r w:rsidR="00CF110F" w:rsidRPr="00325ABA">
              <w:t>(v Kč)</w:t>
            </w:r>
          </w:p>
        </w:tc>
        <w:tc>
          <w:tcPr>
            <w:tcW w:w="3542" w:type="dxa"/>
          </w:tcPr>
          <w:p w14:paraId="2D07B408" w14:textId="5C9A13A8" w:rsidR="00CF110F" w:rsidRPr="00325ABA" w:rsidRDefault="00325ABA" w:rsidP="005F6FE4">
            <w:pPr>
              <w:pStyle w:val="Zkladntext"/>
              <w:jc w:val="center"/>
              <w:rPr>
                <w:b/>
              </w:rPr>
            </w:pPr>
            <w:r w:rsidRPr="00325ABA">
              <w:rPr>
                <w:b/>
              </w:rPr>
              <w:t>upravený rozpočet</w:t>
            </w:r>
            <w:r w:rsidR="005F6FE4">
              <w:rPr>
                <w:b/>
              </w:rPr>
              <w:t xml:space="preserve"> </w:t>
            </w:r>
            <w:r w:rsidR="00CF110F" w:rsidRPr="00325ABA">
              <w:t>(v Kč)</w:t>
            </w:r>
          </w:p>
        </w:tc>
      </w:tr>
      <w:tr w:rsidR="00325ABA" w:rsidRPr="00325ABA" w14:paraId="4E1A3760" w14:textId="77777777" w:rsidTr="005F6FE4">
        <w:trPr>
          <w:trHeight w:val="328"/>
        </w:trPr>
        <w:tc>
          <w:tcPr>
            <w:tcW w:w="1701" w:type="dxa"/>
          </w:tcPr>
          <w:p w14:paraId="5B106BA9" w14:textId="77777777" w:rsidR="00325ABA" w:rsidRPr="00325ABA" w:rsidRDefault="00325ABA" w:rsidP="00325ABA">
            <w:pPr>
              <w:pStyle w:val="Zkladntext"/>
              <w:jc w:val="center"/>
            </w:pPr>
            <w:r w:rsidRPr="00325ABA">
              <w:t>2011</w:t>
            </w:r>
          </w:p>
        </w:tc>
        <w:tc>
          <w:tcPr>
            <w:tcW w:w="3544" w:type="dxa"/>
          </w:tcPr>
          <w:p w14:paraId="1FFF2ACE" w14:textId="77777777" w:rsidR="00325ABA" w:rsidRPr="00325ABA" w:rsidRDefault="00325ABA" w:rsidP="00325ABA">
            <w:pPr>
              <w:pStyle w:val="Zkladntext"/>
              <w:jc w:val="center"/>
              <w:rPr>
                <w:snapToGrid w:val="0"/>
                <w:color w:val="000000"/>
              </w:rPr>
            </w:pPr>
            <w:r w:rsidRPr="00325ABA">
              <w:rPr>
                <w:snapToGrid w:val="0"/>
                <w:color w:val="000000"/>
              </w:rPr>
              <w:t>3 602 130 000</w:t>
            </w:r>
          </w:p>
        </w:tc>
        <w:tc>
          <w:tcPr>
            <w:tcW w:w="3542" w:type="dxa"/>
          </w:tcPr>
          <w:p w14:paraId="1B19F6B5" w14:textId="77777777" w:rsidR="00325ABA" w:rsidRPr="00325ABA" w:rsidRDefault="00325ABA" w:rsidP="00325ABA">
            <w:pPr>
              <w:pStyle w:val="Zkladntext"/>
              <w:jc w:val="center"/>
            </w:pPr>
            <w:r w:rsidRPr="00325ABA">
              <w:t>3 450 536 000</w:t>
            </w:r>
          </w:p>
        </w:tc>
      </w:tr>
      <w:tr w:rsidR="00325ABA" w:rsidRPr="00325ABA" w14:paraId="59EA391F" w14:textId="77777777" w:rsidTr="005F6FE4">
        <w:trPr>
          <w:trHeight w:val="388"/>
        </w:trPr>
        <w:tc>
          <w:tcPr>
            <w:tcW w:w="1701" w:type="dxa"/>
          </w:tcPr>
          <w:p w14:paraId="5ECB2B80" w14:textId="77777777" w:rsidR="00325ABA" w:rsidRPr="00325ABA" w:rsidRDefault="00325ABA" w:rsidP="00325ABA">
            <w:pPr>
              <w:pStyle w:val="Zkladntext"/>
              <w:jc w:val="center"/>
            </w:pPr>
            <w:r w:rsidRPr="00325ABA">
              <w:t>2012</w:t>
            </w:r>
          </w:p>
        </w:tc>
        <w:tc>
          <w:tcPr>
            <w:tcW w:w="3544" w:type="dxa"/>
          </w:tcPr>
          <w:p w14:paraId="3350AE3C" w14:textId="77777777" w:rsidR="00325ABA" w:rsidRPr="00325ABA" w:rsidRDefault="00325ABA" w:rsidP="00325ABA">
            <w:pPr>
              <w:pStyle w:val="Zkladntext"/>
              <w:jc w:val="center"/>
              <w:rPr>
                <w:snapToGrid w:val="0"/>
                <w:color w:val="000000"/>
              </w:rPr>
            </w:pPr>
            <w:r w:rsidRPr="00325ABA">
              <w:rPr>
                <w:snapToGrid w:val="0"/>
                <w:color w:val="000000"/>
              </w:rPr>
              <w:t>3 202 130 000</w:t>
            </w:r>
          </w:p>
        </w:tc>
        <w:tc>
          <w:tcPr>
            <w:tcW w:w="3542" w:type="dxa"/>
          </w:tcPr>
          <w:p w14:paraId="3938FA61" w14:textId="77777777" w:rsidR="00325ABA" w:rsidRPr="00325ABA" w:rsidRDefault="00325ABA" w:rsidP="00325ABA">
            <w:pPr>
              <w:pStyle w:val="Zkladntext"/>
              <w:jc w:val="center"/>
            </w:pPr>
            <w:r w:rsidRPr="00325ABA">
              <w:t>2 943 205 000</w:t>
            </w:r>
          </w:p>
        </w:tc>
      </w:tr>
      <w:tr w:rsidR="00325ABA" w:rsidRPr="00325ABA" w14:paraId="36521DF4" w14:textId="77777777" w:rsidTr="005F6FE4">
        <w:trPr>
          <w:trHeight w:val="404"/>
        </w:trPr>
        <w:tc>
          <w:tcPr>
            <w:tcW w:w="1701" w:type="dxa"/>
          </w:tcPr>
          <w:p w14:paraId="099E4AF5" w14:textId="77777777" w:rsidR="00325ABA" w:rsidRPr="00325ABA" w:rsidRDefault="00325ABA" w:rsidP="00325ABA">
            <w:pPr>
              <w:pStyle w:val="Zkladntext"/>
              <w:jc w:val="center"/>
            </w:pPr>
            <w:r w:rsidRPr="00325ABA">
              <w:t>2013</w:t>
            </w:r>
          </w:p>
        </w:tc>
        <w:tc>
          <w:tcPr>
            <w:tcW w:w="3544" w:type="dxa"/>
          </w:tcPr>
          <w:p w14:paraId="18AE53AD" w14:textId="77777777" w:rsidR="00325ABA" w:rsidRPr="00325ABA" w:rsidRDefault="00325ABA" w:rsidP="00325ABA">
            <w:pPr>
              <w:pStyle w:val="Zkladntext"/>
              <w:jc w:val="center"/>
              <w:rPr>
                <w:snapToGrid w:val="0"/>
                <w:color w:val="000000"/>
              </w:rPr>
            </w:pPr>
            <w:r w:rsidRPr="00325ABA">
              <w:rPr>
                <w:snapToGrid w:val="0"/>
                <w:color w:val="000000"/>
              </w:rPr>
              <w:t>3 102 130 000</w:t>
            </w:r>
          </w:p>
        </w:tc>
        <w:tc>
          <w:tcPr>
            <w:tcW w:w="3542" w:type="dxa"/>
          </w:tcPr>
          <w:p w14:paraId="72CCCFF0" w14:textId="77777777" w:rsidR="00325ABA" w:rsidRPr="00325ABA" w:rsidRDefault="00325ABA" w:rsidP="00325ABA">
            <w:pPr>
              <w:pStyle w:val="Zkladntext"/>
              <w:jc w:val="center"/>
            </w:pPr>
            <w:r w:rsidRPr="00325ABA">
              <w:t>2 845 653 965</w:t>
            </w:r>
          </w:p>
        </w:tc>
      </w:tr>
      <w:tr w:rsidR="00325ABA" w:rsidRPr="00325ABA" w14:paraId="1DF7CF4A" w14:textId="77777777" w:rsidTr="005F6FE4">
        <w:trPr>
          <w:trHeight w:val="311"/>
        </w:trPr>
        <w:tc>
          <w:tcPr>
            <w:tcW w:w="1701" w:type="dxa"/>
          </w:tcPr>
          <w:p w14:paraId="0753E58C" w14:textId="77777777" w:rsidR="00325ABA" w:rsidRPr="00325ABA" w:rsidRDefault="00325ABA" w:rsidP="00325ABA">
            <w:pPr>
              <w:pStyle w:val="Zkladntext"/>
              <w:jc w:val="center"/>
            </w:pPr>
            <w:r w:rsidRPr="00325ABA">
              <w:t>2014</w:t>
            </w:r>
          </w:p>
        </w:tc>
        <w:tc>
          <w:tcPr>
            <w:tcW w:w="3544" w:type="dxa"/>
          </w:tcPr>
          <w:p w14:paraId="3899DF69" w14:textId="77777777" w:rsidR="00325ABA" w:rsidRPr="00325ABA" w:rsidRDefault="00325ABA" w:rsidP="00325ABA">
            <w:pPr>
              <w:pStyle w:val="Zkladntext"/>
              <w:jc w:val="center"/>
              <w:rPr>
                <w:snapToGrid w:val="0"/>
                <w:color w:val="000000"/>
              </w:rPr>
            </w:pPr>
            <w:r w:rsidRPr="00325ABA">
              <w:rPr>
                <w:snapToGrid w:val="0"/>
                <w:color w:val="000000"/>
              </w:rPr>
              <w:t>3 052 130 000</w:t>
            </w:r>
          </w:p>
        </w:tc>
        <w:tc>
          <w:tcPr>
            <w:tcW w:w="3542" w:type="dxa"/>
          </w:tcPr>
          <w:p w14:paraId="021C97CA" w14:textId="77777777" w:rsidR="00325ABA" w:rsidRPr="00325ABA" w:rsidRDefault="00325ABA" w:rsidP="00325ABA">
            <w:pPr>
              <w:pStyle w:val="Zkladntext"/>
              <w:jc w:val="center"/>
            </w:pPr>
            <w:r w:rsidRPr="00325ABA">
              <w:t>3 099 060 600</w:t>
            </w:r>
          </w:p>
        </w:tc>
      </w:tr>
      <w:tr w:rsidR="00325ABA" w:rsidRPr="00325ABA" w14:paraId="01837463" w14:textId="77777777" w:rsidTr="005F6FE4">
        <w:trPr>
          <w:trHeight w:val="422"/>
        </w:trPr>
        <w:tc>
          <w:tcPr>
            <w:tcW w:w="1701" w:type="dxa"/>
          </w:tcPr>
          <w:p w14:paraId="46D8187C" w14:textId="77777777" w:rsidR="00325ABA" w:rsidRPr="00325ABA" w:rsidRDefault="00325ABA" w:rsidP="00325ABA">
            <w:pPr>
              <w:pStyle w:val="Zkladntext"/>
              <w:jc w:val="center"/>
            </w:pPr>
            <w:r w:rsidRPr="00325ABA">
              <w:t>2015</w:t>
            </w:r>
          </w:p>
        </w:tc>
        <w:tc>
          <w:tcPr>
            <w:tcW w:w="3544" w:type="dxa"/>
          </w:tcPr>
          <w:p w14:paraId="6B302C47" w14:textId="77777777" w:rsidR="00325ABA" w:rsidRPr="00325ABA" w:rsidRDefault="00325ABA" w:rsidP="00325ABA">
            <w:pPr>
              <w:pStyle w:val="Zkladntext"/>
              <w:jc w:val="center"/>
              <w:rPr>
                <w:snapToGrid w:val="0"/>
                <w:color w:val="000000"/>
              </w:rPr>
            </w:pPr>
            <w:r w:rsidRPr="00325ABA">
              <w:rPr>
                <w:snapToGrid w:val="0"/>
                <w:color w:val="000000"/>
              </w:rPr>
              <w:t>3 352 130 000</w:t>
            </w:r>
          </w:p>
        </w:tc>
        <w:tc>
          <w:tcPr>
            <w:tcW w:w="3542" w:type="dxa"/>
          </w:tcPr>
          <w:p w14:paraId="321F9AD4" w14:textId="77777777" w:rsidR="00325ABA" w:rsidRPr="00325ABA" w:rsidRDefault="00325ABA" w:rsidP="00325ABA">
            <w:pPr>
              <w:pStyle w:val="Zkladntext"/>
              <w:jc w:val="center"/>
            </w:pPr>
            <w:r w:rsidRPr="00325ABA">
              <w:t>3 124 939 563</w:t>
            </w:r>
          </w:p>
        </w:tc>
      </w:tr>
      <w:tr w:rsidR="00325ABA" w:rsidRPr="00325ABA" w14:paraId="07DF3A63" w14:textId="77777777" w:rsidTr="005F6FE4">
        <w:trPr>
          <w:trHeight w:val="422"/>
        </w:trPr>
        <w:tc>
          <w:tcPr>
            <w:tcW w:w="1701" w:type="dxa"/>
          </w:tcPr>
          <w:p w14:paraId="2B14A460" w14:textId="77777777" w:rsidR="00325ABA" w:rsidRPr="00325ABA" w:rsidRDefault="00325ABA" w:rsidP="00325ABA">
            <w:pPr>
              <w:pStyle w:val="Zkladntext"/>
              <w:jc w:val="center"/>
            </w:pPr>
            <w:r w:rsidRPr="00325ABA">
              <w:t>2016</w:t>
            </w:r>
          </w:p>
        </w:tc>
        <w:tc>
          <w:tcPr>
            <w:tcW w:w="3544" w:type="dxa"/>
          </w:tcPr>
          <w:p w14:paraId="51F2C95F" w14:textId="77777777" w:rsidR="00325ABA" w:rsidRPr="00325ABA" w:rsidRDefault="00325ABA" w:rsidP="00325ABA">
            <w:pPr>
              <w:pStyle w:val="Zkladntext"/>
              <w:jc w:val="center"/>
              <w:rPr>
                <w:snapToGrid w:val="0"/>
                <w:color w:val="000000"/>
              </w:rPr>
            </w:pPr>
            <w:r w:rsidRPr="00325ABA">
              <w:rPr>
                <w:snapToGrid w:val="0"/>
                <w:color w:val="000000"/>
              </w:rPr>
              <w:t>2 939 157 818</w:t>
            </w:r>
          </w:p>
        </w:tc>
        <w:tc>
          <w:tcPr>
            <w:tcW w:w="3542" w:type="dxa"/>
          </w:tcPr>
          <w:p w14:paraId="6A242653" w14:textId="77777777" w:rsidR="00325ABA" w:rsidRPr="00325ABA" w:rsidRDefault="00325ABA" w:rsidP="00325ABA">
            <w:pPr>
              <w:pStyle w:val="Zkladntext"/>
              <w:jc w:val="center"/>
            </w:pPr>
            <w:r w:rsidRPr="00325ABA">
              <w:t>3 233 826 817</w:t>
            </w:r>
          </w:p>
        </w:tc>
      </w:tr>
      <w:tr w:rsidR="00325ABA" w:rsidRPr="00325ABA" w14:paraId="01403D70" w14:textId="77777777" w:rsidTr="005F6FE4">
        <w:trPr>
          <w:trHeight w:val="422"/>
        </w:trPr>
        <w:tc>
          <w:tcPr>
            <w:tcW w:w="1701" w:type="dxa"/>
          </w:tcPr>
          <w:p w14:paraId="19CFA196" w14:textId="77777777" w:rsidR="00325ABA" w:rsidRPr="00325ABA" w:rsidRDefault="00325ABA" w:rsidP="00325ABA">
            <w:pPr>
              <w:pStyle w:val="Zkladntext"/>
              <w:jc w:val="center"/>
            </w:pPr>
            <w:r w:rsidRPr="00325ABA">
              <w:t>2017</w:t>
            </w:r>
          </w:p>
        </w:tc>
        <w:tc>
          <w:tcPr>
            <w:tcW w:w="3544" w:type="dxa"/>
          </w:tcPr>
          <w:p w14:paraId="4D76C51E" w14:textId="77777777" w:rsidR="00325ABA" w:rsidRPr="00325ABA" w:rsidRDefault="00325ABA" w:rsidP="00325ABA">
            <w:pPr>
              <w:pStyle w:val="Zkladntext"/>
              <w:jc w:val="center"/>
              <w:rPr>
                <w:snapToGrid w:val="0"/>
                <w:color w:val="000000"/>
              </w:rPr>
            </w:pPr>
            <w:r w:rsidRPr="00325ABA">
              <w:rPr>
                <w:snapToGrid w:val="0"/>
                <w:color w:val="000000"/>
              </w:rPr>
              <w:t>3 109 057 918</w:t>
            </w:r>
          </w:p>
        </w:tc>
        <w:tc>
          <w:tcPr>
            <w:tcW w:w="3542" w:type="dxa"/>
          </w:tcPr>
          <w:p w14:paraId="6074F0A1" w14:textId="77777777" w:rsidR="00325ABA" w:rsidRPr="00325ABA" w:rsidRDefault="00325ABA" w:rsidP="00325ABA">
            <w:pPr>
              <w:pStyle w:val="Zkladntext"/>
              <w:jc w:val="center"/>
            </w:pPr>
            <w:r w:rsidRPr="00325ABA">
              <w:t>3 358 521 269</w:t>
            </w:r>
          </w:p>
        </w:tc>
      </w:tr>
      <w:tr w:rsidR="00325ABA" w:rsidRPr="00325ABA" w14:paraId="672E6C8E" w14:textId="77777777" w:rsidTr="005F6FE4">
        <w:trPr>
          <w:trHeight w:val="314"/>
        </w:trPr>
        <w:tc>
          <w:tcPr>
            <w:tcW w:w="1701" w:type="dxa"/>
          </w:tcPr>
          <w:p w14:paraId="1881A936" w14:textId="77777777" w:rsidR="00325ABA" w:rsidRPr="00325ABA" w:rsidRDefault="00325ABA" w:rsidP="00325ABA">
            <w:pPr>
              <w:pStyle w:val="Zkladntext"/>
              <w:jc w:val="center"/>
            </w:pPr>
            <w:r w:rsidRPr="00325ABA">
              <w:t>2018</w:t>
            </w:r>
          </w:p>
        </w:tc>
        <w:tc>
          <w:tcPr>
            <w:tcW w:w="3544" w:type="dxa"/>
          </w:tcPr>
          <w:p w14:paraId="414546F3" w14:textId="77777777" w:rsidR="00325ABA" w:rsidRPr="00325ABA" w:rsidRDefault="00325ABA" w:rsidP="00325ABA">
            <w:pPr>
              <w:pStyle w:val="Zkladntext"/>
              <w:jc w:val="center"/>
              <w:rPr>
                <w:snapToGrid w:val="0"/>
                <w:color w:val="000000"/>
              </w:rPr>
            </w:pPr>
            <w:r w:rsidRPr="00325ABA">
              <w:rPr>
                <w:snapToGrid w:val="0"/>
                <w:color w:val="000000"/>
              </w:rPr>
              <w:t>4 635 757 761</w:t>
            </w:r>
          </w:p>
        </w:tc>
        <w:tc>
          <w:tcPr>
            <w:tcW w:w="3542" w:type="dxa"/>
          </w:tcPr>
          <w:p w14:paraId="19BF9E73" w14:textId="77777777" w:rsidR="00325ABA" w:rsidRPr="00325ABA" w:rsidRDefault="00325ABA" w:rsidP="00325ABA">
            <w:pPr>
              <w:pStyle w:val="Zkladntext"/>
              <w:jc w:val="center"/>
            </w:pPr>
            <w:r w:rsidRPr="00325ABA">
              <w:t xml:space="preserve">4 407 998 027 </w:t>
            </w:r>
          </w:p>
        </w:tc>
      </w:tr>
    </w:tbl>
    <w:p w14:paraId="7B076810" w14:textId="77777777" w:rsidR="00325ABA" w:rsidRPr="00325ABA" w:rsidRDefault="00325ABA" w:rsidP="00325ABA">
      <w:pPr>
        <w:pStyle w:val="Zkladntext"/>
      </w:pPr>
    </w:p>
    <w:p w14:paraId="66301DE7" w14:textId="77777777" w:rsidR="00325ABA" w:rsidRPr="00325ABA" w:rsidRDefault="00325ABA" w:rsidP="00325ABA">
      <w:pPr>
        <w:pStyle w:val="Titulek"/>
        <w:keepNext/>
      </w:pPr>
      <w:bookmarkStart w:id="192" w:name="_Toc5965645"/>
      <w:r w:rsidRPr="00325ABA">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D</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3</w:t>
      </w:r>
      <w:r w:rsidR="005F53B0">
        <w:rPr>
          <w:noProof/>
        </w:rPr>
        <w:fldChar w:fldCharType="end"/>
      </w:r>
      <w:r w:rsidRPr="00325ABA">
        <w:t>: Závazné ukazatele programového financování</w:t>
      </w:r>
      <w:r w:rsidRPr="00325ABA">
        <w:rPr>
          <w:b w:val="0"/>
        </w:rPr>
        <w:t xml:space="preserve"> </w:t>
      </w:r>
      <w:r w:rsidRPr="00325ABA">
        <w:t>kapitoly MŠMT na rok 2019</w:t>
      </w:r>
      <w:bookmarkEnd w:id="192"/>
      <w:r w:rsidRPr="00325ABA">
        <w:t xml:space="preserve"> </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40"/>
        <w:gridCol w:w="5631"/>
        <w:gridCol w:w="2145"/>
      </w:tblGrid>
      <w:tr w:rsidR="00325ABA" w:rsidRPr="00325ABA" w14:paraId="01989BB5" w14:textId="77777777" w:rsidTr="00325ABA">
        <w:trPr>
          <w:trHeight w:val="523"/>
          <w:jc w:val="center"/>
        </w:trPr>
        <w:tc>
          <w:tcPr>
            <w:tcW w:w="6771" w:type="dxa"/>
            <w:gridSpan w:val="2"/>
            <w:tcBorders>
              <w:top w:val="single" w:sz="12" w:space="0" w:color="auto"/>
              <w:bottom w:val="single" w:sz="12" w:space="0" w:color="auto"/>
            </w:tcBorders>
            <w:vAlign w:val="center"/>
          </w:tcPr>
          <w:p w14:paraId="5EF81CEE" w14:textId="77777777" w:rsidR="00325ABA" w:rsidRPr="00325ABA" w:rsidRDefault="00325ABA" w:rsidP="00325ABA">
            <w:pPr>
              <w:jc w:val="center"/>
            </w:pPr>
            <w:r w:rsidRPr="00325ABA">
              <w:rPr>
                <w:b/>
                <w:snapToGrid w:val="0"/>
                <w:color w:val="000000"/>
              </w:rPr>
              <w:t>Název závazného ukazatele</w:t>
            </w:r>
          </w:p>
        </w:tc>
        <w:tc>
          <w:tcPr>
            <w:tcW w:w="2145" w:type="dxa"/>
            <w:tcBorders>
              <w:top w:val="single" w:sz="12" w:space="0" w:color="auto"/>
              <w:bottom w:val="single" w:sz="12" w:space="0" w:color="auto"/>
            </w:tcBorders>
            <w:vAlign w:val="center"/>
          </w:tcPr>
          <w:p w14:paraId="6F7AB385" w14:textId="77777777" w:rsidR="00CF110F" w:rsidRDefault="00325ABA" w:rsidP="00325ABA">
            <w:pPr>
              <w:jc w:val="center"/>
              <w:rPr>
                <w:b/>
                <w:snapToGrid w:val="0"/>
                <w:color w:val="000000"/>
              </w:rPr>
            </w:pPr>
            <w:r w:rsidRPr="00325ABA">
              <w:rPr>
                <w:b/>
                <w:snapToGrid w:val="0"/>
                <w:color w:val="000000"/>
              </w:rPr>
              <w:t>Výdaje celkem</w:t>
            </w:r>
          </w:p>
          <w:p w14:paraId="5145E615" w14:textId="77777777" w:rsidR="00325ABA" w:rsidRPr="00325ABA" w:rsidRDefault="00CF110F" w:rsidP="00325ABA">
            <w:pPr>
              <w:jc w:val="center"/>
            </w:pPr>
            <w:r w:rsidRPr="00325ABA">
              <w:t>(v Kč)</w:t>
            </w:r>
          </w:p>
        </w:tc>
      </w:tr>
      <w:tr w:rsidR="00325ABA" w:rsidRPr="00325ABA" w14:paraId="393950EF" w14:textId="77777777" w:rsidTr="00325ABA">
        <w:trPr>
          <w:trHeight w:val="271"/>
          <w:jc w:val="center"/>
        </w:trPr>
        <w:tc>
          <w:tcPr>
            <w:tcW w:w="6771" w:type="dxa"/>
            <w:gridSpan w:val="2"/>
            <w:tcBorders>
              <w:top w:val="single" w:sz="12" w:space="0" w:color="auto"/>
              <w:bottom w:val="single" w:sz="12" w:space="0" w:color="auto"/>
            </w:tcBorders>
          </w:tcPr>
          <w:p w14:paraId="569A2DB1" w14:textId="77777777" w:rsidR="00325ABA" w:rsidRPr="00325ABA" w:rsidRDefault="00325ABA" w:rsidP="00325ABA">
            <w:pPr>
              <w:rPr>
                <w:b/>
              </w:rPr>
            </w:pPr>
            <w:r w:rsidRPr="00325ABA">
              <w:rPr>
                <w:b/>
              </w:rPr>
              <w:t>Souhrnné ukazatele</w:t>
            </w:r>
          </w:p>
        </w:tc>
        <w:tc>
          <w:tcPr>
            <w:tcW w:w="2145" w:type="dxa"/>
            <w:tcBorders>
              <w:top w:val="single" w:sz="12" w:space="0" w:color="auto"/>
              <w:bottom w:val="single" w:sz="12" w:space="0" w:color="auto"/>
            </w:tcBorders>
          </w:tcPr>
          <w:p w14:paraId="73D7CF51" w14:textId="77777777" w:rsidR="00325ABA" w:rsidRPr="00325ABA" w:rsidRDefault="00325ABA" w:rsidP="00325ABA">
            <w:pPr>
              <w:jc w:val="right"/>
            </w:pPr>
          </w:p>
        </w:tc>
      </w:tr>
      <w:tr w:rsidR="00325ABA" w:rsidRPr="00325ABA" w14:paraId="322B2F4D" w14:textId="77777777" w:rsidTr="00325ABA">
        <w:trPr>
          <w:trHeight w:val="271"/>
          <w:jc w:val="center"/>
        </w:trPr>
        <w:tc>
          <w:tcPr>
            <w:tcW w:w="1140" w:type="dxa"/>
            <w:tcBorders>
              <w:top w:val="single" w:sz="12" w:space="0" w:color="auto"/>
              <w:bottom w:val="single" w:sz="6" w:space="0" w:color="auto"/>
            </w:tcBorders>
          </w:tcPr>
          <w:p w14:paraId="66E2BA10" w14:textId="77777777" w:rsidR="00325ABA" w:rsidRPr="00325ABA" w:rsidRDefault="00325ABA" w:rsidP="00325ABA"/>
        </w:tc>
        <w:tc>
          <w:tcPr>
            <w:tcW w:w="5631" w:type="dxa"/>
            <w:tcBorders>
              <w:top w:val="single" w:sz="12" w:space="0" w:color="auto"/>
              <w:bottom w:val="single" w:sz="6" w:space="0" w:color="auto"/>
            </w:tcBorders>
          </w:tcPr>
          <w:p w14:paraId="2308DE77" w14:textId="77777777" w:rsidR="00325ABA" w:rsidRPr="00325ABA" w:rsidRDefault="00325ABA" w:rsidP="00325ABA">
            <w:pPr>
              <w:rPr>
                <w:b/>
              </w:rPr>
            </w:pPr>
            <w:r w:rsidRPr="00325ABA">
              <w:rPr>
                <w:b/>
              </w:rPr>
              <w:t>výdaje celkem</w:t>
            </w:r>
          </w:p>
        </w:tc>
        <w:tc>
          <w:tcPr>
            <w:tcW w:w="2145" w:type="dxa"/>
            <w:tcBorders>
              <w:top w:val="single" w:sz="12" w:space="0" w:color="auto"/>
              <w:bottom w:val="single" w:sz="6" w:space="0" w:color="auto"/>
            </w:tcBorders>
          </w:tcPr>
          <w:p w14:paraId="264B4F3A" w14:textId="77777777" w:rsidR="00325ABA" w:rsidRPr="00325ABA" w:rsidRDefault="00325ABA" w:rsidP="00325ABA">
            <w:pPr>
              <w:jc w:val="right"/>
              <w:rPr>
                <w:b/>
              </w:rPr>
            </w:pPr>
            <w:r w:rsidRPr="00325ABA">
              <w:rPr>
                <w:b/>
              </w:rPr>
              <w:t>5 866 703 995</w:t>
            </w:r>
          </w:p>
        </w:tc>
      </w:tr>
      <w:tr w:rsidR="00325ABA" w:rsidRPr="00325ABA" w14:paraId="78A68BF7" w14:textId="77777777" w:rsidTr="00325ABA">
        <w:trPr>
          <w:trHeight w:val="288"/>
          <w:jc w:val="center"/>
        </w:trPr>
        <w:tc>
          <w:tcPr>
            <w:tcW w:w="1140" w:type="dxa"/>
            <w:tcBorders>
              <w:top w:val="single" w:sz="6" w:space="0" w:color="auto"/>
              <w:bottom w:val="single" w:sz="12" w:space="0" w:color="auto"/>
            </w:tcBorders>
          </w:tcPr>
          <w:p w14:paraId="3DC25E89" w14:textId="77777777" w:rsidR="00325ABA" w:rsidRPr="00325ABA" w:rsidRDefault="00325ABA" w:rsidP="00325ABA"/>
        </w:tc>
        <w:tc>
          <w:tcPr>
            <w:tcW w:w="5631" w:type="dxa"/>
            <w:tcBorders>
              <w:top w:val="single" w:sz="6" w:space="0" w:color="auto"/>
              <w:bottom w:val="single" w:sz="12" w:space="0" w:color="auto"/>
            </w:tcBorders>
          </w:tcPr>
          <w:p w14:paraId="64B18522" w14:textId="77777777" w:rsidR="00325ABA" w:rsidRPr="00325ABA" w:rsidRDefault="00325ABA" w:rsidP="00325ABA">
            <w:pPr>
              <w:rPr>
                <w:b/>
              </w:rPr>
            </w:pPr>
            <w:r w:rsidRPr="00325ABA">
              <w:rPr>
                <w:b/>
              </w:rPr>
              <w:t>běžné výdaje celkem</w:t>
            </w:r>
          </w:p>
        </w:tc>
        <w:tc>
          <w:tcPr>
            <w:tcW w:w="2145" w:type="dxa"/>
            <w:tcBorders>
              <w:top w:val="single" w:sz="6" w:space="0" w:color="auto"/>
              <w:bottom w:val="single" w:sz="12" w:space="0" w:color="auto"/>
            </w:tcBorders>
          </w:tcPr>
          <w:p w14:paraId="094D619D" w14:textId="19D67B3A" w:rsidR="00325ABA" w:rsidRPr="00325ABA" w:rsidRDefault="00703D25" w:rsidP="00325ABA">
            <w:pPr>
              <w:jc w:val="right"/>
              <w:rPr>
                <w:b/>
              </w:rPr>
            </w:pPr>
            <w:r>
              <w:rPr>
                <w:b/>
              </w:rPr>
              <w:t>619 912 616</w:t>
            </w:r>
          </w:p>
        </w:tc>
      </w:tr>
      <w:tr w:rsidR="00325ABA" w:rsidRPr="00325ABA" w14:paraId="68295062" w14:textId="77777777" w:rsidTr="00325ABA">
        <w:trPr>
          <w:trHeight w:val="271"/>
          <w:jc w:val="center"/>
        </w:trPr>
        <w:tc>
          <w:tcPr>
            <w:tcW w:w="6771" w:type="dxa"/>
            <w:gridSpan w:val="2"/>
            <w:tcBorders>
              <w:top w:val="single" w:sz="12" w:space="0" w:color="auto"/>
              <w:bottom w:val="single" w:sz="6" w:space="0" w:color="auto"/>
            </w:tcBorders>
          </w:tcPr>
          <w:p w14:paraId="28546AF5" w14:textId="77777777" w:rsidR="00325ABA" w:rsidRPr="00325ABA" w:rsidRDefault="00325ABA" w:rsidP="00325ABA">
            <w:pPr>
              <w:rPr>
                <w:b/>
              </w:rPr>
            </w:pPr>
            <w:r w:rsidRPr="00325ABA">
              <w:rPr>
                <w:b/>
              </w:rPr>
              <w:t>Specifické ukazatele – výdaje celkem</w:t>
            </w:r>
          </w:p>
        </w:tc>
        <w:tc>
          <w:tcPr>
            <w:tcW w:w="2145" w:type="dxa"/>
            <w:tcBorders>
              <w:top w:val="single" w:sz="12" w:space="0" w:color="auto"/>
              <w:bottom w:val="single" w:sz="6" w:space="0" w:color="auto"/>
            </w:tcBorders>
          </w:tcPr>
          <w:p w14:paraId="499805F4" w14:textId="77777777" w:rsidR="00325ABA" w:rsidRPr="00325ABA" w:rsidRDefault="00325ABA" w:rsidP="00325ABA">
            <w:pPr>
              <w:jc w:val="right"/>
            </w:pPr>
          </w:p>
        </w:tc>
      </w:tr>
      <w:tr w:rsidR="00325ABA" w:rsidRPr="00325ABA" w14:paraId="2F171311" w14:textId="77777777" w:rsidTr="00325ABA">
        <w:trPr>
          <w:trHeight w:val="271"/>
          <w:jc w:val="center"/>
        </w:trPr>
        <w:tc>
          <w:tcPr>
            <w:tcW w:w="1140" w:type="dxa"/>
            <w:tcBorders>
              <w:top w:val="single" w:sz="6" w:space="0" w:color="auto"/>
              <w:bottom w:val="single" w:sz="6" w:space="0" w:color="auto"/>
            </w:tcBorders>
          </w:tcPr>
          <w:p w14:paraId="13FDAB47" w14:textId="77777777" w:rsidR="00325ABA" w:rsidRPr="00325ABA" w:rsidRDefault="00325ABA" w:rsidP="00325ABA"/>
        </w:tc>
        <w:tc>
          <w:tcPr>
            <w:tcW w:w="5631" w:type="dxa"/>
            <w:tcBorders>
              <w:top w:val="single" w:sz="6" w:space="0" w:color="auto"/>
              <w:bottom w:val="single" w:sz="6" w:space="0" w:color="auto"/>
            </w:tcBorders>
          </w:tcPr>
          <w:p w14:paraId="05A076F2" w14:textId="77777777" w:rsidR="00325ABA" w:rsidRPr="00325ABA" w:rsidRDefault="00325ABA" w:rsidP="00325ABA">
            <w:r w:rsidRPr="00325ABA">
              <w:t>věda a vysoké školy</w:t>
            </w:r>
          </w:p>
        </w:tc>
        <w:tc>
          <w:tcPr>
            <w:tcW w:w="2145" w:type="dxa"/>
            <w:tcBorders>
              <w:top w:val="single" w:sz="6" w:space="0" w:color="auto"/>
              <w:bottom w:val="single" w:sz="6" w:space="0" w:color="auto"/>
            </w:tcBorders>
          </w:tcPr>
          <w:p w14:paraId="77FFE592" w14:textId="77777777" w:rsidR="00325ABA" w:rsidRPr="00325ABA" w:rsidRDefault="00325ABA" w:rsidP="00325ABA">
            <w:pPr>
              <w:jc w:val="right"/>
            </w:pPr>
            <w:r w:rsidRPr="00325ABA">
              <w:t>2 245 994 748</w:t>
            </w:r>
          </w:p>
        </w:tc>
      </w:tr>
      <w:tr w:rsidR="00325ABA" w:rsidRPr="00325ABA" w14:paraId="60C306C7" w14:textId="77777777" w:rsidTr="00325ABA">
        <w:trPr>
          <w:trHeight w:val="288"/>
          <w:jc w:val="center"/>
        </w:trPr>
        <w:tc>
          <w:tcPr>
            <w:tcW w:w="1140" w:type="dxa"/>
            <w:tcBorders>
              <w:top w:val="single" w:sz="6" w:space="0" w:color="auto"/>
              <w:bottom w:val="single" w:sz="6" w:space="0" w:color="auto"/>
            </w:tcBorders>
          </w:tcPr>
          <w:p w14:paraId="234344ED" w14:textId="77777777" w:rsidR="00325ABA" w:rsidRPr="00325ABA" w:rsidRDefault="00325ABA" w:rsidP="00325ABA"/>
        </w:tc>
        <w:tc>
          <w:tcPr>
            <w:tcW w:w="5631" w:type="dxa"/>
            <w:tcBorders>
              <w:top w:val="single" w:sz="6" w:space="0" w:color="auto"/>
              <w:bottom w:val="single" w:sz="6" w:space="0" w:color="auto"/>
            </w:tcBorders>
          </w:tcPr>
          <w:p w14:paraId="66B7F217" w14:textId="77777777" w:rsidR="00325ABA" w:rsidRPr="00325ABA" w:rsidRDefault="00325ABA" w:rsidP="00325ABA">
            <w:r w:rsidRPr="00325ABA">
              <w:t xml:space="preserve">            v tom: vysoké školy</w:t>
            </w:r>
          </w:p>
        </w:tc>
        <w:tc>
          <w:tcPr>
            <w:tcW w:w="2145" w:type="dxa"/>
            <w:tcBorders>
              <w:top w:val="single" w:sz="6" w:space="0" w:color="auto"/>
              <w:bottom w:val="single" w:sz="6" w:space="0" w:color="auto"/>
            </w:tcBorders>
          </w:tcPr>
          <w:p w14:paraId="39CF4CD3" w14:textId="77777777" w:rsidR="00325ABA" w:rsidRPr="00325ABA" w:rsidRDefault="00325ABA" w:rsidP="00325ABA">
            <w:pPr>
              <w:jc w:val="right"/>
            </w:pPr>
            <w:r w:rsidRPr="00325ABA">
              <w:t>2 245 994 748</w:t>
            </w:r>
          </w:p>
        </w:tc>
      </w:tr>
      <w:tr w:rsidR="00325ABA" w:rsidRPr="00325ABA" w14:paraId="7E9CC709" w14:textId="77777777" w:rsidTr="00325ABA">
        <w:trPr>
          <w:trHeight w:val="288"/>
          <w:jc w:val="center"/>
        </w:trPr>
        <w:tc>
          <w:tcPr>
            <w:tcW w:w="1140" w:type="dxa"/>
            <w:tcBorders>
              <w:top w:val="single" w:sz="6" w:space="0" w:color="auto"/>
              <w:bottom w:val="single" w:sz="6" w:space="0" w:color="auto"/>
            </w:tcBorders>
          </w:tcPr>
          <w:p w14:paraId="34E7EF1D" w14:textId="77777777" w:rsidR="00325ABA" w:rsidRPr="00325ABA" w:rsidRDefault="00325ABA" w:rsidP="00325ABA"/>
        </w:tc>
        <w:tc>
          <w:tcPr>
            <w:tcW w:w="5631" w:type="dxa"/>
            <w:tcBorders>
              <w:top w:val="single" w:sz="6" w:space="0" w:color="auto"/>
              <w:bottom w:val="single" w:sz="6" w:space="0" w:color="auto"/>
            </w:tcBorders>
          </w:tcPr>
          <w:p w14:paraId="40CCF7D0" w14:textId="77777777" w:rsidR="00325ABA" w:rsidRPr="00325ABA" w:rsidRDefault="00325ABA" w:rsidP="00325ABA">
            <w:r w:rsidRPr="00325ABA">
              <w:t>výdaje RgŠ</w:t>
            </w:r>
          </w:p>
        </w:tc>
        <w:tc>
          <w:tcPr>
            <w:tcW w:w="2145" w:type="dxa"/>
            <w:tcBorders>
              <w:top w:val="single" w:sz="6" w:space="0" w:color="auto"/>
              <w:bottom w:val="single" w:sz="6" w:space="0" w:color="auto"/>
            </w:tcBorders>
          </w:tcPr>
          <w:p w14:paraId="124BBCF5" w14:textId="77777777" w:rsidR="00325ABA" w:rsidRPr="00325ABA" w:rsidRDefault="00325ABA" w:rsidP="00325ABA">
            <w:pPr>
              <w:jc w:val="right"/>
            </w:pPr>
            <w:r w:rsidRPr="00325ABA">
              <w:t>600 000 000</w:t>
            </w:r>
          </w:p>
        </w:tc>
      </w:tr>
      <w:tr w:rsidR="00325ABA" w:rsidRPr="00325ABA" w14:paraId="47B11C8E" w14:textId="77777777" w:rsidTr="00325ABA">
        <w:trPr>
          <w:trHeight w:val="271"/>
          <w:jc w:val="center"/>
        </w:trPr>
        <w:tc>
          <w:tcPr>
            <w:tcW w:w="1140" w:type="dxa"/>
            <w:tcBorders>
              <w:top w:val="single" w:sz="6" w:space="0" w:color="auto"/>
              <w:bottom w:val="single" w:sz="6" w:space="0" w:color="auto"/>
            </w:tcBorders>
          </w:tcPr>
          <w:p w14:paraId="5F8CA1C6" w14:textId="77777777" w:rsidR="00325ABA" w:rsidRPr="00325ABA" w:rsidRDefault="00325ABA" w:rsidP="00325ABA"/>
        </w:tc>
        <w:tc>
          <w:tcPr>
            <w:tcW w:w="5631" w:type="dxa"/>
            <w:tcBorders>
              <w:top w:val="single" w:sz="6" w:space="0" w:color="auto"/>
              <w:bottom w:val="single" w:sz="6" w:space="0" w:color="auto"/>
            </w:tcBorders>
          </w:tcPr>
          <w:p w14:paraId="31270C5C" w14:textId="77777777" w:rsidR="00325ABA" w:rsidRPr="00325ABA" w:rsidRDefault="00325ABA" w:rsidP="00325ABA">
            <w:r w:rsidRPr="00325ABA">
              <w:t>výdaje PŘO</w:t>
            </w:r>
          </w:p>
        </w:tc>
        <w:tc>
          <w:tcPr>
            <w:tcW w:w="2145" w:type="dxa"/>
            <w:tcBorders>
              <w:top w:val="single" w:sz="6" w:space="0" w:color="auto"/>
              <w:bottom w:val="single" w:sz="6" w:space="0" w:color="auto"/>
            </w:tcBorders>
          </w:tcPr>
          <w:p w14:paraId="421200AF" w14:textId="77777777" w:rsidR="00325ABA" w:rsidRPr="00325ABA" w:rsidRDefault="00325ABA" w:rsidP="00325ABA">
            <w:pPr>
              <w:jc w:val="right"/>
            </w:pPr>
            <w:r w:rsidRPr="00325ABA">
              <w:t xml:space="preserve">65 000 000 </w:t>
            </w:r>
          </w:p>
        </w:tc>
      </w:tr>
      <w:tr w:rsidR="00325ABA" w:rsidRPr="00325ABA" w14:paraId="219E5134" w14:textId="77777777" w:rsidTr="00325ABA">
        <w:trPr>
          <w:trHeight w:val="271"/>
          <w:jc w:val="center"/>
        </w:trPr>
        <w:tc>
          <w:tcPr>
            <w:tcW w:w="1140" w:type="dxa"/>
            <w:tcBorders>
              <w:top w:val="single" w:sz="6" w:space="0" w:color="auto"/>
              <w:bottom w:val="single" w:sz="6" w:space="0" w:color="auto"/>
            </w:tcBorders>
          </w:tcPr>
          <w:p w14:paraId="70A14B66" w14:textId="77777777" w:rsidR="00325ABA" w:rsidRPr="00325ABA" w:rsidRDefault="00325ABA" w:rsidP="00325ABA"/>
        </w:tc>
        <w:tc>
          <w:tcPr>
            <w:tcW w:w="5631" w:type="dxa"/>
            <w:tcBorders>
              <w:top w:val="single" w:sz="6" w:space="0" w:color="auto"/>
              <w:bottom w:val="single" w:sz="6" w:space="0" w:color="auto"/>
            </w:tcBorders>
          </w:tcPr>
          <w:p w14:paraId="76D683C2" w14:textId="77777777" w:rsidR="00325ABA" w:rsidRPr="00325ABA" w:rsidRDefault="00325ABA" w:rsidP="00325ABA">
            <w:r w:rsidRPr="00325ABA">
              <w:t>podpora v činnosti oblasti mládeže</w:t>
            </w:r>
          </w:p>
        </w:tc>
        <w:tc>
          <w:tcPr>
            <w:tcW w:w="2145" w:type="dxa"/>
            <w:tcBorders>
              <w:top w:val="single" w:sz="6" w:space="0" w:color="auto"/>
              <w:bottom w:val="single" w:sz="6" w:space="0" w:color="auto"/>
            </w:tcBorders>
          </w:tcPr>
          <w:p w14:paraId="1E89A57C" w14:textId="77777777" w:rsidR="00325ABA" w:rsidRPr="00325ABA" w:rsidRDefault="00325ABA" w:rsidP="00325ABA">
            <w:pPr>
              <w:jc w:val="right"/>
            </w:pPr>
            <w:r w:rsidRPr="00325ABA">
              <w:t>25 194 100</w:t>
            </w:r>
          </w:p>
        </w:tc>
      </w:tr>
      <w:tr w:rsidR="00325ABA" w:rsidRPr="00325ABA" w14:paraId="6DF007B2" w14:textId="77777777" w:rsidTr="00325ABA">
        <w:trPr>
          <w:trHeight w:val="271"/>
          <w:jc w:val="center"/>
        </w:trPr>
        <w:tc>
          <w:tcPr>
            <w:tcW w:w="1140" w:type="dxa"/>
            <w:tcBorders>
              <w:top w:val="single" w:sz="6" w:space="0" w:color="auto"/>
              <w:bottom w:val="single" w:sz="6" w:space="0" w:color="auto"/>
            </w:tcBorders>
          </w:tcPr>
          <w:p w14:paraId="519DF27C" w14:textId="77777777" w:rsidR="00325ABA" w:rsidRPr="00325ABA" w:rsidRDefault="00325ABA" w:rsidP="00325ABA"/>
        </w:tc>
        <w:tc>
          <w:tcPr>
            <w:tcW w:w="5631" w:type="dxa"/>
            <w:tcBorders>
              <w:top w:val="single" w:sz="6" w:space="0" w:color="auto"/>
              <w:bottom w:val="single" w:sz="6" w:space="0" w:color="auto"/>
            </w:tcBorders>
          </w:tcPr>
          <w:p w14:paraId="336C5A89" w14:textId="77777777" w:rsidR="00325ABA" w:rsidRPr="00325ABA" w:rsidRDefault="00325ABA" w:rsidP="00325ABA">
            <w:r w:rsidRPr="00325ABA">
              <w:t>podpora činnosti v oblasti sportu</w:t>
            </w:r>
          </w:p>
        </w:tc>
        <w:tc>
          <w:tcPr>
            <w:tcW w:w="2145" w:type="dxa"/>
            <w:tcBorders>
              <w:top w:val="single" w:sz="6" w:space="0" w:color="auto"/>
              <w:bottom w:val="single" w:sz="6" w:space="0" w:color="auto"/>
            </w:tcBorders>
          </w:tcPr>
          <w:p w14:paraId="5EDA0B4A" w14:textId="77777777" w:rsidR="00325ABA" w:rsidRPr="00325ABA" w:rsidRDefault="00325ABA" w:rsidP="00325ABA">
            <w:pPr>
              <w:jc w:val="right"/>
            </w:pPr>
            <w:r w:rsidRPr="00325ABA">
              <w:t>2 000 000 000</w:t>
            </w:r>
          </w:p>
        </w:tc>
      </w:tr>
      <w:tr w:rsidR="00325ABA" w:rsidRPr="00325ABA" w14:paraId="3BE47D98" w14:textId="77777777" w:rsidTr="00325ABA">
        <w:trPr>
          <w:trHeight w:val="288"/>
          <w:jc w:val="center"/>
        </w:trPr>
        <w:tc>
          <w:tcPr>
            <w:tcW w:w="1140" w:type="dxa"/>
            <w:tcBorders>
              <w:top w:val="single" w:sz="6" w:space="0" w:color="auto"/>
              <w:bottom w:val="single" w:sz="6" w:space="0" w:color="auto"/>
            </w:tcBorders>
          </w:tcPr>
          <w:p w14:paraId="2C64347F" w14:textId="77777777" w:rsidR="00325ABA" w:rsidRPr="00325ABA" w:rsidRDefault="00325ABA" w:rsidP="00325ABA"/>
        </w:tc>
        <w:tc>
          <w:tcPr>
            <w:tcW w:w="5631" w:type="dxa"/>
            <w:tcBorders>
              <w:top w:val="single" w:sz="6" w:space="0" w:color="auto"/>
              <w:bottom w:val="single" w:sz="6" w:space="0" w:color="auto"/>
            </w:tcBorders>
          </w:tcPr>
          <w:p w14:paraId="1B3EB74B" w14:textId="77777777" w:rsidR="00325ABA" w:rsidRPr="00325ABA" w:rsidRDefault="00325ABA" w:rsidP="00325ABA">
            <w:r w:rsidRPr="00325ABA">
              <w:t xml:space="preserve">            v tom: sportovní reprezentace</w:t>
            </w:r>
          </w:p>
        </w:tc>
        <w:tc>
          <w:tcPr>
            <w:tcW w:w="2145" w:type="dxa"/>
            <w:tcBorders>
              <w:top w:val="single" w:sz="6" w:space="0" w:color="auto"/>
              <w:bottom w:val="single" w:sz="6" w:space="0" w:color="auto"/>
            </w:tcBorders>
          </w:tcPr>
          <w:p w14:paraId="500A72D7" w14:textId="77777777" w:rsidR="00325ABA" w:rsidRPr="00325ABA" w:rsidRDefault="00325ABA" w:rsidP="00325ABA">
            <w:pPr>
              <w:jc w:val="right"/>
            </w:pPr>
            <w:r w:rsidRPr="00325ABA">
              <w:t>450 000 000</w:t>
            </w:r>
          </w:p>
        </w:tc>
      </w:tr>
      <w:tr w:rsidR="00325ABA" w:rsidRPr="00325ABA" w14:paraId="2CCE5F63" w14:textId="77777777" w:rsidTr="00325ABA">
        <w:trPr>
          <w:trHeight w:val="288"/>
          <w:jc w:val="center"/>
        </w:trPr>
        <w:tc>
          <w:tcPr>
            <w:tcW w:w="1140" w:type="dxa"/>
            <w:tcBorders>
              <w:top w:val="single" w:sz="6" w:space="0" w:color="auto"/>
              <w:bottom w:val="single" w:sz="6" w:space="0" w:color="auto"/>
            </w:tcBorders>
          </w:tcPr>
          <w:p w14:paraId="47B301BE" w14:textId="77777777" w:rsidR="00325ABA" w:rsidRPr="00325ABA" w:rsidRDefault="00325ABA" w:rsidP="00325ABA"/>
        </w:tc>
        <w:tc>
          <w:tcPr>
            <w:tcW w:w="5631" w:type="dxa"/>
            <w:tcBorders>
              <w:top w:val="single" w:sz="6" w:space="0" w:color="auto"/>
              <w:bottom w:val="single" w:sz="6" w:space="0" w:color="auto"/>
            </w:tcBorders>
          </w:tcPr>
          <w:p w14:paraId="3956A17A" w14:textId="77777777" w:rsidR="00325ABA" w:rsidRPr="00325ABA" w:rsidRDefault="00325ABA" w:rsidP="00325ABA">
            <w:pPr>
              <w:ind w:left="802" w:firstLine="708"/>
            </w:pPr>
            <w:r w:rsidRPr="00325ABA">
              <w:t>všeobecná sportovní činnost</w:t>
            </w:r>
          </w:p>
        </w:tc>
        <w:tc>
          <w:tcPr>
            <w:tcW w:w="2145" w:type="dxa"/>
            <w:tcBorders>
              <w:top w:val="single" w:sz="6" w:space="0" w:color="auto"/>
              <w:bottom w:val="single" w:sz="6" w:space="0" w:color="auto"/>
            </w:tcBorders>
          </w:tcPr>
          <w:p w14:paraId="4B7D9BCA" w14:textId="77777777" w:rsidR="00325ABA" w:rsidRPr="00325ABA" w:rsidRDefault="00325ABA" w:rsidP="00325ABA">
            <w:pPr>
              <w:jc w:val="right"/>
            </w:pPr>
            <w:r w:rsidRPr="00325ABA">
              <w:t>1 550 000 000</w:t>
            </w:r>
          </w:p>
        </w:tc>
      </w:tr>
      <w:tr w:rsidR="00325ABA" w:rsidRPr="00325ABA" w14:paraId="5E6EA752" w14:textId="77777777" w:rsidTr="00325ABA">
        <w:trPr>
          <w:trHeight w:val="271"/>
          <w:jc w:val="center"/>
        </w:trPr>
        <w:tc>
          <w:tcPr>
            <w:tcW w:w="1140" w:type="dxa"/>
            <w:tcBorders>
              <w:top w:val="single" w:sz="6" w:space="0" w:color="auto"/>
              <w:bottom w:val="single" w:sz="6" w:space="0" w:color="auto"/>
            </w:tcBorders>
          </w:tcPr>
          <w:p w14:paraId="042E2BFD" w14:textId="77777777" w:rsidR="00325ABA" w:rsidRPr="00325ABA" w:rsidRDefault="00325ABA" w:rsidP="00325ABA"/>
        </w:tc>
        <w:tc>
          <w:tcPr>
            <w:tcW w:w="5631" w:type="dxa"/>
            <w:tcBorders>
              <w:top w:val="single" w:sz="6" w:space="0" w:color="auto"/>
              <w:bottom w:val="single" w:sz="6" w:space="0" w:color="auto"/>
            </w:tcBorders>
          </w:tcPr>
          <w:p w14:paraId="7A5A4646" w14:textId="77777777" w:rsidR="00325ABA" w:rsidRPr="00325ABA" w:rsidRDefault="00325ABA" w:rsidP="00325ABA">
            <w:r w:rsidRPr="00325ABA">
              <w:t>ostatní výdaje na zabezpečení úkolů resortu</w:t>
            </w:r>
          </w:p>
        </w:tc>
        <w:tc>
          <w:tcPr>
            <w:tcW w:w="2145" w:type="dxa"/>
            <w:tcBorders>
              <w:top w:val="single" w:sz="6" w:space="0" w:color="auto"/>
              <w:bottom w:val="single" w:sz="6" w:space="0" w:color="auto"/>
            </w:tcBorders>
          </w:tcPr>
          <w:p w14:paraId="7446E290" w14:textId="4350467C" w:rsidR="00325ABA" w:rsidRPr="00325ABA" w:rsidRDefault="00703D25" w:rsidP="00325ABA">
            <w:pPr>
              <w:jc w:val="right"/>
            </w:pPr>
            <w:r>
              <w:t>84 969 769</w:t>
            </w:r>
          </w:p>
        </w:tc>
      </w:tr>
      <w:tr w:rsidR="00325ABA" w:rsidRPr="00325ABA" w14:paraId="3A63713E" w14:textId="77777777" w:rsidTr="00325ABA">
        <w:trPr>
          <w:trHeight w:val="288"/>
          <w:jc w:val="center"/>
        </w:trPr>
        <w:tc>
          <w:tcPr>
            <w:tcW w:w="1140" w:type="dxa"/>
            <w:tcBorders>
              <w:top w:val="single" w:sz="6" w:space="0" w:color="auto"/>
              <w:bottom w:val="single" w:sz="6" w:space="0" w:color="auto"/>
            </w:tcBorders>
          </w:tcPr>
          <w:p w14:paraId="5615DC1D" w14:textId="77777777" w:rsidR="00325ABA" w:rsidRPr="00325ABA" w:rsidRDefault="00325ABA" w:rsidP="00325ABA"/>
        </w:tc>
        <w:tc>
          <w:tcPr>
            <w:tcW w:w="5631" w:type="dxa"/>
            <w:tcBorders>
              <w:top w:val="single" w:sz="6" w:space="0" w:color="auto"/>
              <w:bottom w:val="single" w:sz="6" w:space="0" w:color="auto"/>
            </w:tcBorders>
          </w:tcPr>
          <w:p w14:paraId="1FAA30E2" w14:textId="77777777" w:rsidR="00325ABA" w:rsidRPr="00325ABA" w:rsidRDefault="00325ABA" w:rsidP="00325ABA">
            <w:r w:rsidRPr="00325ABA">
              <w:t xml:space="preserve">            v tom: státní správa</w:t>
            </w:r>
          </w:p>
        </w:tc>
        <w:tc>
          <w:tcPr>
            <w:tcW w:w="2145" w:type="dxa"/>
            <w:tcBorders>
              <w:top w:val="single" w:sz="6" w:space="0" w:color="auto"/>
              <w:bottom w:val="single" w:sz="6" w:space="0" w:color="auto"/>
            </w:tcBorders>
          </w:tcPr>
          <w:p w14:paraId="5F221A9A" w14:textId="1872A96E" w:rsidR="00325ABA" w:rsidRPr="00325ABA" w:rsidRDefault="00703D25" w:rsidP="00325ABA">
            <w:pPr>
              <w:jc w:val="right"/>
            </w:pPr>
            <w:r>
              <w:t>79 969 769</w:t>
            </w:r>
          </w:p>
        </w:tc>
      </w:tr>
      <w:tr w:rsidR="00703D25" w:rsidRPr="00325ABA" w14:paraId="6C822826" w14:textId="77777777" w:rsidTr="00325ABA">
        <w:trPr>
          <w:trHeight w:val="288"/>
          <w:jc w:val="center"/>
        </w:trPr>
        <w:tc>
          <w:tcPr>
            <w:tcW w:w="1140" w:type="dxa"/>
            <w:tcBorders>
              <w:top w:val="single" w:sz="6" w:space="0" w:color="auto"/>
              <w:bottom w:val="single" w:sz="6" w:space="0" w:color="auto"/>
            </w:tcBorders>
          </w:tcPr>
          <w:p w14:paraId="2016C75B" w14:textId="77777777" w:rsidR="00703D25" w:rsidRPr="00325ABA" w:rsidRDefault="00703D25" w:rsidP="00325ABA"/>
        </w:tc>
        <w:tc>
          <w:tcPr>
            <w:tcW w:w="5631" w:type="dxa"/>
            <w:tcBorders>
              <w:top w:val="single" w:sz="6" w:space="0" w:color="auto"/>
              <w:bottom w:val="single" w:sz="6" w:space="0" w:color="auto"/>
            </w:tcBorders>
          </w:tcPr>
          <w:p w14:paraId="24EAACB3" w14:textId="31F4AA64" w:rsidR="00703D25" w:rsidRPr="00325ABA" w:rsidRDefault="00703D25" w:rsidP="00325ABA">
            <w:r w:rsidRPr="00325ABA">
              <w:t xml:space="preserve">            </w:t>
            </w:r>
            <w:r>
              <w:t xml:space="preserve">           </w:t>
            </w:r>
            <w:r w:rsidRPr="00E65EE1">
              <w:t>OPŘO</w:t>
            </w:r>
          </w:p>
        </w:tc>
        <w:tc>
          <w:tcPr>
            <w:tcW w:w="2145" w:type="dxa"/>
            <w:tcBorders>
              <w:top w:val="single" w:sz="6" w:space="0" w:color="auto"/>
              <w:bottom w:val="single" w:sz="6" w:space="0" w:color="auto"/>
            </w:tcBorders>
          </w:tcPr>
          <w:p w14:paraId="59F0232C" w14:textId="54900859" w:rsidR="00703D25" w:rsidRDefault="00703D25" w:rsidP="00325ABA">
            <w:pPr>
              <w:jc w:val="right"/>
            </w:pPr>
            <w:r>
              <w:t>1 500 000</w:t>
            </w:r>
          </w:p>
        </w:tc>
      </w:tr>
      <w:tr w:rsidR="00325ABA" w:rsidRPr="00F50AF7" w14:paraId="050365C6" w14:textId="77777777" w:rsidTr="00325ABA">
        <w:trPr>
          <w:trHeight w:val="271"/>
          <w:jc w:val="center"/>
        </w:trPr>
        <w:tc>
          <w:tcPr>
            <w:tcW w:w="1140" w:type="dxa"/>
            <w:tcBorders>
              <w:top w:val="single" w:sz="6" w:space="0" w:color="auto"/>
              <w:bottom w:val="single" w:sz="6" w:space="0" w:color="auto"/>
            </w:tcBorders>
          </w:tcPr>
          <w:p w14:paraId="13FC3590" w14:textId="77777777" w:rsidR="00325ABA" w:rsidRPr="00325ABA" w:rsidRDefault="00325ABA" w:rsidP="00325ABA"/>
        </w:tc>
        <w:tc>
          <w:tcPr>
            <w:tcW w:w="5631" w:type="dxa"/>
            <w:tcBorders>
              <w:top w:val="single" w:sz="6" w:space="0" w:color="auto"/>
              <w:bottom w:val="single" w:sz="6" w:space="0" w:color="auto"/>
            </w:tcBorders>
          </w:tcPr>
          <w:p w14:paraId="4D9F8737" w14:textId="77777777" w:rsidR="00325ABA" w:rsidRPr="00325ABA" w:rsidRDefault="00325ABA" w:rsidP="00325ABA">
            <w:pPr>
              <w:ind w:firstLine="1510"/>
            </w:pPr>
            <w:r w:rsidRPr="00325ABA">
              <w:t xml:space="preserve">krizové řízení </w:t>
            </w:r>
          </w:p>
        </w:tc>
        <w:tc>
          <w:tcPr>
            <w:tcW w:w="2145" w:type="dxa"/>
            <w:tcBorders>
              <w:top w:val="single" w:sz="6" w:space="0" w:color="auto"/>
              <w:bottom w:val="single" w:sz="6" w:space="0" w:color="auto"/>
            </w:tcBorders>
          </w:tcPr>
          <w:p w14:paraId="7C1321C4" w14:textId="77777777" w:rsidR="00325ABA" w:rsidRPr="00F50AF7" w:rsidRDefault="00325ABA" w:rsidP="00325ABA">
            <w:pPr>
              <w:jc w:val="right"/>
            </w:pPr>
            <w:r w:rsidRPr="00325ABA">
              <w:t>3 500 000</w:t>
            </w:r>
          </w:p>
        </w:tc>
      </w:tr>
    </w:tbl>
    <w:p w14:paraId="6E642349" w14:textId="77777777" w:rsidR="00325ABA" w:rsidRPr="00325ABA" w:rsidRDefault="00325ABA" w:rsidP="00F94A17">
      <w:pPr>
        <w:pStyle w:val="Nadpis2"/>
        <w:spacing w:before="480"/>
        <w:ind w:left="578" w:hanging="578"/>
      </w:pPr>
      <w:bookmarkStart w:id="193" w:name="_Toc511202916"/>
      <w:bookmarkStart w:id="194" w:name="_Toc5968895"/>
      <w:r w:rsidRPr="00325ABA">
        <w:t>Charakteristika jednotlivých programů</w:t>
      </w:r>
      <w:bookmarkEnd w:id="193"/>
      <w:bookmarkEnd w:id="194"/>
      <w:r w:rsidRPr="00325ABA">
        <w:t xml:space="preserve"> </w:t>
      </w:r>
    </w:p>
    <w:p w14:paraId="12AA96DE" w14:textId="77777777" w:rsidR="00325ABA" w:rsidRPr="00325ABA" w:rsidRDefault="00325ABA" w:rsidP="00325ABA">
      <w:pPr>
        <w:rPr>
          <w:b/>
        </w:rPr>
      </w:pPr>
    </w:p>
    <w:p w14:paraId="356A7321" w14:textId="77777777" w:rsidR="00325ABA" w:rsidRPr="00325ABA" w:rsidRDefault="00325ABA" w:rsidP="00325ABA">
      <w:pPr>
        <w:rPr>
          <w:b/>
        </w:rPr>
      </w:pPr>
      <w:r w:rsidRPr="00325ABA">
        <w:rPr>
          <w:b/>
        </w:rPr>
        <w:t>Program 133 010 Rozvoj a obnova materiálně technické základny systému řízení MŠMT</w:t>
      </w:r>
    </w:p>
    <w:p w14:paraId="4FCF8078" w14:textId="77777777" w:rsidR="00325ABA" w:rsidRPr="00325ABA" w:rsidRDefault="00325ABA" w:rsidP="00325ABA">
      <w:pPr>
        <w:rPr>
          <w:b/>
        </w:rPr>
      </w:pPr>
    </w:p>
    <w:p w14:paraId="6680605F" w14:textId="77777777" w:rsidR="00325ABA" w:rsidRPr="00325ABA" w:rsidRDefault="00325ABA" w:rsidP="00AC4D14">
      <w:pPr>
        <w:pStyle w:val="Text"/>
      </w:pPr>
      <w:r w:rsidRPr="00325ABA">
        <w:t>Program byl schválen Ministerstvem financí dne 9. 11.2017. Účastníkem programu jsou organizační složky státu nebo státní příspěvková organizace v působnosti zákona č. 219/2000 Sb., o majetku České republiky a jejím vystupování v právních vztazích, ve znění pozdějších předpisů. Ukončení realizace programu je stanoveno na 30. 6. 2025.</w:t>
      </w:r>
    </w:p>
    <w:p w14:paraId="65FE021D" w14:textId="77777777" w:rsidR="00325ABA" w:rsidRPr="00325ABA" w:rsidRDefault="00325ABA" w:rsidP="00325ABA">
      <w:pPr>
        <w:tabs>
          <w:tab w:val="left" w:pos="4020"/>
        </w:tabs>
        <w:rPr>
          <w:b/>
        </w:rPr>
      </w:pPr>
      <w:r w:rsidRPr="00325ABA">
        <w:rPr>
          <w:b/>
        </w:rPr>
        <w:tab/>
      </w:r>
    </w:p>
    <w:p w14:paraId="5CA3F810" w14:textId="77777777" w:rsidR="00325ABA" w:rsidRPr="00325ABA" w:rsidRDefault="00325ABA" w:rsidP="00325ABA">
      <w:pPr>
        <w:rPr>
          <w:b/>
        </w:rPr>
      </w:pPr>
      <w:r w:rsidRPr="00325ABA">
        <w:rPr>
          <w:b/>
        </w:rPr>
        <w:t xml:space="preserve">Program 133 110 - Rozvoj a obnova materiálně technické základny speciálních škol </w:t>
      </w:r>
      <w:r w:rsidRPr="00325ABA">
        <w:rPr>
          <w:b/>
        </w:rPr>
        <w:br/>
        <w:t>a systému náhradní výchovné péče</w:t>
      </w:r>
    </w:p>
    <w:p w14:paraId="19705C60" w14:textId="77777777" w:rsidR="00325ABA" w:rsidRPr="00325ABA" w:rsidRDefault="00325ABA" w:rsidP="00325ABA">
      <w:pPr>
        <w:rPr>
          <w:b/>
        </w:rPr>
      </w:pPr>
    </w:p>
    <w:p w14:paraId="06948B32" w14:textId="3ACA88CC" w:rsidR="00325ABA" w:rsidRPr="00325ABA" w:rsidRDefault="00325ABA" w:rsidP="00325ABA">
      <w:pPr>
        <w:pStyle w:val="Text"/>
      </w:pPr>
      <w:r w:rsidRPr="00325ABA">
        <w:t xml:space="preserve">Jeho prostřednictvím je financována reprodukce majetku </w:t>
      </w:r>
      <w:r w:rsidR="00D12DFF">
        <w:t xml:space="preserve">škol a </w:t>
      </w:r>
      <w:r w:rsidRPr="00325ABA">
        <w:t>školských zařízení, které podle zákona č. 157/2000 Sb., o přechodu některých věcí, práv a závazků z majetku České republiky do majetku krajů, nadále zůstaly v působnosti MŠMT jako přímo řízené organizace. V programu jsou realizovány akce převážně stavebního charakteru, povahy novostaveb, rekonstrukcí a modernizací, dále pak nákupy objektů, které jako speciální zařízení pro děti předškolního a školního věku slouží pro zajištění výuky, stravování a ubytování. Hlavním cílem programu je udržet a zlepšovat kvalitu objektů, řešit úkoly vyplývající z nových předpisů a souvisejících vyhlášek vyplývajících ze zákona č. 109/2002 Sb. Ukončení realizace programu je stanoveno na 30. 6. 2019.</w:t>
      </w:r>
    </w:p>
    <w:p w14:paraId="0BACB91C" w14:textId="77777777" w:rsidR="00325ABA" w:rsidRPr="00325ABA" w:rsidRDefault="00325ABA" w:rsidP="00325ABA">
      <w:pPr>
        <w:pStyle w:val="Zkladntext"/>
        <w:rPr>
          <w:rStyle w:val="Siln"/>
        </w:rPr>
      </w:pPr>
    </w:p>
    <w:p w14:paraId="7C4626A2" w14:textId="77777777" w:rsidR="00325ABA" w:rsidRPr="00325ABA" w:rsidRDefault="00325ABA" w:rsidP="00325ABA">
      <w:pPr>
        <w:pStyle w:val="Zkladntext"/>
        <w:rPr>
          <w:rStyle w:val="Siln"/>
        </w:rPr>
      </w:pPr>
      <w:r w:rsidRPr="00325ABA">
        <w:rPr>
          <w:rStyle w:val="Siln"/>
        </w:rPr>
        <w:t>Program 133 210 – Rozvoj a obnova materiálně technické základny veřejných vysokých škol</w:t>
      </w:r>
    </w:p>
    <w:p w14:paraId="2A450F49" w14:textId="77777777" w:rsidR="00325ABA" w:rsidRPr="00325ABA" w:rsidRDefault="00325ABA" w:rsidP="00997C1E">
      <w:pPr>
        <w:pStyle w:val="Text"/>
      </w:pPr>
      <w:r w:rsidRPr="00325ABA">
        <w:t xml:space="preserve">Program je zaměřen na financování reprodukce majetku všech veřejných vysokých škol. Zahrnuje akce typu novostaveb, rekonstrukcí, modernizací a oprav, jimiž je třeba zajistit nebo zkvalitnit užitkové plochy pro výuku, pracoviště pedagogických i nepedagogických pracovníků, apod. Dokumentaci programu schválila vláda svým usnesením č. 653 </w:t>
      </w:r>
      <w:r w:rsidRPr="00325ABA">
        <w:br/>
        <w:t xml:space="preserve">ze dne 31. 8. 2011, dokumentace programu byla aktualizována a schválena usnesením vlády </w:t>
      </w:r>
      <w:r w:rsidRPr="00325ABA">
        <w:br/>
        <w:t>č. 494 ze dne 24. 6. 2015. Program bude ukončen do 31. 12. 2019.</w:t>
      </w:r>
    </w:p>
    <w:p w14:paraId="366835DE" w14:textId="77777777" w:rsidR="00325ABA" w:rsidRPr="00325ABA" w:rsidRDefault="00325ABA" w:rsidP="00325ABA">
      <w:pPr>
        <w:rPr>
          <w:szCs w:val="24"/>
        </w:rPr>
      </w:pPr>
    </w:p>
    <w:p w14:paraId="56E75106" w14:textId="77777777" w:rsidR="00325ABA" w:rsidRPr="00325ABA" w:rsidRDefault="00325ABA" w:rsidP="00325ABA">
      <w:pPr>
        <w:spacing w:before="240"/>
        <w:rPr>
          <w:b/>
          <w:bCs/>
          <w:szCs w:val="24"/>
        </w:rPr>
      </w:pPr>
      <w:r w:rsidRPr="00325ABA">
        <w:rPr>
          <w:b/>
          <w:bCs/>
          <w:szCs w:val="24"/>
        </w:rPr>
        <w:t xml:space="preserve">Program 133 220 </w:t>
      </w:r>
      <w:r w:rsidRPr="00325ABA">
        <w:rPr>
          <w:b/>
          <w:bCs/>
          <w:szCs w:val="24"/>
        </w:rPr>
        <w:tab/>
        <w:t>Rozvoj a obnova materiálně technické základny veřejných vysokých škol</w:t>
      </w:r>
    </w:p>
    <w:p w14:paraId="031C490C" w14:textId="77777777" w:rsidR="00325ABA" w:rsidRPr="00325ABA" w:rsidRDefault="00325ABA" w:rsidP="00997C1E">
      <w:pPr>
        <w:pStyle w:val="Text"/>
      </w:pPr>
      <w:r w:rsidRPr="00325ABA">
        <w:t xml:space="preserve">Program věcně navazuje na program 133 210. Dokumentace programu byla schválena Ministerstvem financí k 4. 9. 2018. Výzva pro předkládání žádostí pro část výukovou byla vyhlášena před koncem roku 2018. Pro program se připravuje výzva k podání žádostí </w:t>
      </w:r>
      <w:r w:rsidRPr="00325ABA">
        <w:br/>
        <w:t>o poskytnutí dotace na ubytovací a stravovací kapacity v 1. čtvrtletí roku 2019. Ukončení realizace programu je stanoveno na 30. 6. 2027.</w:t>
      </w:r>
    </w:p>
    <w:p w14:paraId="6F2AFA1E" w14:textId="77777777" w:rsidR="00325ABA" w:rsidRPr="00325ABA" w:rsidRDefault="00325ABA" w:rsidP="00325ABA">
      <w:pPr>
        <w:rPr>
          <w:szCs w:val="24"/>
        </w:rPr>
      </w:pPr>
    </w:p>
    <w:p w14:paraId="5ECA49E9" w14:textId="77777777" w:rsidR="00325ABA" w:rsidRPr="00325ABA" w:rsidRDefault="00325ABA" w:rsidP="00325ABA">
      <w:pPr>
        <w:rPr>
          <w:rStyle w:val="Siln"/>
        </w:rPr>
      </w:pPr>
      <w:r w:rsidRPr="00325ABA">
        <w:rPr>
          <w:rStyle w:val="Siln"/>
        </w:rPr>
        <w:lastRenderedPageBreak/>
        <w:t>Program 133 310 - Rozvoj výukových kapacit MŠ a ZŠ zřizovaných územně samosprávnými celky</w:t>
      </w:r>
    </w:p>
    <w:p w14:paraId="1182478A" w14:textId="77777777" w:rsidR="00325ABA" w:rsidRPr="00325ABA" w:rsidRDefault="00325ABA" w:rsidP="00325ABA">
      <w:pPr>
        <w:pStyle w:val="Zkladntext"/>
      </w:pPr>
    </w:p>
    <w:p w14:paraId="4DFF2F15" w14:textId="77777777" w:rsidR="00325ABA" w:rsidRPr="00325ABA" w:rsidRDefault="00325ABA" w:rsidP="00325ABA">
      <w:pPr>
        <w:pStyle w:val="Text"/>
      </w:pPr>
      <w:r w:rsidRPr="00325ABA">
        <w:t>V programu poskytuje MŠMT investiční dotace na přípravu a realizaci projektů za účelem vytvoření nových výukových kapacit MŠ a ZŠ zřizovaných obcemi nebo dobrovolnými svazky obcí v oblastech s nedostatečnou výukovou kapacitou v důsledku dlouhodobého nárůstu dětí nebo žáků z nové bytové výstavby.  Program byl zahájen v roce 2014 a bude ukončen v roce 2021.</w:t>
      </w:r>
    </w:p>
    <w:p w14:paraId="51BE0A13" w14:textId="77777777" w:rsidR="00325ABA" w:rsidRPr="00325ABA" w:rsidRDefault="00325ABA" w:rsidP="00325ABA">
      <w:pPr>
        <w:pStyle w:val="Text"/>
      </w:pPr>
    </w:p>
    <w:p w14:paraId="029565C1" w14:textId="77777777" w:rsidR="00325ABA" w:rsidRPr="00325ABA" w:rsidRDefault="00325ABA" w:rsidP="00325ABA">
      <w:pPr>
        <w:rPr>
          <w:rStyle w:val="Siln"/>
        </w:rPr>
      </w:pPr>
      <w:r w:rsidRPr="00325ABA">
        <w:rPr>
          <w:rStyle w:val="Siln"/>
        </w:rPr>
        <w:t>Program 133 320 - Podpora zajištění vybraných investičních podpůrných opatření při vzdělávání dětí, žáků a studentů se speciálními vzdělávacími potřebami</w:t>
      </w:r>
    </w:p>
    <w:p w14:paraId="386D5157" w14:textId="77777777" w:rsidR="00325ABA" w:rsidRPr="00325ABA" w:rsidRDefault="00325ABA" w:rsidP="00325ABA">
      <w:pPr>
        <w:rPr>
          <w:rStyle w:val="Siln"/>
        </w:rPr>
      </w:pPr>
    </w:p>
    <w:p w14:paraId="54D6413C" w14:textId="627AA4E1" w:rsidR="00325ABA" w:rsidRPr="00325ABA" w:rsidRDefault="00325ABA" w:rsidP="00325ABA">
      <w:pPr>
        <w:pStyle w:val="Text"/>
        <w:rPr>
          <w:i/>
        </w:rPr>
      </w:pPr>
      <w:r w:rsidRPr="00325ABA">
        <w:rPr>
          <w:rStyle w:val="Siln"/>
          <w:b w:val="0"/>
        </w:rPr>
        <w:t xml:space="preserve"> </w:t>
      </w:r>
      <w:r w:rsidRPr="00325ABA">
        <w:t>Prostřednictvím programu 133 320 MŠMT poskytuje investiční dotace na pořízení kompenzačních pomůcek a speciálních učebních pomů</w:t>
      </w:r>
      <w:r w:rsidR="00CB3D1B">
        <w:t>cek pro vzdělávání dětí, žáků a </w:t>
      </w:r>
      <w:r w:rsidRPr="00325ABA">
        <w:t>studentů (dále jen „žák“) s potřebou podpůrných opatření při vzdělávání a poskytování školských služeb podle § 16 školského zákona č. 561/2004 Sb. Výčet kompenzačních pomůcek, speciálních učebnic a speciálních učebních pomůcek, jež lze ze strany školských poradenských zařízení doporučovat jako podpůrné opatření při vzdělávání a poskytování školských služeb konkrétního žáka se speciálními vzdělávacími potřebami, obsahuje příloha č. 1 vyhlášky č. 27/2016 Sb., označená jako Přehled podpůrných opatření</w:t>
      </w:r>
      <w:r w:rsidRPr="00325ABA">
        <w:rPr>
          <w:i/>
        </w:rPr>
        <w:t>.</w:t>
      </w:r>
    </w:p>
    <w:p w14:paraId="3A918858" w14:textId="77777777" w:rsidR="00325ABA" w:rsidRPr="00325ABA" w:rsidRDefault="00325ABA" w:rsidP="00325ABA">
      <w:pPr>
        <w:pStyle w:val="Text"/>
      </w:pPr>
    </w:p>
    <w:p w14:paraId="7C2860DF" w14:textId="77777777" w:rsidR="00325ABA" w:rsidRPr="00325ABA" w:rsidRDefault="00325ABA" w:rsidP="00325ABA">
      <w:pPr>
        <w:rPr>
          <w:rStyle w:val="Siln"/>
        </w:rPr>
      </w:pPr>
      <w:r w:rsidRPr="00325ABA">
        <w:rPr>
          <w:rStyle w:val="Siln"/>
        </w:rPr>
        <w:t>Program 133 330 - Podpora vybraných projektů rozvoje výukových kapacit základního vzdělávání zřizovaného obcemi a dobrovolnými svazky obcí</w:t>
      </w:r>
    </w:p>
    <w:p w14:paraId="3419411A" w14:textId="77777777" w:rsidR="00325ABA" w:rsidRPr="00325ABA" w:rsidRDefault="00325ABA" w:rsidP="00325ABA">
      <w:pPr>
        <w:rPr>
          <w:rStyle w:val="Siln"/>
        </w:rPr>
      </w:pPr>
    </w:p>
    <w:p w14:paraId="47E3401C" w14:textId="77777777" w:rsidR="00325ABA" w:rsidRDefault="00325ABA" w:rsidP="00325ABA">
      <w:pPr>
        <w:pStyle w:val="Text"/>
      </w:pPr>
      <w:r w:rsidRPr="00325ABA">
        <w:t>Program je z hlediska účelového určení dotace zacílen na realizaci konkrétních projektů v území tzv. prstence kolem hlavního města Prahy, který vykazuje kritický nedostatek míst pro zajištění povinné školní docházky. Jedná se o výstavbu plně organizovaných základních škol v Rudné u Prahy, Jesenici, Psárech, Čelákovicích, Říčanech, Ondřejově, Přezleticích a Úvalech a dva projekty okrajových částí hlavního města Prahy – Řeporyjí a Čakovic. Program byl schválen usnesením vlády české republiky vlády č. 1030 ze dne 23. 11. 2016</w:t>
      </w:r>
    </w:p>
    <w:p w14:paraId="741F5ED1" w14:textId="77777777" w:rsidR="00325ABA" w:rsidRPr="000C1A8F" w:rsidRDefault="00325ABA" w:rsidP="00325ABA">
      <w:pPr>
        <w:pStyle w:val="Text"/>
        <w:rPr>
          <w:highlight w:val="yellow"/>
        </w:rPr>
      </w:pPr>
    </w:p>
    <w:p w14:paraId="7285604C" w14:textId="77777777" w:rsidR="00325ABA" w:rsidRPr="00944C4C" w:rsidRDefault="00325ABA" w:rsidP="00325ABA">
      <w:pPr>
        <w:pStyle w:val="Text"/>
        <w:rPr>
          <w:rStyle w:val="Siln"/>
          <w:rFonts w:cs="Times New Roman"/>
          <w:szCs w:val="20"/>
        </w:rPr>
      </w:pPr>
      <w:r w:rsidRPr="00944C4C">
        <w:rPr>
          <w:rStyle w:val="Siln"/>
        </w:rPr>
        <w:t xml:space="preserve">Program 133 710 - </w:t>
      </w:r>
      <w:r w:rsidRPr="00C65990">
        <w:rPr>
          <w:rStyle w:val="Siln"/>
        </w:rPr>
        <w:t>Rozvoj materiálně technické základny mimoškolních aktivit dětí a mládeže</w:t>
      </w:r>
    </w:p>
    <w:p w14:paraId="01CC44DD" w14:textId="77777777" w:rsidR="00325ABA" w:rsidRDefault="00325ABA" w:rsidP="00325ABA">
      <w:pPr>
        <w:pStyle w:val="Text"/>
        <w:rPr>
          <w:highlight w:val="yellow"/>
        </w:rPr>
      </w:pPr>
    </w:p>
    <w:p w14:paraId="147A9280" w14:textId="3AEFF988" w:rsidR="00325ABA" w:rsidRPr="00944C4C" w:rsidRDefault="00325ABA" w:rsidP="00325ABA">
      <w:pPr>
        <w:pStyle w:val="Text"/>
      </w:pPr>
      <w:r w:rsidRPr="00944C4C">
        <w:t>Tento program je vyjádřením požadavku státu na zabe</w:t>
      </w:r>
      <w:r w:rsidR="00CB3D1B">
        <w:t>zpečení péče o volný čas dětí a </w:t>
      </w:r>
      <w:r w:rsidRPr="00944C4C">
        <w:t>mládeže prostřednictvím NNO. V rámci tohoto programu poskytuje MŠMT investiční dotace na udržení a vytváření podmínek pro smysluplné trávení volného času dětí a mládeže a minimalizaci příčin vzniku sociálně patologických jevů. Finanční prostředky pro tuto oblast ve výši 25 194</w:t>
      </w:r>
      <w:r>
        <w:t xml:space="preserve"> 100 </w:t>
      </w:r>
      <w:r w:rsidRPr="00944C4C">
        <w:t>Kč jsou určeny na udržování a obnovu zařízení pro rozvoj volnočasových aktivit, vytváření takových technických podmínek, které povedou ke zkvalitnění volnočasových aktivit pro všechny věkové kategorie.</w:t>
      </w:r>
    </w:p>
    <w:p w14:paraId="3D530587" w14:textId="77777777" w:rsidR="00325ABA" w:rsidRDefault="00325ABA" w:rsidP="00325ABA">
      <w:pPr>
        <w:spacing w:before="120"/>
        <w:rPr>
          <w:highlight w:val="yellow"/>
        </w:rPr>
      </w:pPr>
    </w:p>
    <w:p w14:paraId="2344B185" w14:textId="77777777" w:rsidR="00CB3D1B" w:rsidRDefault="00CB3D1B" w:rsidP="00325ABA">
      <w:pPr>
        <w:spacing w:before="120"/>
        <w:rPr>
          <w:highlight w:val="yellow"/>
        </w:rPr>
      </w:pPr>
    </w:p>
    <w:p w14:paraId="1D5B105D" w14:textId="77777777" w:rsidR="00CB3D1B" w:rsidRDefault="00CB3D1B" w:rsidP="00325ABA">
      <w:pPr>
        <w:spacing w:before="120"/>
        <w:rPr>
          <w:highlight w:val="yellow"/>
        </w:rPr>
      </w:pPr>
    </w:p>
    <w:p w14:paraId="498F797B" w14:textId="77777777" w:rsidR="00CB3D1B" w:rsidRPr="00ED169B" w:rsidRDefault="00CB3D1B" w:rsidP="00325ABA">
      <w:pPr>
        <w:spacing w:before="120"/>
        <w:rPr>
          <w:highlight w:val="yellow"/>
        </w:rPr>
      </w:pPr>
    </w:p>
    <w:p w14:paraId="3507F265" w14:textId="77777777" w:rsidR="00325ABA" w:rsidRPr="00ED169B" w:rsidRDefault="00325ABA" w:rsidP="00325ABA">
      <w:pPr>
        <w:pStyle w:val="Text"/>
        <w:rPr>
          <w:rStyle w:val="Siln"/>
        </w:rPr>
      </w:pPr>
      <w:r w:rsidRPr="00ED169B">
        <w:rPr>
          <w:rStyle w:val="Siln"/>
        </w:rPr>
        <w:lastRenderedPageBreak/>
        <w:t>Program 133 810 - Financování vybraných akcí Operačního programu Výzkum, vývoj a vzdělávání</w:t>
      </w:r>
    </w:p>
    <w:p w14:paraId="0CEAEB2E" w14:textId="77777777" w:rsidR="00325ABA" w:rsidRPr="00325ABA" w:rsidRDefault="00325ABA" w:rsidP="00325ABA">
      <w:pPr>
        <w:ind w:firstLine="708"/>
        <w:rPr>
          <w:i/>
          <w:iCs/>
          <w:szCs w:val="24"/>
        </w:rPr>
      </w:pPr>
      <w:r w:rsidRPr="00325ABA">
        <w:rPr>
          <w:i/>
          <w:iCs/>
          <w:szCs w:val="24"/>
        </w:rPr>
        <w:t>Podprogram 133V 811 - Organizační složky státu a státní příspěvkové organizace</w:t>
      </w:r>
    </w:p>
    <w:p w14:paraId="2B4CF910" w14:textId="77777777" w:rsidR="00325ABA" w:rsidRPr="00325ABA" w:rsidRDefault="00325ABA" w:rsidP="00325ABA">
      <w:pPr>
        <w:pStyle w:val="Text"/>
      </w:pPr>
      <w:r w:rsidRPr="00325ABA">
        <w:t>Zahrnuje oblast investic pro projekty, kde jsou příjemcem dotace organizační složky státu a státní příspěvkové organizace v rámci prioritní osy 3 - Rovný přístup ke kvalitnímu předškolnímu, primárnímu a sekundárnímu vzdělávání Operačního programu Výzkum, vývoj a vzdělávání. Veškeré způsobilé výdaje na tyto projekty budou hrazeny z 80,8 % prostředky Evropského sociálního fondu a zbývajících 19,2 % pak spolufinancováním ze státního rozpočtu. Náklady na nezpůsobilé výdaje projektů OSS budou hrazeny ze zdrojů státního rozpočtu.</w:t>
      </w:r>
    </w:p>
    <w:p w14:paraId="497168D4" w14:textId="77777777" w:rsidR="00325ABA" w:rsidRPr="00325ABA" w:rsidRDefault="00325ABA" w:rsidP="00325ABA">
      <w:pPr>
        <w:pStyle w:val="Zkladntext"/>
        <w:ind w:firstLine="709"/>
        <w:rPr>
          <w:i/>
          <w:iCs/>
          <w:szCs w:val="24"/>
        </w:rPr>
      </w:pPr>
      <w:r w:rsidRPr="00325ABA">
        <w:rPr>
          <w:i/>
          <w:iCs/>
        </w:rPr>
        <w:t>Podprogram 133D 812 - Ostatní příjemci</w:t>
      </w:r>
    </w:p>
    <w:p w14:paraId="1ECF649C" w14:textId="77777777" w:rsidR="00325ABA" w:rsidRPr="00325ABA" w:rsidRDefault="00325ABA" w:rsidP="00325ABA">
      <w:pPr>
        <w:pStyle w:val="Text"/>
      </w:pPr>
      <w:r w:rsidRPr="00325ABA">
        <w:t>Zahrnuje oblast investic pro projekty, kde jsou příjemcem dotace jiné právní formy než organizační složky státu a státní příspěvkové organizace (převážně obce a spolky) v rámci Prioritní osa 3 - Rovný přístup ke kvalitnímu předškolnímu, primárnímu a sekundárnímu vzdělávání Operačního programu Výzkum, vývoj a vzdělávání. Veškeré způsobilé výdaje na tyto projekty budou hrazeny z 80,8 % prostředky Evropského sociálního fondu a zbývajících 19,2 % pak spolufinancováním ze státního rozpočtu. Náklady na nezpůsobilé výdaje projektu budou hrazeny z vlastních zdrojů žadatele</w:t>
      </w:r>
    </w:p>
    <w:p w14:paraId="3DC0951B" w14:textId="77777777" w:rsidR="00325ABA" w:rsidRPr="00325ABA" w:rsidRDefault="00325ABA" w:rsidP="00325ABA">
      <w:pPr>
        <w:pStyle w:val="Zkladntext"/>
        <w:ind w:firstLine="709"/>
        <w:rPr>
          <w:i/>
          <w:iCs/>
        </w:rPr>
      </w:pPr>
      <w:r w:rsidRPr="00325ABA">
        <w:rPr>
          <w:i/>
          <w:iCs/>
        </w:rPr>
        <w:t>Podprogram 133V 813 - Technická pomoc</w:t>
      </w:r>
    </w:p>
    <w:p w14:paraId="2024EFCC" w14:textId="77777777" w:rsidR="00325ABA" w:rsidRPr="003A2834" w:rsidRDefault="00325ABA" w:rsidP="00325ABA">
      <w:pPr>
        <w:pStyle w:val="Text"/>
      </w:pPr>
      <w:r w:rsidRPr="00325ABA">
        <w:t>Zahrnuje oblast investic pro projekty technické pomoci v rámci prioritní osy 4 - Technická pomoc Operačního programu Výzkum, vývoj a vzdělávání. Veškeré způsobilé výdaje na tyto projekty budou hrazeny z 81,15 % prostředky Evropského sociálního fondu a zbývajících 18,85 % pak spolufinancováním ze státního rozpočtu.</w:t>
      </w:r>
      <w:r w:rsidRPr="003A2834">
        <w:t xml:space="preserve"> </w:t>
      </w:r>
    </w:p>
    <w:p w14:paraId="4410276C" w14:textId="77777777" w:rsidR="00325ABA" w:rsidRPr="003A2834" w:rsidRDefault="00325ABA" w:rsidP="00325ABA">
      <w:pPr>
        <w:pStyle w:val="Text"/>
      </w:pPr>
    </w:p>
    <w:p w14:paraId="3AC52A8F" w14:textId="77777777" w:rsidR="00325ABA" w:rsidRPr="00325ABA" w:rsidRDefault="00325ABA" w:rsidP="00F94A17">
      <w:pPr>
        <w:pStyle w:val="Nadpis2"/>
      </w:pPr>
      <w:bookmarkStart w:id="195" w:name="_Toc511202917"/>
      <w:bookmarkStart w:id="196" w:name="_Toc5968896"/>
      <w:r w:rsidRPr="00325ABA">
        <w:t>Reprodukce majetku pro státní správu, PŘO a OPŘO</w:t>
      </w:r>
      <w:bookmarkEnd w:id="195"/>
      <w:bookmarkEnd w:id="196"/>
    </w:p>
    <w:p w14:paraId="38FE7F00" w14:textId="77777777" w:rsidR="00325ABA" w:rsidRPr="00325ABA" w:rsidRDefault="00325ABA" w:rsidP="00325ABA"/>
    <w:p w14:paraId="165AEEAE" w14:textId="1605069D" w:rsidR="00325ABA" w:rsidRPr="00325ABA" w:rsidRDefault="00325ABA" w:rsidP="00325ABA">
      <w:pPr>
        <w:pStyle w:val="Text"/>
      </w:pPr>
      <w:r w:rsidRPr="00325ABA">
        <w:t xml:space="preserve">Na výdaje programového financování v oblasti státní </w:t>
      </w:r>
      <w:r w:rsidR="00CB3D1B">
        <w:t>správy a OPŘO je v roce 2019 ve </w:t>
      </w:r>
      <w:r w:rsidRPr="00325ABA">
        <w:t xml:space="preserve">státním rozpočtu, spolufinancování a EU podílech vyčleněno </w:t>
      </w:r>
      <w:r w:rsidRPr="00325ABA">
        <w:rPr>
          <w:b/>
        </w:rPr>
        <w:t xml:space="preserve">282 980 747 </w:t>
      </w:r>
      <w:r w:rsidR="00CB3D1B">
        <w:t>Kč (z toho SR ve </w:t>
      </w:r>
      <w:r w:rsidRPr="00325ABA">
        <w:t>výši 84 969 769 Kč, spolufinancování z SR ve výši 37 899 301 Kč a EU podílu ve výši 160 111 677 Kč).</w:t>
      </w:r>
    </w:p>
    <w:p w14:paraId="39834E38" w14:textId="77777777" w:rsidR="00325ABA" w:rsidRPr="00325ABA" w:rsidRDefault="00325ABA" w:rsidP="00325ABA">
      <w:pPr>
        <w:pStyle w:val="Text"/>
      </w:pPr>
      <w:r w:rsidRPr="00325ABA">
        <w:t>Pro porovnání, v roce 2011 činil upravený rozpočet 1 037 000 Kč a v roce 2012 celkem 169 000 000 Kč, z toho vázání 32 000 000 Kč, v roce 2013 celkem 187 000 000 Kč, v roce 2014 činil upravený rozpočet celkem 110 240 000 Kč, v roce 2015 činil upravený rozpočet 115 934 800 Kč, v roce 2016 činil upravený rozpočet 128 220 070 Kč, v roce 2017 činil upravený rozpočet 157 869 070 Kč a v roce 2018 činil upravený rozpočet 110 787 930 Kč.</w:t>
      </w:r>
    </w:p>
    <w:p w14:paraId="7D5C9F58" w14:textId="77777777" w:rsidR="00325ABA" w:rsidRPr="00325ABA" w:rsidRDefault="00325ABA" w:rsidP="00325ABA">
      <w:pPr>
        <w:pStyle w:val="Text"/>
      </w:pPr>
      <w:r w:rsidRPr="00325ABA">
        <w:t>Do financování programu  budou v průběhu roku 2019 zapojeny i prostředky nároků z nespotřebovaných profilujících výdajů roku 2018 v celkové výši 62 739 572,76 Kč.</w:t>
      </w:r>
    </w:p>
    <w:p w14:paraId="6559ED79" w14:textId="77777777" w:rsidR="00325ABA" w:rsidRPr="00765440" w:rsidRDefault="00325ABA" w:rsidP="00325ABA">
      <w:pPr>
        <w:pStyle w:val="Text"/>
      </w:pPr>
      <w:r w:rsidRPr="00325ABA">
        <w:t>Výdaje jednotlivých programů zahrnují investiční výdaje a neinvestiční výdaje související s realizací jednotlivých akcí.</w:t>
      </w:r>
      <w:r w:rsidRPr="00765440">
        <w:t xml:space="preserve"> </w:t>
      </w:r>
    </w:p>
    <w:p w14:paraId="45F83A8F" w14:textId="77777777" w:rsidR="00325ABA" w:rsidRDefault="00325ABA" w:rsidP="00325ABA">
      <w:pPr>
        <w:pStyle w:val="Text"/>
      </w:pPr>
    </w:p>
    <w:p w14:paraId="07CBF5F2" w14:textId="77777777" w:rsidR="00325ABA" w:rsidRPr="00325ABA" w:rsidRDefault="00325ABA" w:rsidP="00F94A17">
      <w:pPr>
        <w:pStyle w:val="Nadpis2"/>
      </w:pPr>
      <w:bookmarkStart w:id="197" w:name="_Toc511202918"/>
      <w:bookmarkStart w:id="198" w:name="_Toc5968897"/>
      <w:r w:rsidRPr="00325ABA">
        <w:t>Reprodukce majetku veřejných vysokých škol</w:t>
      </w:r>
      <w:bookmarkEnd w:id="197"/>
      <w:bookmarkEnd w:id="198"/>
    </w:p>
    <w:p w14:paraId="36A6E9C8" w14:textId="77777777" w:rsidR="00325ABA" w:rsidRPr="00325ABA" w:rsidRDefault="00325ABA" w:rsidP="00325ABA">
      <w:pPr>
        <w:ind w:firstLine="709"/>
      </w:pPr>
    </w:p>
    <w:p w14:paraId="3C635F38" w14:textId="77777777" w:rsidR="00325ABA" w:rsidRPr="00325ABA" w:rsidRDefault="00325ABA" w:rsidP="00325ABA">
      <w:pPr>
        <w:pStyle w:val="Text"/>
        <w:rPr>
          <w:b/>
        </w:rPr>
      </w:pPr>
      <w:r w:rsidRPr="00325ABA">
        <w:t xml:space="preserve">Na výdaje veřejných vysokých škol v oblasti programového financování je v roce 2019 ve státním rozpočtu vyčleněno </w:t>
      </w:r>
      <w:r w:rsidRPr="00325ABA">
        <w:rPr>
          <w:b/>
        </w:rPr>
        <w:t>2 245 994 748 Kč.</w:t>
      </w:r>
    </w:p>
    <w:p w14:paraId="4B48BEB6" w14:textId="77777777" w:rsidR="00325ABA" w:rsidRPr="00325ABA" w:rsidRDefault="00325ABA" w:rsidP="00325ABA">
      <w:pPr>
        <w:pStyle w:val="Text"/>
      </w:pPr>
      <w:r w:rsidRPr="00325ABA">
        <w:t xml:space="preserve">Pro porovnání, v roce 2011 činil upravený rozpočet všech programů VVŠ </w:t>
      </w:r>
      <w:r w:rsidRPr="00325ABA">
        <w:br/>
        <w:t>1 635 030 000 Kč a v roce 2012 celkem 2 073 030 000 Kč, z toho vázání 568 000 000 Kč</w:t>
      </w:r>
      <w:r w:rsidRPr="00325ABA">
        <w:br/>
      </w:r>
      <w:r w:rsidRPr="00325ABA">
        <w:lastRenderedPageBreak/>
        <w:t xml:space="preserve"> a v roce 2013 celkem 1 995 030 000 Kč, v roce 2014 činil upravený rozpočet celkem </w:t>
      </w:r>
      <w:r w:rsidRPr="00325ABA">
        <w:br/>
        <w:t xml:space="preserve">1 311 065 882 Kč, v roce 2015 činil upravený rozpočet 2 168 284 000 Kč, v roce 2016 činil upravený rozpočet 1 865 994 748 Kč, v roce 2017 činil upravený rozpočet 1 445 994 748 Kč </w:t>
      </w:r>
      <w:r w:rsidRPr="00325ABA">
        <w:br/>
        <w:t>a v roce 2018 činil upravený rozpočet 1 645 994 748 Kč.</w:t>
      </w:r>
    </w:p>
    <w:p w14:paraId="40C91E04" w14:textId="77777777" w:rsidR="00325ABA" w:rsidRPr="00B06216" w:rsidRDefault="00325ABA" w:rsidP="00325ABA">
      <w:pPr>
        <w:pStyle w:val="Text"/>
      </w:pPr>
      <w:r w:rsidRPr="00325ABA">
        <w:t>Do financování programů VVŠ budou v průběhu roku 2019 zapojeny i prostředky nároků z nespotřebovaných profilujících výdajů z předchozích let v celkové výši 2 065 530 093,89 Kč.</w:t>
      </w:r>
    </w:p>
    <w:p w14:paraId="7E914761" w14:textId="77777777" w:rsidR="00325ABA" w:rsidRPr="00B06216" w:rsidRDefault="00325ABA" w:rsidP="00325ABA">
      <w:pPr>
        <w:ind w:firstLine="708"/>
      </w:pPr>
    </w:p>
    <w:p w14:paraId="266C62D4" w14:textId="77777777" w:rsidR="00325ABA" w:rsidRPr="00325ABA" w:rsidRDefault="00325ABA" w:rsidP="00F94A17">
      <w:pPr>
        <w:pStyle w:val="Nadpis2"/>
      </w:pPr>
      <w:r w:rsidRPr="00325ABA">
        <w:t xml:space="preserve"> </w:t>
      </w:r>
      <w:bookmarkStart w:id="199" w:name="_Toc511202919"/>
      <w:bookmarkStart w:id="200" w:name="_Toc5968898"/>
      <w:r w:rsidRPr="00325ABA">
        <w:t>Reprodukce majetku v oblasti sportu</w:t>
      </w:r>
      <w:bookmarkEnd w:id="199"/>
      <w:bookmarkEnd w:id="200"/>
    </w:p>
    <w:p w14:paraId="27182BF8" w14:textId="77777777" w:rsidR="00325ABA" w:rsidRPr="00325ABA" w:rsidRDefault="00325ABA" w:rsidP="00325ABA"/>
    <w:p w14:paraId="655B9179" w14:textId="77777777" w:rsidR="00325ABA" w:rsidRPr="00325ABA" w:rsidRDefault="00325ABA" w:rsidP="00325ABA">
      <w:pPr>
        <w:pStyle w:val="Text"/>
      </w:pPr>
      <w:r w:rsidRPr="00325ABA">
        <w:t xml:space="preserve">Na výdaje programového financování v oblasti sportu jsou ve státním rozpočtu roku 2019 přiděleny prostředky ve výši </w:t>
      </w:r>
      <w:r w:rsidRPr="00325ABA">
        <w:rPr>
          <w:b/>
        </w:rPr>
        <w:t xml:space="preserve">2 000 000 000 Kč. </w:t>
      </w:r>
      <w:r w:rsidRPr="00325ABA">
        <w:t>Z toho 450 000 000 Kč do programu 133 520, 1 533 500 000 Kč do programu 133 530 a 16 500 000 Kč do programu 133 620.</w:t>
      </w:r>
    </w:p>
    <w:p w14:paraId="04E8BAA2" w14:textId="77777777" w:rsidR="00325ABA" w:rsidRPr="00325ABA" w:rsidRDefault="00325ABA" w:rsidP="00325ABA">
      <w:pPr>
        <w:pStyle w:val="Text"/>
      </w:pPr>
      <w:r w:rsidRPr="00325ABA">
        <w:t>Do financování programů v oblasti sportu budou v průběhu roku 2019 zapojeny i prostředky nároků z nespotřebovaných profilujících výdajů z předchozích let v celkové výši 403 399 291,48 Kč.</w:t>
      </w:r>
    </w:p>
    <w:p w14:paraId="6F4C8D00" w14:textId="77777777" w:rsidR="00325ABA" w:rsidRPr="00325ABA" w:rsidRDefault="00325ABA" w:rsidP="00325ABA"/>
    <w:p w14:paraId="66CA2306" w14:textId="77777777" w:rsidR="00325ABA" w:rsidRPr="00325ABA" w:rsidRDefault="00325ABA" w:rsidP="00F94A17">
      <w:pPr>
        <w:pStyle w:val="Nadpis2"/>
      </w:pPr>
      <w:bookmarkStart w:id="201" w:name="_Toc511202920"/>
      <w:r>
        <w:t xml:space="preserve"> </w:t>
      </w:r>
      <w:bookmarkStart w:id="202" w:name="_Toc5968899"/>
      <w:r w:rsidRPr="00325ABA">
        <w:t>Reprodukce majetku v oblasti mládeže</w:t>
      </w:r>
      <w:bookmarkEnd w:id="201"/>
      <w:bookmarkEnd w:id="202"/>
    </w:p>
    <w:p w14:paraId="73AE77EA" w14:textId="77777777" w:rsidR="00325ABA" w:rsidRPr="00325ABA" w:rsidRDefault="00325ABA" w:rsidP="00325ABA">
      <w:pPr>
        <w:rPr>
          <w:b/>
          <w:sz w:val="28"/>
          <w:lang w:eastAsia="en-US"/>
        </w:rPr>
      </w:pPr>
    </w:p>
    <w:p w14:paraId="073B4AF1" w14:textId="77777777" w:rsidR="00325ABA" w:rsidRPr="00325ABA" w:rsidRDefault="00325ABA" w:rsidP="00325ABA">
      <w:pPr>
        <w:pStyle w:val="Text"/>
      </w:pPr>
      <w:r w:rsidRPr="00325ABA">
        <w:t>Na výdaje programového financování v oblasti na podporu činnosti v oblasti mládeže je vyčleněno celkem</w:t>
      </w:r>
      <w:r w:rsidRPr="00325ABA">
        <w:rPr>
          <w:b/>
        </w:rPr>
        <w:t xml:space="preserve"> 25 194 100 Kč</w:t>
      </w:r>
      <w:r w:rsidRPr="00325ABA">
        <w:t xml:space="preserve"> kapitálových výdajů. </w:t>
      </w:r>
    </w:p>
    <w:p w14:paraId="08B6A7A4" w14:textId="77777777" w:rsidR="00325ABA" w:rsidRPr="00ED169B" w:rsidRDefault="00325ABA" w:rsidP="00325ABA">
      <w:pPr>
        <w:pStyle w:val="Text"/>
      </w:pPr>
      <w:r w:rsidRPr="00325ABA">
        <w:t>Do financování programů v oblasti mládeže budou v průběhu roku 2019 zapojeny i prostředky nároků z nespotřebovaných profilujících výdajů z předchozích let v celkové výši 3 368 827,39 Kč.</w:t>
      </w:r>
    </w:p>
    <w:p w14:paraId="6249F8DF" w14:textId="77777777" w:rsidR="00325ABA" w:rsidRDefault="00325ABA" w:rsidP="00325ABA">
      <w:pPr>
        <w:tabs>
          <w:tab w:val="left" w:pos="3722"/>
        </w:tabs>
      </w:pPr>
      <w:r w:rsidRPr="005B5A0D">
        <w:tab/>
      </w:r>
    </w:p>
    <w:p w14:paraId="4ADD68FD" w14:textId="77777777" w:rsidR="00FB6E18" w:rsidRPr="00853611" w:rsidRDefault="00FB6E18" w:rsidP="00325ABA">
      <w:pPr>
        <w:tabs>
          <w:tab w:val="left" w:pos="3722"/>
        </w:tabs>
        <w:rPr>
          <w:highlight w:val="yellow"/>
        </w:rPr>
      </w:pPr>
    </w:p>
    <w:p w14:paraId="2B1193EB" w14:textId="77777777" w:rsidR="00C069EF" w:rsidRPr="009F0FF5" w:rsidRDefault="00FB6E18" w:rsidP="00F94A17">
      <w:pPr>
        <w:pStyle w:val="Nadpis1"/>
      </w:pPr>
      <w:r w:rsidRPr="00853611">
        <w:rPr>
          <w:highlight w:val="yellow"/>
        </w:rPr>
        <w:br w:type="page"/>
      </w:r>
      <w:bookmarkStart w:id="203" w:name="_Toc5968900"/>
      <w:r w:rsidR="00C069EF" w:rsidRPr="009F0FF5">
        <w:lastRenderedPageBreak/>
        <w:t xml:space="preserve">Souhrnná rekapitulace výdajů na programy spolufinancované </w:t>
      </w:r>
      <w:r w:rsidR="001D3B1E" w:rsidRPr="009F0FF5">
        <w:t>z rozpočtu EU a související</w:t>
      </w:r>
      <w:r w:rsidR="0075695F" w:rsidRPr="009F0FF5">
        <w:t xml:space="preserve"> výdaj</w:t>
      </w:r>
      <w:r w:rsidR="001D3B1E" w:rsidRPr="009F0FF5">
        <w:t>e</w:t>
      </w:r>
      <w:r w:rsidR="00AF2DFB" w:rsidRPr="009F0FF5">
        <w:t xml:space="preserve"> včetně VVI</w:t>
      </w:r>
      <w:bookmarkEnd w:id="203"/>
    </w:p>
    <w:p w14:paraId="5C646853" w14:textId="77777777" w:rsidR="00C069EF" w:rsidRPr="009F0FF5" w:rsidRDefault="00C069EF" w:rsidP="00C069EF">
      <w:pPr>
        <w:ind w:left="1560" w:hanging="993"/>
        <w:rPr>
          <w:color w:val="548DD4"/>
        </w:rPr>
      </w:pPr>
    </w:p>
    <w:tbl>
      <w:tblPr>
        <w:tblW w:w="0" w:type="auto"/>
        <w:jc w:val="center"/>
        <w:tblLook w:val="04A0" w:firstRow="1" w:lastRow="0" w:firstColumn="1" w:lastColumn="0" w:noHBand="0" w:noVBand="1"/>
      </w:tblPr>
      <w:tblGrid>
        <w:gridCol w:w="1138"/>
        <w:gridCol w:w="1285"/>
        <w:gridCol w:w="2259"/>
        <w:gridCol w:w="3264"/>
      </w:tblGrid>
      <w:tr w:rsidR="009F0FF5" w:rsidRPr="009F0FF5" w14:paraId="2F45D28F" w14:textId="77777777" w:rsidTr="00F674CE">
        <w:trPr>
          <w:trHeight w:val="57"/>
          <w:jc w:val="center"/>
        </w:trPr>
        <w:tc>
          <w:tcPr>
            <w:tcW w:w="2423" w:type="dxa"/>
            <w:gridSpan w:val="2"/>
            <w:shd w:val="clear" w:color="auto" w:fill="auto"/>
          </w:tcPr>
          <w:p w14:paraId="13031CB6" w14:textId="77777777" w:rsidR="009F0FF5" w:rsidRPr="009F0FF5" w:rsidRDefault="009F0FF5" w:rsidP="009A3734">
            <w:pPr>
              <w:rPr>
                <w:b/>
              </w:rPr>
            </w:pPr>
            <w:r w:rsidRPr="009F0FF5">
              <w:rPr>
                <w:b/>
              </w:rPr>
              <w:t>Rozpočet celkem činí</w:t>
            </w:r>
          </w:p>
        </w:tc>
        <w:tc>
          <w:tcPr>
            <w:tcW w:w="2259" w:type="dxa"/>
            <w:shd w:val="clear" w:color="auto" w:fill="auto"/>
          </w:tcPr>
          <w:p w14:paraId="79711C73" w14:textId="77777777" w:rsidR="009F0FF5" w:rsidRPr="009F0FF5" w:rsidRDefault="009F0FF5" w:rsidP="009A3734"/>
        </w:tc>
        <w:tc>
          <w:tcPr>
            <w:tcW w:w="3264" w:type="dxa"/>
            <w:shd w:val="clear" w:color="auto" w:fill="auto"/>
          </w:tcPr>
          <w:p w14:paraId="035D59AC" w14:textId="77777777" w:rsidR="009F0FF5" w:rsidRPr="009F0FF5" w:rsidRDefault="009E1D22" w:rsidP="009E1D22">
            <w:pPr>
              <w:jc w:val="right"/>
              <w:rPr>
                <w:b/>
                <w:szCs w:val="24"/>
              </w:rPr>
            </w:pPr>
            <w:r>
              <w:rPr>
                <w:b/>
                <w:szCs w:val="24"/>
              </w:rPr>
              <w:t>12 669</w:t>
            </w:r>
            <w:r w:rsidR="009F0FF5" w:rsidRPr="009F0FF5">
              <w:rPr>
                <w:b/>
                <w:szCs w:val="24"/>
              </w:rPr>
              <w:t> </w:t>
            </w:r>
            <w:r>
              <w:rPr>
                <w:b/>
                <w:szCs w:val="24"/>
              </w:rPr>
              <w:t>544</w:t>
            </w:r>
            <w:r w:rsidR="009F0FF5" w:rsidRPr="009F0FF5">
              <w:rPr>
                <w:b/>
                <w:szCs w:val="24"/>
              </w:rPr>
              <w:t xml:space="preserve"> 914 Kč</w:t>
            </w:r>
          </w:p>
        </w:tc>
      </w:tr>
      <w:tr w:rsidR="009F0FF5" w:rsidRPr="009F0FF5" w14:paraId="767FA13E" w14:textId="77777777" w:rsidTr="00F674CE">
        <w:trPr>
          <w:trHeight w:val="103"/>
          <w:jc w:val="center"/>
        </w:trPr>
        <w:tc>
          <w:tcPr>
            <w:tcW w:w="1138" w:type="dxa"/>
            <w:shd w:val="clear" w:color="auto" w:fill="auto"/>
          </w:tcPr>
          <w:p w14:paraId="24AB7ED5" w14:textId="77777777" w:rsidR="009F0FF5" w:rsidRPr="009F0FF5" w:rsidRDefault="009F0FF5" w:rsidP="009A3734">
            <w:r w:rsidRPr="009F0FF5">
              <w:t xml:space="preserve">v tom: </w:t>
            </w:r>
          </w:p>
        </w:tc>
        <w:tc>
          <w:tcPr>
            <w:tcW w:w="3544" w:type="dxa"/>
            <w:gridSpan w:val="2"/>
            <w:shd w:val="clear" w:color="auto" w:fill="auto"/>
          </w:tcPr>
          <w:p w14:paraId="622D84C6" w14:textId="77777777" w:rsidR="009F0FF5" w:rsidRPr="009F0FF5" w:rsidRDefault="009F0FF5" w:rsidP="009A3734">
            <w:r w:rsidRPr="009F0FF5">
              <w:t>ze státního rozpočtu</w:t>
            </w:r>
          </w:p>
        </w:tc>
        <w:tc>
          <w:tcPr>
            <w:tcW w:w="3264" w:type="dxa"/>
            <w:shd w:val="clear" w:color="auto" w:fill="auto"/>
          </w:tcPr>
          <w:p w14:paraId="074B8024" w14:textId="77777777" w:rsidR="009F0FF5" w:rsidRPr="009F0FF5" w:rsidRDefault="009F0FF5" w:rsidP="009E1D22">
            <w:pPr>
              <w:jc w:val="right"/>
              <w:rPr>
                <w:szCs w:val="24"/>
              </w:rPr>
            </w:pPr>
            <w:r w:rsidRPr="009F0FF5">
              <w:rPr>
                <w:szCs w:val="24"/>
              </w:rPr>
              <w:t>2 6</w:t>
            </w:r>
            <w:r w:rsidR="009E1D22">
              <w:rPr>
                <w:szCs w:val="24"/>
              </w:rPr>
              <w:t>11</w:t>
            </w:r>
            <w:r w:rsidRPr="009F0FF5">
              <w:rPr>
                <w:szCs w:val="24"/>
              </w:rPr>
              <w:t> 058 170 Kč</w:t>
            </w:r>
          </w:p>
        </w:tc>
      </w:tr>
      <w:tr w:rsidR="009F0FF5" w:rsidRPr="009F0FF5" w14:paraId="3B0F6737" w14:textId="77777777" w:rsidTr="00F674CE">
        <w:trPr>
          <w:trHeight w:val="57"/>
          <w:jc w:val="center"/>
        </w:trPr>
        <w:tc>
          <w:tcPr>
            <w:tcW w:w="1138" w:type="dxa"/>
            <w:shd w:val="clear" w:color="auto" w:fill="auto"/>
          </w:tcPr>
          <w:p w14:paraId="1959C242" w14:textId="77777777" w:rsidR="009F0FF5" w:rsidRPr="009F0FF5" w:rsidRDefault="009F0FF5" w:rsidP="009A3734"/>
        </w:tc>
        <w:tc>
          <w:tcPr>
            <w:tcW w:w="3544" w:type="dxa"/>
            <w:gridSpan w:val="2"/>
            <w:shd w:val="clear" w:color="auto" w:fill="auto"/>
          </w:tcPr>
          <w:p w14:paraId="237E25D6" w14:textId="77777777" w:rsidR="009F0FF5" w:rsidRPr="009F0FF5" w:rsidRDefault="009F0FF5" w:rsidP="009A3734">
            <w:r w:rsidRPr="009F0FF5">
              <w:t>kryté příjmem z rozpočtu EU/FM</w:t>
            </w:r>
          </w:p>
        </w:tc>
        <w:tc>
          <w:tcPr>
            <w:tcW w:w="3264" w:type="dxa"/>
            <w:shd w:val="clear" w:color="auto" w:fill="auto"/>
          </w:tcPr>
          <w:p w14:paraId="397E3DA3" w14:textId="77777777" w:rsidR="009F0FF5" w:rsidRPr="009F0FF5" w:rsidRDefault="009E1D22" w:rsidP="00CB798D">
            <w:pPr>
              <w:jc w:val="right"/>
              <w:rPr>
                <w:szCs w:val="24"/>
              </w:rPr>
            </w:pPr>
            <w:r>
              <w:rPr>
                <w:szCs w:val="24"/>
              </w:rPr>
              <w:t>10 058 486 744</w:t>
            </w:r>
            <w:r w:rsidR="009F0FF5" w:rsidRPr="009F0FF5">
              <w:rPr>
                <w:szCs w:val="24"/>
              </w:rPr>
              <w:t xml:space="preserve"> Kč</w:t>
            </w:r>
          </w:p>
        </w:tc>
      </w:tr>
    </w:tbl>
    <w:p w14:paraId="58F76A04" w14:textId="77777777" w:rsidR="00C069EF" w:rsidRPr="009F0FF5" w:rsidRDefault="00C069EF" w:rsidP="00C069EF">
      <w:pPr>
        <w:ind w:left="1134"/>
      </w:pPr>
    </w:p>
    <w:p w14:paraId="26AB0EC5" w14:textId="77777777" w:rsidR="00C069EF" w:rsidRPr="009F0FF5" w:rsidRDefault="00C069EF" w:rsidP="00C069EF">
      <w:pPr>
        <w:ind w:left="1134"/>
      </w:pPr>
      <w:r w:rsidRPr="009F0FF5">
        <w:t>Výdaje se promítají do specifických ukazatelů:</w:t>
      </w:r>
    </w:p>
    <w:p w14:paraId="0B6263F3" w14:textId="77777777" w:rsidR="00C069EF" w:rsidRPr="009F0FF5" w:rsidRDefault="009C057F" w:rsidP="0070585C">
      <w:pPr>
        <w:pStyle w:val="Odstavecseseznamem"/>
        <w:numPr>
          <w:ilvl w:val="0"/>
          <w:numId w:val="11"/>
        </w:numPr>
      </w:pPr>
      <w:r w:rsidRPr="009F0FF5">
        <w:t>VVI</w:t>
      </w:r>
    </w:p>
    <w:p w14:paraId="58A12696" w14:textId="77777777" w:rsidR="00C069EF" w:rsidRPr="009F0FF5" w:rsidRDefault="00C069EF" w:rsidP="0070585C">
      <w:pPr>
        <w:pStyle w:val="Odstavecseseznamem"/>
        <w:numPr>
          <w:ilvl w:val="0"/>
          <w:numId w:val="11"/>
        </w:numPr>
      </w:pPr>
      <w:r w:rsidRPr="009F0FF5">
        <w:t xml:space="preserve">Výdaje na programy spolufinancované z rozpočtu EU celkem mimo </w:t>
      </w:r>
      <w:r w:rsidR="009C057F" w:rsidRPr="009F0FF5">
        <w:t>VVI</w:t>
      </w:r>
    </w:p>
    <w:p w14:paraId="39522302" w14:textId="77777777" w:rsidR="00C069EF" w:rsidRPr="009F0FF5" w:rsidRDefault="00C069EF" w:rsidP="00C069EF">
      <w:pPr>
        <w:ind w:left="1134"/>
      </w:pPr>
    </w:p>
    <w:p w14:paraId="1F15C764" w14:textId="77777777" w:rsidR="00C069EF" w:rsidRPr="009F0FF5" w:rsidRDefault="00C069EF" w:rsidP="00393521">
      <w:pPr>
        <w:ind w:firstLine="709"/>
      </w:pPr>
      <w:r w:rsidRPr="009F0FF5">
        <w:t>V rámci rozpočtu běžných a kapitálových výdajů jsou zabezpečeny tyto prostředky v členění podle závazných ukazatelů:</w:t>
      </w:r>
      <w:r w:rsidRPr="009F0FF5">
        <w:tab/>
      </w:r>
    </w:p>
    <w:p w14:paraId="218EFBA1" w14:textId="77777777" w:rsidR="00DF0E44" w:rsidRPr="009F0FF5" w:rsidRDefault="00DF0E44" w:rsidP="00393521">
      <w:pPr>
        <w:ind w:firstLine="709"/>
      </w:pPr>
    </w:p>
    <w:p w14:paraId="05582117" w14:textId="77777777" w:rsidR="00B51479" w:rsidRPr="009F0FF5" w:rsidRDefault="00B51479" w:rsidP="00B51479">
      <w:pPr>
        <w:pStyle w:val="Titulek"/>
        <w:keepNext/>
      </w:pPr>
      <w:bookmarkStart w:id="204" w:name="_Toc398898238"/>
      <w:bookmarkStart w:id="205" w:name="_Toc5965646"/>
      <w:r w:rsidRPr="009F0FF5">
        <w:t xml:space="preserve">Tabulka </w:t>
      </w:r>
      <w:r w:rsidR="005F53B0">
        <w:rPr>
          <w:noProof/>
        </w:rPr>
        <w:fldChar w:fldCharType="begin"/>
      </w:r>
      <w:r w:rsidR="005F53B0">
        <w:rPr>
          <w:noProof/>
        </w:rPr>
        <w:instrText xml:space="preserve"> STYLEREF 1 \s </w:instrText>
      </w:r>
      <w:r w:rsidR="005F53B0">
        <w:rPr>
          <w:noProof/>
        </w:rPr>
        <w:fldChar w:fldCharType="separate"/>
      </w:r>
      <w:r w:rsidR="00C04B69">
        <w:rPr>
          <w:noProof/>
        </w:rPr>
        <w:t>E</w:t>
      </w:r>
      <w:r w:rsidR="005F53B0">
        <w:rPr>
          <w:noProof/>
        </w:rPr>
        <w:fldChar w:fldCharType="end"/>
      </w:r>
      <w:r w:rsidR="00C308CA">
        <w:noBreakHyphen/>
      </w:r>
      <w:r w:rsidR="005F53B0">
        <w:rPr>
          <w:noProof/>
        </w:rPr>
        <w:fldChar w:fldCharType="begin"/>
      </w:r>
      <w:r w:rsidR="005F53B0">
        <w:rPr>
          <w:noProof/>
        </w:rPr>
        <w:instrText xml:space="preserve"> SEQ Tabulka \* ARABIC \s 1 </w:instrText>
      </w:r>
      <w:r w:rsidR="005F53B0">
        <w:rPr>
          <w:noProof/>
        </w:rPr>
        <w:fldChar w:fldCharType="separate"/>
      </w:r>
      <w:r w:rsidR="00C04B69">
        <w:rPr>
          <w:noProof/>
        </w:rPr>
        <w:t>1</w:t>
      </w:r>
      <w:r w:rsidR="005F53B0">
        <w:rPr>
          <w:noProof/>
        </w:rPr>
        <w:fldChar w:fldCharType="end"/>
      </w:r>
      <w:bookmarkEnd w:id="204"/>
      <w:r w:rsidR="00A20DF3" w:rsidRPr="009F0FF5">
        <w:t>:</w:t>
      </w:r>
      <w:r w:rsidR="0022534B" w:rsidRPr="009F0FF5">
        <w:t xml:space="preserve"> Souhrnná rekapitulace spolufinancovaných programů</w:t>
      </w:r>
      <w:r w:rsidR="00E95297" w:rsidRPr="009F0FF5">
        <w:t xml:space="preserve"> (v Kč)</w:t>
      </w:r>
      <w:bookmarkEnd w:id="205"/>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232"/>
      </w:tblGrid>
      <w:tr w:rsidR="009F0FF5" w:rsidRPr="00853611" w14:paraId="66A133EF" w14:textId="77777777" w:rsidTr="009406D5">
        <w:trPr>
          <w:trHeight w:val="565"/>
          <w:jc w:val="center"/>
        </w:trPr>
        <w:tc>
          <w:tcPr>
            <w:tcW w:w="7054" w:type="dxa"/>
            <w:vAlign w:val="center"/>
          </w:tcPr>
          <w:p w14:paraId="20FA1B6A" w14:textId="77777777" w:rsidR="009F0FF5" w:rsidRPr="009F0FF5" w:rsidRDefault="009F0FF5" w:rsidP="00CB798D">
            <w:pPr>
              <w:jc w:val="center"/>
              <w:rPr>
                <w:b/>
                <w:color w:val="548DD4"/>
                <w:szCs w:val="24"/>
              </w:rPr>
            </w:pPr>
            <w:r w:rsidRPr="009F0FF5">
              <w:rPr>
                <w:b/>
                <w:szCs w:val="24"/>
              </w:rPr>
              <w:t>Výdaje celkem (v Kč)</w:t>
            </w:r>
          </w:p>
        </w:tc>
        <w:tc>
          <w:tcPr>
            <w:tcW w:w="2232" w:type="dxa"/>
            <w:vAlign w:val="center"/>
          </w:tcPr>
          <w:p w14:paraId="35FA83DB" w14:textId="77777777" w:rsidR="009F0FF5" w:rsidRPr="00AE2595" w:rsidRDefault="009F0FF5" w:rsidP="00CB798D">
            <w:pPr>
              <w:jc w:val="right"/>
              <w:rPr>
                <w:b/>
                <w:szCs w:val="24"/>
              </w:rPr>
            </w:pPr>
            <w:r w:rsidRPr="009F0FF5">
              <w:rPr>
                <w:b/>
                <w:szCs w:val="24"/>
              </w:rPr>
              <w:t>12 </w:t>
            </w:r>
            <w:r w:rsidR="009D6346">
              <w:rPr>
                <w:b/>
                <w:szCs w:val="24"/>
              </w:rPr>
              <w:t>669</w:t>
            </w:r>
            <w:r w:rsidR="009D6346" w:rsidRPr="009F0FF5">
              <w:rPr>
                <w:b/>
                <w:szCs w:val="24"/>
              </w:rPr>
              <w:t> </w:t>
            </w:r>
            <w:r w:rsidR="009D6346">
              <w:rPr>
                <w:b/>
                <w:szCs w:val="24"/>
              </w:rPr>
              <w:t>544</w:t>
            </w:r>
            <w:r w:rsidR="009D6346" w:rsidRPr="009F0FF5">
              <w:rPr>
                <w:b/>
                <w:szCs w:val="24"/>
              </w:rPr>
              <w:t xml:space="preserve"> 914</w:t>
            </w:r>
          </w:p>
        </w:tc>
      </w:tr>
      <w:tr w:rsidR="009F0FF5" w:rsidRPr="00853611" w14:paraId="58BCC075" w14:textId="77777777" w:rsidTr="009A3734">
        <w:trPr>
          <w:trHeight w:val="461"/>
          <w:jc w:val="center"/>
        </w:trPr>
        <w:tc>
          <w:tcPr>
            <w:tcW w:w="7054" w:type="dxa"/>
            <w:vAlign w:val="center"/>
          </w:tcPr>
          <w:p w14:paraId="51524DB0" w14:textId="77777777" w:rsidR="009F0FF5" w:rsidRPr="00AE2595" w:rsidRDefault="009F0FF5" w:rsidP="00CB798D">
            <w:pPr>
              <w:rPr>
                <w:rFonts w:ascii="Arial" w:hAnsi="Arial" w:cs="Arial"/>
                <w:szCs w:val="24"/>
                <w:vertAlign w:val="superscript"/>
              </w:rPr>
            </w:pPr>
            <w:r w:rsidRPr="00AE2595">
              <w:rPr>
                <w:szCs w:val="24"/>
              </w:rPr>
              <w:t>Výdaje spolufinancované zcela nebo částečně z rozpočtu EU bez SZP celkem (bez komunitárních programů)</w:t>
            </w:r>
          </w:p>
        </w:tc>
        <w:tc>
          <w:tcPr>
            <w:tcW w:w="2232" w:type="dxa"/>
            <w:vAlign w:val="center"/>
          </w:tcPr>
          <w:p w14:paraId="5D7B280F" w14:textId="77777777" w:rsidR="009F0FF5" w:rsidRPr="00AE2595" w:rsidRDefault="009F0FF5" w:rsidP="00BC5B0F">
            <w:pPr>
              <w:jc w:val="right"/>
              <w:rPr>
                <w:b/>
                <w:szCs w:val="24"/>
              </w:rPr>
            </w:pPr>
            <w:r w:rsidRPr="00AE2595">
              <w:rPr>
                <w:b/>
                <w:szCs w:val="24"/>
              </w:rPr>
              <w:t>12 </w:t>
            </w:r>
            <w:r>
              <w:rPr>
                <w:b/>
                <w:szCs w:val="24"/>
              </w:rPr>
              <w:t>6</w:t>
            </w:r>
            <w:r w:rsidR="00BC5B0F">
              <w:rPr>
                <w:b/>
                <w:szCs w:val="24"/>
              </w:rPr>
              <w:t>12</w:t>
            </w:r>
            <w:r>
              <w:rPr>
                <w:b/>
                <w:szCs w:val="24"/>
              </w:rPr>
              <w:t> </w:t>
            </w:r>
            <w:r w:rsidR="00BC5B0F">
              <w:rPr>
                <w:b/>
                <w:szCs w:val="24"/>
              </w:rPr>
              <w:t>420</w:t>
            </w:r>
            <w:r>
              <w:rPr>
                <w:b/>
                <w:szCs w:val="24"/>
              </w:rPr>
              <w:t xml:space="preserve"> 406</w:t>
            </w:r>
            <w:r w:rsidRPr="00AE2595">
              <w:rPr>
                <w:b/>
                <w:szCs w:val="24"/>
              </w:rPr>
              <w:t xml:space="preserve"> </w:t>
            </w:r>
          </w:p>
        </w:tc>
      </w:tr>
      <w:tr w:rsidR="009F0FF5" w:rsidRPr="00853611" w14:paraId="33DE8666" w14:textId="77777777" w:rsidTr="00CB798D">
        <w:trPr>
          <w:trHeight w:val="223"/>
          <w:jc w:val="center"/>
        </w:trPr>
        <w:tc>
          <w:tcPr>
            <w:tcW w:w="7054" w:type="dxa"/>
          </w:tcPr>
          <w:p w14:paraId="5C302FC1" w14:textId="77777777" w:rsidR="009F0FF5" w:rsidRPr="00AE2595" w:rsidRDefault="009F0FF5" w:rsidP="00CB798D">
            <w:pPr>
              <w:ind w:left="726" w:hanging="709"/>
              <w:rPr>
                <w:rFonts w:ascii="Arial" w:hAnsi="Arial" w:cs="Arial"/>
                <w:szCs w:val="24"/>
                <w:vertAlign w:val="superscript"/>
              </w:rPr>
            </w:pPr>
            <w:r w:rsidRPr="00AE2595">
              <w:rPr>
                <w:szCs w:val="24"/>
              </w:rPr>
              <w:t>v tom: OP VVV ze státního rozpočtu</w:t>
            </w:r>
          </w:p>
        </w:tc>
        <w:tc>
          <w:tcPr>
            <w:tcW w:w="2232" w:type="dxa"/>
          </w:tcPr>
          <w:p w14:paraId="3FA4E47E" w14:textId="77777777" w:rsidR="009F0FF5" w:rsidRPr="00AE2595" w:rsidRDefault="009F0FF5" w:rsidP="00CB798D">
            <w:pPr>
              <w:jc w:val="right"/>
              <w:rPr>
                <w:szCs w:val="24"/>
              </w:rPr>
            </w:pPr>
            <w:r w:rsidRPr="00AE2595">
              <w:rPr>
                <w:szCs w:val="24"/>
              </w:rPr>
              <w:t xml:space="preserve">2 507 126 </w:t>
            </w:r>
            <w:r>
              <w:rPr>
                <w:szCs w:val="24"/>
              </w:rPr>
              <w:t>9</w:t>
            </w:r>
            <w:r w:rsidRPr="00AE2595">
              <w:rPr>
                <w:szCs w:val="24"/>
              </w:rPr>
              <w:t>01</w:t>
            </w:r>
          </w:p>
        </w:tc>
      </w:tr>
      <w:tr w:rsidR="009F0FF5" w:rsidRPr="00853611" w14:paraId="5E7528E0" w14:textId="77777777" w:rsidTr="00CB798D">
        <w:trPr>
          <w:trHeight w:val="239"/>
          <w:jc w:val="center"/>
        </w:trPr>
        <w:tc>
          <w:tcPr>
            <w:tcW w:w="7054" w:type="dxa"/>
          </w:tcPr>
          <w:p w14:paraId="7AD6BB9C" w14:textId="77777777" w:rsidR="009F0FF5" w:rsidRPr="00AE2595" w:rsidRDefault="009F0FF5" w:rsidP="00CB798D">
            <w:pPr>
              <w:ind w:left="726"/>
              <w:rPr>
                <w:rFonts w:ascii="Arial" w:hAnsi="Arial" w:cs="Arial"/>
                <w:szCs w:val="24"/>
                <w:vertAlign w:val="superscript"/>
              </w:rPr>
            </w:pPr>
            <w:r w:rsidRPr="00AE2595">
              <w:rPr>
                <w:szCs w:val="24"/>
              </w:rPr>
              <w:t>OP VVV podíl rozpočtu EU</w:t>
            </w:r>
          </w:p>
        </w:tc>
        <w:tc>
          <w:tcPr>
            <w:tcW w:w="2232" w:type="dxa"/>
          </w:tcPr>
          <w:p w14:paraId="1AE85798" w14:textId="77777777" w:rsidR="009F0FF5" w:rsidRPr="00AE2595" w:rsidRDefault="009F0FF5" w:rsidP="00CB798D">
            <w:pPr>
              <w:jc w:val="right"/>
              <w:rPr>
                <w:szCs w:val="24"/>
              </w:rPr>
            </w:pPr>
            <w:r w:rsidRPr="00AE2595">
              <w:rPr>
                <w:szCs w:val="24"/>
              </w:rPr>
              <w:t>9 800 000 000</w:t>
            </w:r>
          </w:p>
        </w:tc>
      </w:tr>
      <w:tr w:rsidR="009F0FF5" w:rsidRPr="00853611" w14:paraId="2D6FEBFD" w14:textId="77777777" w:rsidTr="00CB798D">
        <w:trPr>
          <w:trHeight w:val="239"/>
          <w:jc w:val="center"/>
        </w:trPr>
        <w:tc>
          <w:tcPr>
            <w:tcW w:w="7054" w:type="dxa"/>
          </w:tcPr>
          <w:p w14:paraId="4FADFE3A" w14:textId="77777777" w:rsidR="009F0FF5" w:rsidRPr="0091739E" w:rsidRDefault="009F0FF5" w:rsidP="00CB798D">
            <w:pPr>
              <w:ind w:left="726"/>
              <w:rPr>
                <w:rFonts w:ascii="Arial" w:hAnsi="Arial" w:cs="Arial"/>
                <w:szCs w:val="24"/>
                <w:vertAlign w:val="superscript"/>
              </w:rPr>
            </w:pPr>
            <w:r w:rsidRPr="0091739E">
              <w:rPr>
                <w:szCs w:val="24"/>
              </w:rPr>
              <w:t>OP Zaměstnanost ze státního rozpočtu</w:t>
            </w:r>
          </w:p>
        </w:tc>
        <w:tc>
          <w:tcPr>
            <w:tcW w:w="2232" w:type="dxa"/>
          </w:tcPr>
          <w:p w14:paraId="60FEE3A4" w14:textId="77777777" w:rsidR="009F0FF5" w:rsidRPr="00B87D45" w:rsidRDefault="009F0FF5" w:rsidP="00CB798D">
            <w:pPr>
              <w:jc w:val="right"/>
              <w:rPr>
                <w:szCs w:val="24"/>
              </w:rPr>
            </w:pPr>
            <w:r w:rsidRPr="00B87D45">
              <w:rPr>
                <w:szCs w:val="24"/>
              </w:rPr>
              <w:t>19 372 960</w:t>
            </w:r>
          </w:p>
        </w:tc>
      </w:tr>
      <w:tr w:rsidR="009F0FF5" w:rsidRPr="00853611" w14:paraId="391CEE2C" w14:textId="77777777" w:rsidTr="00CB798D">
        <w:trPr>
          <w:trHeight w:val="223"/>
          <w:jc w:val="center"/>
        </w:trPr>
        <w:tc>
          <w:tcPr>
            <w:tcW w:w="7054" w:type="dxa"/>
          </w:tcPr>
          <w:p w14:paraId="39BD017B" w14:textId="77777777" w:rsidR="009F0FF5" w:rsidRPr="0091739E" w:rsidRDefault="009F0FF5" w:rsidP="00CB798D">
            <w:pPr>
              <w:ind w:left="726"/>
              <w:rPr>
                <w:rFonts w:ascii="Arial" w:hAnsi="Arial" w:cs="Arial"/>
                <w:szCs w:val="24"/>
                <w:vertAlign w:val="superscript"/>
              </w:rPr>
            </w:pPr>
            <w:r w:rsidRPr="0091739E">
              <w:rPr>
                <w:szCs w:val="24"/>
              </w:rPr>
              <w:t>OP Zaměstnanost podíl rozpočtu EU</w:t>
            </w:r>
          </w:p>
        </w:tc>
        <w:tc>
          <w:tcPr>
            <w:tcW w:w="2232" w:type="dxa"/>
          </w:tcPr>
          <w:p w14:paraId="22EEAAD8" w14:textId="77777777" w:rsidR="009F0FF5" w:rsidRPr="00B87D45" w:rsidRDefault="009F0FF5" w:rsidP="00CB798D">
            <w:pPr>
              <w:jc w:val="right"/>
              <w:rPr>
                <w:szCs w:val="24"/>
              </w:rPr>
            </w:pPr>
            <w:r w:rsidRPr="00B87D45">
              <w:rPr>
                <w:szCs w:val="24"/>
              </w:rPr>
              <w:t>87 909 567</w:t>
            </w:r>
          </w:p>
        </w:tc>
      </w:tr>
      <w:tr w:rsidR="009F0FF5" w:rsidRPr="00853611" w14:paraId="041E164D" w14:textId="77777777" w:rsidTr="00CB798D">
        <w:trPr>
          <w:trHeight w:val="239"/>
          <w:jc w:val="center"/>
        </w:trPr>
        <w:tc>
          <w:tcPr>
            <w:tcW w:w="7054" w:type="dxa"/>
          </w:tcPr>
          <w:p w14:paraId="25E9CF53" w14:textId="77777777" w:rsidR="009F0FF5" w:rsidRPr="0091739E" w:rsidRDefault="009F0FF5" w:rsidP="00CB798D">
            <w:pPr>
              <w:ind w:left="726"/>
              <w:rPr>
                <w:szCs w:val="24"/>
              </w:rPr>
            </w:pPr>
            <w:r>
              <w:rPr>
                <w:szCs w:val="24"/>
              </w:rPr>
              <w:t>IROP ze SR</w:t>
            </w:r>
          </w:p>
        </w:tc>
        <w:tc>
          <w:tcPr>
            <w:tcW w:w="2232" w:type="dxa"/>
          </w:tcPr>
          <w:p w14:paraId="15C3659E" w14:textId="77777777" w:rsidR="009F0FF5" w:rsidRPr="00B87D45" w:rsidRDefault="009F0FF5" w:rsidP="00CB798D">
            <w:pPr>
              <w:jc w:val="right"/>
              <w:rPr>
                <w:szCs w:val="24"/>
              </w:rPr>
            </w:pPr>
            <w:r w:rsidRPr="00B87D45">
              <w:rPr>
                <w:szCs w:val="24"/>
              </w:rPr>
              <w:t>37 899 301</w:t>
            </w:r>
          </w:p>
        </w:tc>
      </w:tr>
      <w:tr w:rsidR="009F0FF5" w:rsidRPr="00853611" w14:paraId="66F110F0" w14:textId="77777777" w:rsidTr="00CB798D">
        <w:trPr>
          <w:trHeight w:val="223"/>
          <w:jc w:val="center"/>
        </w:trPr>
        <w:tc>
          <w:tcPr>
            <w:tcW w:w="7054" w:type="dxa"/>
          </w:tcPr>
          <w:p w14:paraId="114A286B" w14:textId="77777777" w:rsidR="009F0FF5" w:rsidRPr="0091739E" w:rsidRDefault="009F0FF5" w:rsidP="00CB798D">
            <w:pPr>
              <w:ind w:left="726"/>
              <w:rPr>
                <w:szCs w:val="24"/>
              </w:rPr>
            </w:pPr>
            <w:r>
              <w:rPr>
                <w:szCs w:val="24"/>
              </w:rPr>
              <w:t>IROP z EU</w:t>
            </w:r>
          </w:p>
        </w:tc>
        <w:tc>
          <w:tcPr>
            <w:tcW w:w="2232" w:type="dxa"/>
          </w:tcPr>
          <w:p w14:paraId="64FD5D4C" w14:textId="77777777" w:rsidR="009F0FF5" w:rsidRPr="00B87D45" w:rsidRDefault="009F0FF5" w:rsidP="00CB798D">
            <w:pPr>
              <w:jc w:val="right"/>
              <w:rPr>
                <w:szCs w:val="24"/>
              </w:rPr>
            </w:pPr>
            <w:r w:rsidRPr="00B87D45">
              <w:rPr>
                <w:szCs w:val="24"/>
              </w:rPr>
              <w:t>160 111 677</w:t>
            </w:r>
          </w:p>
        </w:tc>
      </w:tr>
      <w:tr w:rsidR="009F0FF5" w:rsidRPr="00853611" w14:paraId="2871103C" w14:textId="77777777" w:rsidTr="009A3734">
        <w:trPr>
          <w:trHeight w:val="261"/>
          <w:jc w:val="center"/>
        </w:trPr>
        <w:tc>
          <w:tcPr>
            <w:tcW w:w="7054" w:type="dxa"/>
          </w:tcPr>
          <w:p w14:paraId="4923A958" w14:textId="77777777" w:rsidR="009F0FF5" w:rsidRPr="00732175" w:rsidRDefault="009F0FF5" w:rsidP="00CB798D">
            <w:pPr>
              <w:rPr>
                <w:rFonts w:ascii="Arial" w:hAnsi="Arial" w:cs="Arial"/>
                <w:szCs w:val="24"/>
                <w:vertAlign w:val="superscript"/>
              </w:rPr>
            </w:pPr>
            <w:r w:rsidRPr="00732175">
              <w:rPr>
                <w:szCs w:val="24"/>
              </w:rPr>
              <w:t>Výdaje na spol. projekty, které jsou zcela nebo částečně financovány z prostředků FM celkem</w:t>
            </w:r>
          </w:p>
        </w:tc>
        <w:tc>
          <w:tcPr>
            <w:tcW w:w="2232" w:type="dxa"/>
            <w:vAlign w:val="center"/>
          </w:tcPr>
          <w:p w14:paraId="78246CDB" w14:textId="77777777" w:rsidR="009F0FF5" w:rsidRPr="00732175" w:rsidRDefault="009F0FF5" w:rsidP="00CB798D">
            <w:pPr>
              <w:jc w:val="right"/>
              <w:rPr>
                <w:b/>
                <w:szCs w:val="24"/>
              </w:rPr>
            </w:pPr>
            <w:r>
              <w:rPr>
                <w:b/>
                <w:szCs w:val="24"/>
              </w:rPr>
              <w:t>3 060 208</w:t>
            </w:r>
          </w:p>
        </w:tc>
      </w:tr>
      <w:tr w:rsidR="009F0FF5" w:rsidRPr="00853611" w14:paraId="5BB22F19" w14:textId="77777777" w:rsidTr="00CB798D">
        <w:trPr>
          <w:trHeight w:val="223"/>
          <w:jc w:val="center"/>
        </w:trPr>
        <w:tc>
          <w:tcPr>
            <w:tcW w:w="7054" w:type="dxa"/>
          </w:tcPr>
          <w:p w14:paraId="14889F3F" w14:textId="77777777" w:rsidR="009F0FF5" w:rsidRPr="00732175" w:rsidRDefault="009F0FF5" w:rsidP="00CB798D">
            <w:pPr>
              <w:rPr>
                <w:rFonts w:ascii="Arial" w:hAnsi="Arial" w:cs="Arial"/>
                <w:szCs w:val="24"/>
                <w:vertAlign w:val="superscript"/>
              </w:rPr>
            </w:pPr>
            <w:r w:rsidRPr="00732175">
              <w:rPr>
                <w:szCs w:val="24"/>
              </w:rPr>
              <w:t>v tom:  EHP/Norsko ze státního rozpočtu</w:t>
            </w:r>
          </w:p>
        </w:tc>
        <w:tc>
          <w:tcPr>
            <w:tcW w:w="2232" w:type="dxa"/>
            <w:vAlign w:val="center"/>
          </w:tcPr>
          <w:p w14:paraId="5851F85F" w14:textId="77777777" w:rsidR="009F0FF5" w:rsidRPr="00732175" w:rsidRDefault="009F0FF5" w:rsidP="00CB798D">
            <w:pPr>
              <w:jc w:val="right"/>
              <w:rPr>
                <w:szCs w:val="24"/>
              </w:rPr>
            </w:pPr>
            <w:r w:rsidRPr="00732175">
              <w:rPr>
                <w:szCs w:val="24"/>
              </w:rPr>
              <w:t xml:space="preserve">3 060 </w:t>
            </w:r>
            <w:r>
              <w:rPr>
                <w:szCs w:val="24"/>
              </w:rPr>
              <w:t>208</w:t>
            </w:r>
          </w:p>
        </w:tc>
      </w:tr>
      <w:tr w:rsidR="009F0FF5" w:rsidRPr="00853611" w14:paraId="62079562" w14:textId="77777777" w:rsidTr="00CB798D">
        <w:trPr>
          <w:trHeight w:val="223"/>
          <w:jc w:val="center"/>
        </w:trPr>
        <w:tc>
          <w:tcPr>
            <w:tcW w:w="7054" w:type="dxa"/>
          </w:tcPr>
          <w:p w14:paraId="5DC5C313" w14:textId="77777777" w:rsidR="009F0FF5" w:rsidRPr="00732175" w:rsidRDefault="009F0FF5" w:rsidP="00CB798D">
            <w:pPr>
              <w:ind w:left="726"/>
              <w:rPr>
                <w:rFonts w:ascii="Arial" w:hAnsi="Arial" w:cs="Arial"/>
                <w:szCs w:val="24"/>
                <w:vertAlign w:val="superscript"/>
              </w:rPr>
            </w:pPr>
            <w:r w:rsidRPr="00732175">
              <w:rPr>
                <w:szCs w:val="24"/>
              </w:rPr>
              <w:t xml:space="preserve"> EHP/Norsko podíl prostředků FM</w:t>
            </w:r>
          </w:p>
        </w:tc>
        <w:tc>
          <w:tcPr>
            <w:tcW w:w="2232" w:type="dxa"/>
            <w:vAlign w:val="center"/>
          </w:tcPr>
          <w:p w14:paraId="06D98673" w14:textId="77777777" w:rsidR="009F0FF5" w:rsidRPr="00732175" w:rsidRDefault="009F0FF5" w:rsidP="00CB798D">
            <w:pPr>
              <w:jc w:val="right"/>
              <w:rPr>
                <w:szCs w:val="24"/>
              </w:rPr>
            </w:pPr>
            <w:r w:rsidRPr="00732175">
              <w:rPr>
                <w:szCs w:val="24"/>
              </w:rPr>
              <w:t>0</w:t>
            </w:r>
          </w:p>
        </w:tc>
      </w:tr>
      <w:tr w:rsidR="009F0FF5" w:rsidRPr="00B70F0B" w14:paraId="01743095" w14:textId="77777777" w:rsidTr="009406D5">
        <w:trPr>
          <w:trHeight w:val="223"/>
          <w:jc w:val="center"/>
        </w:trPr>
        <w:tc>
          <w:tcPr>
            <w:tcW w:w="7054" w:type="dxa"/>
          </w:tcPr>
          <w:p w14:paraId="57FAC5DD" w14:textId="1539FB58" w:rsidR="009F0FF5" w:rsidRPr="00AE2595" w:rsidRDefault="009F0FF5" w:rsidP="00CB798D">
            <w:pPr>
              <w:ind w:left="34"/>
              <w:rPr>
                <w:szCs w:val="24"/>
              </w:rPr>
            </w:pPr>
            <w:r w:rsidRPr="00AE2595">
              <w:rPr>
                <w:szCs w:val="24"/>
              </w:rPr>
              <w:t>Výdaje na komunitární programy (Erasmus+, Eurostars</w:t>
            </w:r>
            <w:r w:rsidR="00D12DFF">
              <w:rPr>
                <w:szCs w:val="24"/>
              </w:rPr>
              <w:t>-</w:t>
            </w:r>
            <w:r w:rsidRPr="00AE2595">
              <w:rPr>
                <w:szCs w:val="24"/>
              </w:rPr>
              <w:t>2)</w:t>
            </w:r>
          </w:p>
        </w:tc>
        <w:tc>
          <w:tcPr>
            <w:tcW w:w="2232" w:type="dxa"/>
          </w:tcPr>
          <w:p w14:paraId="4A859364" w14:textId="77777777" w:rsidR="009F0FF5" w:rsidRPr="00AE2595" w:rsidRDefault="009F0FF5" w:rsidP="00CB798D">
            <w:pPr>
              <w:jc w:val="right"/>
              <w:rPr>
                <w:b/>
                <w:szCs w:val="24"/>
              </w:rPr>
            </w:pPr>
            <w:r w:rsidRPr="00AE2595">
              <w:rPr>
                <w:b/>
                <w:szCs w:val="24"/>
              </w:rPr>
              <w:t>54 064 300</w:t>
            </w:r>
          </w:p>
        </w:tc>
      </w:tr>
      <w:tr w:rsidR="009D6346" w:rsidRPr="00B70F0B" w14:paraId="71986ED6" w14:textId="77777777" w:rsidTr="009406D5">
        <w:trPr>
          <w:trHeight w:val="223"/>
          <w:jc w:val="center"/>
        </w:trPr>
        <w:tc>
          <w:tcPr>
            <w:tcW w:w="7054" w:type="dxa"/>
          </w:tcPr>
          <w:p w14:paraId="61788205" w14:textId="77777777" w:rsidR="009D6346" w:rsidRPr="00AE2595" w:rsidRDefault="009D6346" w:rsidP="00B13D6A">
            <w:pPr>
              <w:ind w:left="868" w:hanging="851"/>
              <w:rPr>
                <w:szCs w:val="24"/>
              </w:rPr>
            </w:pPr>
            <w:r w:rsidRPr="00AE2595">
              <w:rPr>
                <w:szCs w:val="24"/>
              </w:rPr>
              <w:t xml:space="preserve"> v tom: ze státního rozpočtu</w:t>
            </w:r>
          </w:p>
        </w:tc>
        <w:tc>
          <w:tcPr>
            <w:tcW w:w="2232" w:type="dxa"/>
          </w:tcPr>
          <w:p w14:paraId="6720D501" w14:textId="77777777" w:rsidR="009D6346" w:rsidRPr="00AE2595" w:rsidRDefault="009D6346" w:rsidP="00B13D6A">
            <w:pPr>
              <w:jc w:val="right"/>
              <w:rPr>
                <w:szCs w:val="24"/>
              </w:rPr>
            </w:pPr>
            <w:r w:rsidRPr="00AE2595">
              <w:rPr>
                <w:szCs w:val="24"/>
              </w:rPr>
              <w:t>43 598 800</w:t>
            </w:r>
          </w:p>
        </w:tc>
      </w:tr>
      <w:tr w:rsidR="009D6346" w:rsidRPr="00B70F0B" w14:paraId="0034C699" w14:textId="77777777" w:rsidTr="009406D5">
        <w:trPr>
          <w:trHeight w:val="223"/>
          <w:jc w:val="center"/>
        </w:trPr>
        <w:tc>
          <w:tcPr>
            <w:tcW w:w="7054" w:type="dxa"/>
          </w:tcPr>
          <w:p w14:paraId="7FE10206" w14:textId="77777777" w:rsidR="009D6346" w:rsidRPr="00AE2595" w:rsidRDefault="009D6346" w:rsidP="00B13D6A">
            <w:pPr>
              <w:ind w:left="868" w:hanging="851"/>
              <w:rPr>
                <w:szCs w:val="24"/>
              </w:rPr>
            </w:pPr>
            <w:r w:rsidRPr="00AE2595">
              <w:rPr>
                <w:rFonts w:ascii="Arial" w:hAnsi="Arial" w:cs="Arial"/>
                <w:szCs w:val="24"/>
                <w:vertAlign w:val="superscript"/>
              </w:rPr>
              <w:t xml:space="preserve">               </w:t>
            </w:r>
            <w:r w:rsidRPr="00AE2595">
              <w:rPr>
                <w:szCs w:val="24"/>
              </w:rPr>
              <w:t>podíl rozpočtu EU</w:t>
            </w:r>
          </w:p>
        </w:tc>
        <w:tc>
          <w:tcPr>
            <w:tcW w:w="2232" w:type="dxa"/>
          </w:tcPr>
          <w:p w14:paraId="76178ACD" w14:textId="77777777" w:rsidR="009D6346" w:rsidRPr="00BD680B" w:rsidRDefault="009D6346" w:rsidP="00B13D6A">
            <w:pPr>
              <w:jc w:val="right"/>
              <w:rPr>
                <w:szCs w:val="24"/>
                <w:highlight w:val="yellow"/>
              </w:rPr>
            </w:pPr>
            <w:r w:rsidRPr="00AE2595">
              <w:rPr>
                <w:szCs w:val="24"/>
              </w:rPr>
              <w:t>10 465 500</w:t>
            </w:r>
          </w:p>
        </w:tc>
      </w:tr>
    </w:tbl>
    <w:p w14:paraId="03B39342" w14:textId="77777777" w:rsidR="00C069EF" w:rsidRPr="009C057F" w:rsidRDefault="00C069EF" w:rsidP="00C069EF">
      <w:pPr>
        <w:ind w:left="567" w:firstLine="567"/>
        <w:rPr>
          <w:i/>
          <w:color w:val="548DD4"/>
        </w:rPr>
      </w:pPr>
      <w:r w:rsidRPr="009C057F">
        <w:rPr>
          <w:color w:val="548DD4"/>
        </w:rPr>
        <w:tab/>
      </w:r>
      <w:r w:rsidRPr="009C057F">
        <w:rPr>
          <w:color w:val="548DD4"/>
        </w:rPr>
        <w:tab/>
      </w:r>
      <w:r w:rsidRPr="009C057F">
        <w:rPr>
          <w:color w:val="548DD4"/>
        </w:rPr>
        <w:tab/>
      </w:r>
      <w:r w:rsidRPr="009C057F">
        <w:rPr>
          <w:color w:val="548DD4"/>
        </w:rPr>
        <w:tab/>
        <w:t xml:space="preserve">                  </w:t>
      </w:r>
    </w:p>
    <w:p w14:paraId="1B24FCE2" w14:textId="77777777" w:rsidR="00AA7B1A" w:rsidRDefault="00AA7B1A" w:rsidP="00DA5A48">
      <w:pPr>
        <w:pStyle w:val="Text"/>
      </w:pPr>
      <w:bookmarkStart w:id="206" w:name="_Toc210102515"/>
    </w:p>
    <w:bookmarkEnd w:id="187"/>
    <w:bookmarkEnd w:id="206"/>
    <w:p w14:paraId="75062AE6" w14:textId="77777777" w:rsidR="00AA7B1A" w:rsidRDefault="00AA7B1A" w:rsidP="00DA5A48">
      <w:pPr>
        <w:pStyle w:val="Text"/>
      </w:pPr>
    </w:p>
    <w:sectPr w:rsidR="00AA7B1A" w:rsidSect="003B4B8F">
      <w:footerReference w:type="default" r:id="rId16"/>
      <w:pgSz w:w="11906" w:h="16838"/>
      <w:pgMar w:top="1418" w:right="1418" w:bottom="1418" w:left="1418" w:header="709" w:footer="709" w:gutter="0"/>
      <w:pgNumType w:start="1"/>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DB3031" w15:done="0"/>
  <w15:commentEx w15:paraId="7476FAE5" w15:done="0"/>
  <w15:commentEx w15:paraId="5E7C11AF" w15:done="0"/>
  <w15:commentEx w15:paraId="082A20BD" w15:done="0"/>
  <w15:commentEx w15:paraId="275B8AD6" w15:done="0"/>
  <w15:commentEx w15:paraId="09C71EF5" w15:done="0"/>
  <w15:commentEx w15:paraId="2D36367A" w15:done="0"/>
  <w15:commentEx w15:paraId="14336260" w15:done="0"/>
  <w15:commentEx w15:paraId="638639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10408" w14:textId="77777777" w:rsidR="003D012B" w:rsidRDefault="003D012B">
      <w:r>
        <w:separator/>
      </w:r>
    </w:p>
  </w:endnote>
  <w:endnote w:type="continuationSeparator" w:id="0">
    <w:p w14:paraId="708C6308" w14:textId="77777777" w:rsidR="003D012B" w:rsidRDefault="003D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85858" w14:textId="77777777" w:rsidR="003D012B" w:rsidRDefault="003D012B">
    <w:pPr>
      <w:pStyle w:val="Zpat"/>
      <w:jc w:val="center"/>
    </w:pPr>
  </w:p>
  <w:p w14:paraId="5531EFAD" w14:textId="77777777" w:rsidR="003D012B" w:rsidRDefault="003D012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EB1DC" w14:textId="77777777" w:rsidR="003D012B" w:rsidRDefault="003D012B">
    <w:pPr>
      <w:pStyle w:val="Zpat"/>
      <w:jc w:val="center"/>
    </w:pPr>
    <w:r>
      <w:fldChar w:fldCharType="begin"/>
    </w:r>
    <w:r>
      <w:instrText>PAGE   \* MERGEFORMAT</w:instrText>
    </w:r>
    <w:r>
      <w:fldChar w:fldCharType="separate"/>
    </w:r>
    <w:r w:rsidR="00C04B69">
      <w:rPr>
        <w:noProof/>
      </w:rPr>
      <w:t>109</w:t>
    </w:r>
    <w:r>
      <w:fldChar w:fldCharType="end"/>
    </w:r>
  </w:p>
  <w:p w14:paraId="250A2BA7" w14:textId="77777777" w:rsidR="003D012B" w:rsidRDefault="003D01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4E690" w14:textId="77777777" w:rsidR="003D012B" w:rsidRDefault="003D012B">
      <w:r>
        <w:separator/>
      </w:r>
    </w:p>
  </w:footnote>
  <w:footnote w:type="continuationSeparator" w:id="0">
    <w:p w14:paraId="3476094C" w14:textId="77777777" w:rsidR="003D012B" w:rsidRDefault="003D012B">
      <w:r>
        <w:continuationSeparator/>
      </w:r>
    </w:p>
  </w:footnote>
  <w:footnote w:id="1">
    <w:p w14:paraId="2D671049" w14:textId="222D58F6" w:rsidR="003D012B" w:rsidRDefault="003D012B" w:rsidP="00853611">
      <w:pPr>
        <w:pStyle w:val="Textpoznpodarou"/>
      </w:pPr>
      <w:r>
        <w:rPr>
          <w:rStyle w:val="Znakapoznpodarou"/>
        </w:rPr>
        <w:footnoteRef/>
      </w:r>
      <w:r>
        <w:t xml:space="preserve"> Výše prostředků je uvedena včetně prostředků určených na ostatní osobní náklady (dále jen „OON“).</w:t>
      </w:r>
    </w:p>
  </w:footnote>
  <w:footnote w:id="2">
    <w:p w14:paraId="65E8945D" w14:textId="77777777" w:rsidR="003D012B" w:rsidRDefault="003D012B" w:rsidP="00853611">
      <w:pPr>
        <w:pStyle w:val="Textpoznpodarou"/>
      </w:pPr>
      <w:r>
        <w:rPr>
          <w:rStyle w:val="Znakapoznpodarou"/>
        </w:rPr>
        <w:footnoteRef/>
      </w:r>
      <w:r>
        <w:t xml:space="preserve"> Včetně prostředků na OON.</w:t>
      </w:r>
    </w:p>
  </w:footnote>
  <w:footnote w:id="3">
    <w:p w14:paraId="205DDFE9" w14:textId="63C8C023" w:rsidR="003D012B" w:rsidRDefault="003D012B">
      <w:pPr>
        <w:pStyle w:val="Textpoznpodarou"/>
      </w:pPr>
      <w:r>
        <w:rPr>
          <w:rStyle w:val="Znakapoznpodarou"/>
        </w:rPr>
        <w:footnoteRef/>
      </w:r>
      <w:r>
        <w:t xml:space="preserve"> Makroekonomická predikce České republiky, Ministerstvo financí, leden 2019</w:t>
      </w:r>
    </w:p>
  </w:footnote>
  <w:footnote w:id="4">
    <w:p w14:paraId="26909771" w14:textId="77777777" w:rsidR="003D012B" w:rsidRPr="00D00C7D" w:rsidRDefault="003D012B" w:rsidP="00853611">
      <w:pPr>
        <w:rPr>
          <w:iCs/>
          <w:sz w:val="18"/>
          <w:szCs w:val="18"/>
        </w:rPr>
      </w:pPr>
      <w:r w:rsidRPr="00D00C7D">
        <w:rPr>
          <w:rStyle w:val="Znakapoznpodarou"/>
          <w:sz w:val="18"/>
          <w:szCs w:val="18"/>
        </w:rPr>
        <w:footnoteRef/>
      </w:r>
      <w:r w:rsidRPr="00D00C7D">
        <w:rPr>
          <w:iCs/>
          <w:sz w:val="18"/>
          <w:szCs w:val="18"/>
        </w:rPr>
        <w:t>„Poslanecká sněmovna podporuje: navyšování výdajů kapitoly Ministerstva školství, mládeže a tělovýchovy tak, aby činily nejpozději v roce 2025 alespoň 5 % HDP. Navyšování kapitoly využívat prioritně pro předvídatelné a transparentní financování regionálního školství a také veřejných vysokých škol. Reformu financování regionálního školství s cílem zajistit stabilitu vzdělávací soustavy.“</w:t>
      </w:r>
    </w:p>
    <w:p w14:paraId="140E93DC" w14:textId="77777777" w:rsidR="003D012B" w:rsidRPr="004923B7" w:rsidRDefault="003D012B" w:rsidP="00853611">
      <w:pPr>
        <w:pStyle w:val="Textpoznpodarou"/>
      </w:pPr>
    </w:p>
  </w:footnote>
  <w:footnote w:id="5">
    <w:p w14:paraId="0E4B0F2E" w14:textId="77777777" w:rsidR="003D012B" w:rsidRDefault="003D012B" w:rsidP="00853611">
      <w:pPr>
        <w:pStyle w:val="Textpoznpodarou"/>
      </w:pPr>
      <w:r>
        <w:rPr>
          <w:rStyle w:val="Znakapoznpodarou"/>
        </w:rPr>
        <w:footnoteRef/>
      </w:r>
      <w:r>
        <w:t xml:space="preserve"> Evidenční dotační systém/Správa majetku ve vlastnictví státu – programové financování</w:t>
      </w:r>
    </w:p>
  </w:footnote>
  <w:footnote w:id="6">
    <w:p w14:paraId="70920A49" w14:textId="77777777" w:rsidR="003D012B" w:rsidRDefault="003D012B" w:rsidP="00526028">
      <w:pPr>
        <w:pStyle w:val="Textpoznpodarou"/>
      </w:pPr>
      <w:r>
        <w:rPr>
          <w:rStyle w:val="Znakapoznpodarou"/>
        </w:rPr>
        <w:footnoteRef/>
      </w:r>
      <w:r>
        <w:t xml:space="preserve"> </w:t>
      </w:r>
      <w:r w:rsidRPr="00021975">
        <w:t xml:space="preserve">V souladu s usnesením vlády č. </w:t>
      </w:r>
      <w:r>
        <w:t xml:space="preserve">588 </w:t>
      </w:r>
      <w:r w:rsidRPr="008D7EC1">
        <w:t xml:space="preserve">ze dne </w:t>
      </w:r>
      <w:r>
        <w:t>19</w:t>
      </w:r>
      <w:r w:rsidRPr="008D7EC1">
        <w:t>. září 201</w:t>
      </w:r>
      <w:r>
        <w:t>8</w:t>
      </w:r>
      <w:r w:rsidRPr="00C019D8">
        <w:t xml:space="preserve"> </w:t>
      </w:r>
      <w:r w:rsidRPr="00021975">
        <w:t xml:space="preserve">se nestanoví limity regulace zaměstnanosti ani jejich změny, a to v souvislosti s financováním prioritní osy 3 Rovný přístup ke kvalitnímu předškolnímu, primárnímu a sekundárnímu vzdělávání OP VVV včetně části ze státního rozpočtu </w:t>
      </w:r>
      <w:r>
        <w:t>ČR</w:t>
      </w:r>
      <w:r w:rsidRPr="00021975">
        <w:t>, pr</w:t>
      </w:r>
      <w:r>
        <w:t>o čerpání mzdových prostředků a </w:t>
      </w:r>
      <w:r w:rsidRPr="00021975">
        <w:t>počtu zaměstnanců PO RgŠ ÚSC.</w:t>
      </w:r>
    </w:p>
  </w:footnote>
  <w:footnote w:id="7">
    <w:p w14:paraId="2DA183AA" w14:textId="77777777" w:rsidR="003D012B" w:rsidRDefault="003D012B" w:rsidP="00053D22">
      <w:pPr>
        <w:pStyle w:val="PoznmkapodarouCharChar"/>
      </w:pPr>
      <w:r>
        <w:rPr>
          <w:rStyle w:val="Znakapoznpodarou"/>
        </w:rPr>
        <w:footnoteRef/>
      </w:r>
      <w:r>
        <w:rPr>
          <w:lang w:val="cs-CZ"/>
        </w:rPr>
        <w:t xml:space="preserve"> </w:t>
      </w:r>
      <w:r>
        <w:t xml:space="preserve">Strategický záměr </w:t>
      </w:r>
      <w:r w:rsidRPr="002E13E3">
        <w:t>vzdělávací a tvůrčí činnosti pro oblast vysokých škol zpracovaný MŠMT a každoroční plán realizace strategického záměru</w:t>
      </w:r>
    </w:p>
  </w:footnote>
  <w:footnote w:id="8">
    <w:p w14:paraId="2844CF06" w14:textId="77777777" w:rsidR="003D012B" w:rsidRPr="00022376" w:rsidRDefault="003D012B" w:rsidP="00053D22">
      <w:pPr>
        <w:pStyle w:val="PoznmkapodarouCharChar"/>
        <w:rPr>
          <w:lang w:val="cs-CZ"/>
        </w:rPr>
      </w:pPr>
      <w:r>
        <w:rPr>
          <w:rStyle w:val="Znakapoznpodarou"/>
        </w:rPr>
        <w:footnoteRef/>
      </w:r>
      <w:r>
        <w:rPr>
          <w:lang w:val="cs-CZ"/>
        </w:rPr>
        <w:t xml:space="preserve"> </w:t>
      </w:r>
      <w:r w:rsidRPr="00055D28">
        <w:t>Pravidla pro poskytování dotací soukromým</w:t>
      </w:r>
      <w:r>
        <w:t xml:space="preserve"> </w:t>
      </w:r>
      <w:r w:rsidRPr="00055D28">
        <w:t>vysokým školám Ministerstvem školství, mládeže a</w:t>
      </w:r>
      <w:r>
        <w:t> </w:t>
      </w:r>
      <w:r w:rsidRPr="00055D28">
        <w:t>tělovýchovy</w:t>
      </w:r>
      <w:r>
        <w:rPr>
          <w:lang w:val="cs-CZ"/>
        </w:rPr>
        <w:t xml:space="preserve"> na stipendia</w:t>
      </w:r>
      <w:r w:rsidRPr="00055D28">
        <w:t xml:space="preserve"> </w:t>
      </w:r>
      <w:r w:rsidRPr="003F0A28">
        <w:t>(č. j. 2 435/2011-33</w:t>
      </w:r>
      <w:r w:rsidRPr="004932E6">
        <w:t xml:space="preserve">); </w:t>
      </w:r>
      <w:hyperlink r:id="rId1" w:history="1">
        <w:r w:rsidRPr="0043303A">
          <w:rPr>
            <w:rStyle w:val="Hypertextovodkaz"/>
          </w:rPr>
          <w:t>http://www.msmt.cz/vzdelavani/vysoke-skolstvi/pravidla-pro-poskytovani-prispevku-a-dotaci-na-rok-2012</w:t>
        </w:r>
      </w:hyperlink>
      <w:r>
        <w:rPr>
          <w:lang w:val="cs-CZ"/>
        </w:rPr>
        <w:t>, platná ke dni zpracování tohoto materiálu, by měla být v 02/2019 nahrazena pravidly novelizovanými.</w:t>
      </w:r>
      <w:r w:rsidRPr="003432F6">
        <w:rPr>
          <w:lang w:val="cs-CZ"/>
        </w:rPr>
        <w:t xml:space="preserve"> </w:t>
      </w:r>
    </w:p>
  </w:footnote>
  <w:footnote w:id="9">
    <w:p w14:paraId="1665EA0E" w14:textId="7FDDEF57" w:rsidR="003D012B" w:rsidRDefault="003D012B">
      <w:pPr>
        <w:pStyle w:val="Textpoznpodarou"/>
      </w:pPr>
      <w:r>
        <w:rPr>
          <w:rStyle w:val="Znakapoznpodarou"/>
        </w:rPr>
        <w:footnoteRef/>
      </w:r>
      <w:r>
        <w:t xml:space="preserve"> Makroekonomická predikce České republiky, Ministerstvo financí, leden 2019</w:t>
      </w:r>
    </w:p>
  </w:footnote>
  <w:footnote w:id="10">
    <w:p w14:paraId="72C6F0D8" w14:textId="77777777" w:rsidR="003D012B" w:rsidRDefault="003D012B" w:rsidP="00053D22">
      <w:pPr>
        <w:pStyle w:val="PoznmkapodarouCharChar"/>
      </w:pPr>
      <w:r>
        <w:rPr>
          <w:rStyle w:val="Znakapoznpodarou"/>
        </w:rPr>
        <w:footnoteRef/>
      </w:r>
      <w:r>
        <w:t xml:space="preserve"> Článek 2 bod 83 nařízení Komise (EU) č. 651/2014 </w:t>
      </w:r>
    </w:p>
  </w:footnote>
  <w:footnote w:id="11">
    <w:p w14:paraId="55127C3D" w14:textId="77777777" w:rsidR="003D012B" w:rsidRDefault="003D012B" w:rsidP="00053D22">
      <w:pPr>
        <w:pStyle w:val="PoznmkapodarouCharChar"/>
      </w:pPr>
      <w:r>
        <w:rPr>
          <w:rStyle w:val="Znakapoznpodarou"/>
        </w:rPr>
        <w:footnoteRef/>
      </w:r>
      <w:r>
        <w:rPr>
          <w:vertAlign w:val="superscript"/>
        </w:rPr>
        <w:t xml:space="preserve"> </w:t>
      </w:r>
      <w:r>
        <w:t>Program na podporu realizace projektů, které uspěly v prestižní mezinárodní soutěži Evropské výzkumné  rady, avšak nebyla na ně poskytnuta podpora EK z důvodu nedostatku prostředků</w:t>
      </w:r>
    </w:p>
  </w:footnote>
  <w:footnote w:id="12">
    <w:p w14:paraId="41350E0C" w14:textId="77777777" w:rsidR="003D012B" w:rsidRDefault="003D012B" w:rsidP="00053D22">
      <w:pPr>
        <w:pStyle w:val="PoznmkapodarouCharChar"/>
      </w:pPr>
      <w:r>
        <w:rPr>
          <w:rStyle w:val="Znakapoznpodarou"/>
        </w:rPr>
        <w:footnoteRef/>
      </w:r>
      <w:r>
        <w:t xml:space="preserve"> Program na podporu udržitelnosti center VVI vybudovaných za podpory z evropských strukturálních fondů</w:t>
      </w:r>
    </w:p>
  </w:footnote>
  <w:footnote w:id="13">
    <w:p w14:paraId="2B68ACB1" w14:textId="77777777" w:rsidR="003D012B" w:rsidRDefault="003D012B" w:rsidP="00053D22">
      <w:pPr>
        <w:pStyle w:val="PoznmkapodarouCharChar"/>
      </w:pPr>
      <w:r>
        <w:rPr>
          <w:rStyle w:val="Znakapoznpodarou"/>
        </w:rPr>
        <w:footnoteRef/>
      </w:r>
      <w:r>
        <w:t xml:space="preserve"> Program na podporu udržitelnosti velkých center VVI vybudovaných za podpory z evropských strukturálních fondů</w:t>
      </w:r>
    </w:p>
  </w:footnote>
  <w:footnote w:id="14">
    <w:p w14:paraId="69B5BCF8" w14:textId="77777777" w:rsidR="003D012B" w:rsidRDefault="003D012B" w:rsidP="00053D22">
      <w:pPr>
        <w:pStyle w:val="PoznmkapodarouCharChar"/>
      </w:pPr>
      <w:r>
        <w:rPr>
          <w:rStyle w:val="Znakapoznpodarou"/>
        </w:rPr>
        <w:footnoteRef/>
      </w:r>
      <w:r>
        <w:rPr>
          <w:vertAlign w:val="superscript"/>
        </w:rPr>
        <w:t xml:space="preserve"> </w:t>
      </w:r>
      <w:r>
        <w:t xml:space="preserve">Program na podporu </w:t>
      </w:r>
      <w:r>
        <w:rPr>
          <w:lang w:val="cs-CZ"/>
        </w:rPr>
        <w:t xml:space="preserve">mezinárodní </w:t>
      </w:r>
      <w:r>
        <w:t>spolupráce českých výzkumných pracovišť.</w:t>
      </w:r>
    </w:p>
  </w:footnote>
  <w:footnote w:id="15">
    <w:p w14:paraId="7C1F588C" w14:textId="77777777" w:rsidR="003D012B" w:rsidRDefault="003D012B" w:rsidP="00053D22">
      <w:pPr>
        <w:pStyle w:val="PoznmkapodarouCharChar"/>
      </w:pPr>
      <w:r>
        <w:rPr>
          <w:rStyle w:val="Znakapoznpodarou"/>
        </w:rPr>
        <w:footnoteRef/>
      </w:r>
      <w:r>
        <w:rPr>
          <w:vertAlign w:val="superscript"/>
          <w:lang w:val="cs-CZ"/>
        </w:rPr>
        <w:t xml:space="preserve"> </w:t>
      </w:r>
      <w:r>
        <w:rPr>
          <w:lang w:val="cs-CZ"/>
        </w:rPr>
        <w:t>V</w:t>
      </w:r>
      <w:r>
        <w:t>íce v kapitole C.V.</w:t>
      </w:r>
    </w:p>
  </w:footnote>
  <w:footnote w:id="16">
    <w:p w14:paraId="5994E69F" w14:textId="77777777" w:rsidR="003D012B" w:rsidRPr="00B06290" w:rsidRDefault="003D012B" w:rsidP="00053D22">
      <w:pPr>
        <w:pStyle w:val="PoznmkapodarouCharChar"/>
      </w:pPr>
      <w:r>
        <w:rPr>
          <w:rStyle w:val="Znakapoznpodarou"/>
          <w:color w:val="auto"/>
          <w:lang w:val="cs-CZ" w:eastAsia="cs-CZ"/>
        </w:rPr>
        <w:footnoteRef/>
      </w:r>
      <w:r>
        <w:t xml:space="preserve"> </w:t>
      </w:r>
      <w:r w:rsidRPr="00B06290">
        <w:t>Poznámka:</w:t>
      </w:r>
    </w:p>
    <w:p w14:paraId="40605407" w14:textId="77777777" w:rsidR="003D012B" w:rsidRPr="00B06290" w:rsidRDefault="003D012B" w:rsidP="00053D22">
      <w:pPr>
        <w:pStyle w:val="PoznmkapodarouCharChar"/>
      </w:pPr>
      <w:r w:rsidRPr="00526028">
        <w:rPr>
          <w:vertAlign w:val="superscript"/>
        </w:rPr>
        <w:t>1</w:t>
      </w:r>
      <w:r w:rsidRPr="00B06290">
        <w:t xml:space="preserve"> Ačkoliv se v souvislosti s </w:t>
      </w:r>
      <w:r>
        <w:rPr>
          <w:lang w:val="cs-CZ"/>
        </w:rPr>
        <w:t>RN</w:t>
      </w:r>
      <w:r w:rsidRPr="00B06290">
        <w:t xml:space="preserve"> používá výraz „věková kategorie“, nejde o věkové kategorie v pravém slova smyslu, neboť určujícím znakem pro zařazení do jednotlivých kategorií není věk dítěte, žáka či studenta, ale je jím skutečnost, že dítě, žák nebo student se vzdělává v příslušném stupni vzdělávání.</w:t>
      </w:r>
    </w:p>
    <w:p w14:paraId="4A846A75" w14:textId="77777777" w:rsidR="003D012B" w:rsidRPr="00B06290" w:rsidRDefault="003D012B" w:rsidP="00053D22">
      <w:pPr>
        <w:pStyle w:val="PoznmkapodarouCharChar"/>
      </w:pPr>
      <w:r w:rsidRPr="00526028">
        <w:rPr>
          <w:vertAlign w:val="superscript"/>
        </w:rPr>
        <w:t>2</w:t>
      </w:r>
      <w:r w:rsidRPr="00B06290">
        <w:t xml:space="preserve"> Počet dětí, žáků a studentů používaný pro </w:t>
      </w:r>
      <w:r>
        <w:rPr>
          <w:lang w:val="cs-CZ"/>
        </w:rPr>
        <w:t>RN</w:t>
      </w:r>
      <w:r w:rsidRPr="00B06290">
        <w:t xml:space="preserve"> se navíc může lišit od počtu výkonů uváděného např. ve statistických ročenkách, neboť pro stanovení </w:t>
      </w:r>
      <w:r>
        <w:rPr>
          <w:lang w:val="cs-CZ"/>
        </w:rPr>
        <w:t>RN</w:t>
      </w:r>
      <w:r>
        <w:t xml:space="preserve"> dochází u výkonů k </w:t>
      </w:r>
      <w:r w:rsidRPr="00B06290">
        <w:t>určitým specifickým přepočtům:</w:t>
      </w:r>
    </w:p>
    <w:p w14:paraId="54F4E325" w14:textId="77777777" w:rsidR="003D012B" w:rsidRPr="00B06290" w:rsidRDefault="003D012B" w:rsidP="00053D22">
      <w:pPr>
        <w:pStyle w:val="PoznmkapodarouCharChar"/>
      </w:pPr>
      <w:r w:rsidRPr="00B06290">
        <w:rPr>
          <w:b/>
        </w:rPr>
        <w:t>kategorie 3</w:t>
      </w:r>
      <w:r>
        <w:rPr>
          <w:b/>
          <w:lang w:val="cs-CZ"/>
        </w:rPr>
        <w:t xml:space="preserve"> </w:t>
      </w:r>
      <w:r w:rsidRPr="00B06290">
        <w:rPr>
          <w:b/>
        </w:rPr>
        <w:t>–</w:t>
      </w:r>
      <w:r>
        <w:rPr>
          <w:b/>
          <w:lang w:val="cs-CZ"/>
        </w:rPr>
        <w:t xml:space="preserve"> </w:t>
      </w:r>
      <w:r w:rsidRPr="00B06290">
        <w:rPr>
          <w:b/>
        </w:rPr>
        <w:t xml:space="preserve">5 let </w:t>
      </w:r>
      <w:r w:rsidRPr="00B06290">
        <w:t xml:space="preserve">zahrnuje počet dětí v </w:t>
      </w:r>
      <w:r>
        <w:rPr>
          <w:lang w:val="cs-CZ"/>
        </w:rPr>
        <w:t>MŠ</w:t>
      </w:r>
      <w:r w:rsidRPr="00B06290">
        <w:t xml:space="preserve"> (přičemž děti přijaté podle § 30 odst. 3 zákona č.</w:t>
      </w:r>
      <w:r>
        <w:t> 117/1995 Sb., o</w:t>
      </w:r>
      <w:r>
        <w:rPr>
          <w:lang w:val="cs-CZ"/>
        </w:rPr>
        <w:t> </w:t>
      </w:r>
      <w:r w:rsidRPr="00B06290">
        <w:t xml:space="preserve">státní sociální podpoře, ve znění pozdějších předpisů, jsou přepočteny koeficientem 0,5), dětí v </w:t>
      </w:r>
      <w:r>
        <w:rPr>
          <w:lang w:val="cs-CZ"/>
        </w:rPr>
        <w:t>MŠ</w:t>
      </w:r>
      <w:r w:rsidRPr="00B06290">
        <w:t xml:space="preserve"> při zdravotnickém zařízení (použije se vyšší počet z variant: průměrný počet dětí za minulý školní rok či počet dětí k 30. 9. příslušného školního roku), do počtu dětí v </w:t>
      </w:r>
      <w:r>
        <w:rPr>
          <w:lang w:val="cs-CZ"/>
        </w:rPr>
        <w:t>MŠ</w:t>
      </w:r>
      <w:r w:rsidRPr="00B06290">
        <w:t xml:space="preserve"> jsou jednotlivými krajskými úřady doplněny rovněž nové kapacity k 1. lednu příslušného roku, </w:t>
      </w:r>
    </w:p>
    <w:p w14:paraId="51BAD7B6" w14:textId="77777777" w:rsidR="003D012B" w:rsidRDefault="003D012B" w:rsidP="00053D22">
      <w:pPr>
        <w:pStyle w:val="PoznmkapodarouCharChar"/>
        <w:rPr>
          <w:lang w:val="cs-CZ"/>
        </w:rPr>
      </w:pPr>
      <w:r w:rsidRPr="00B06290">
        <w:rPr>
          <w:b/>
        </w:rPr>
        <w:t>kategorie 6</w:t>
      </w:r>
      <w:r>
        <w:rPr>
          <w:b/>
          <w:lang w:val="cs-CZ"/>
        </w:rPr>
        <w:t xml:space="preserve"> </w:t>
      </w:r>
      <w:r w:rsidRPr="00B06290">
        <w:rPr>
          <w:b/>
        </w:rPr>
        <w:t>–</w:t>
      </w:r>
      <w:r>
        <w:rPr>
          <w:b/>
          <w:lang w:val="cs-CZ"/>
        </w:rPr>
        <w:t xml:space="preserve"> </w:t>
      </w:r>
      <w:r w:rsidRPr="00B06290">
        <w:rPr>
          <w:b/>
        </w:rPr>
        <w:t>14</w:t>
      </w:r>
      <w:r w:rsidRPr="00B06290">
        <w:t xml:space="preserve"> let zahrnuje počet žáků v </w:t>
      </w:r>
      <w:r>
        <w:rPr>
          <w:lang w:val="cs-CZ"/>
        </w:rPr>
        <w:t>ZŠ</w:t>
      </w:r>
      <w:r w:rsidRPr="00B06290">
        <w:t xml:space="preserve"> (přičemž žáci plnící povinnou</w:t>
      </w:r>
      <w:r>
        <w:t xml:space="preserve"> školní docházku podle § 38 a</w:t>
      </w:r>
      <w:r>
        <w:rPr>
          <w:lang w:val="cs-CZ"/>
        </w:rPr>
        <w:t> </w:t>
      </w:r>
      <w:r>
        <w:t>§</w:t>
      </w:r>
      <w:r>
        <w:rPr>
          <w:lang w:val="cs-CZ"/>
        </w:rPr>
        <w:t> </w:t>
      </w:r>
      <w:r w:rsidRPr="00B06290">
        <w:t>41 školského zákona, tzv. „individuální vzdělávání“ a „vzdělávání v zahraničí“, jsou přepoč</w:t>
      </w:r>
      <w:r>
        <w:t>teni koeficientem 0,25), žáků v</w:t>
      </w:r>
      <w:r>
        <w:rPr>
          <w:lang w:val="cs-CZ"/>
        </w:rPr>
        <w:t> </w:t>
      </w:r>
      <w:r w:rsidRPr="00B06290">
        <w:t xml:space="preserve">nižších ročnících víceletých gymnázií a v nižších ročnících konzervatoří v denní formě vzdělávání, žáků v přípravných třídách </w:t>
      </w:r>
      <w:r>
        <w:rPr>
          <w:lang w:val="cs-CZ"/>
        </w:rPr>
        <w:t>ZŠ</w:t>
      </w:r>
      <w:r w:rsidRPr="00B06290">
        <w:t xml:space="preserve"> a</w:t>
      </w:r>
      <w:r>
        <w:rPr>
          <w:lang w:val="cs-CZ"/>
        </w:rPr>
        <w:t> </w:t>
      </w:r>
      <w:r w:rsidRPr="00B06290">
        <w:t xml:space="preserve">v </w:t>
      </w:r>
      <w:r>
        <w:rPr>
          <w:lang w:val="cs-CZ"/>
        </w:rPr>
        <w:t>ZŠ</w:t>
      </w:r>
      <w:r w:rsidRPr="00B06290">
        <w:t xml:space="preserve"> při zdravotnickém zařízení (použije se vyšší počet z variant: průměrný počet žáků za mi</w:t>
      </w:r>
      <w:r>
        <w:t>nulý školní rok či počet žáků k</w:t>
      </w:r>
      <w:r>
        <w:rPr>
          <w:lang w:val="cs-CZ"/>
        </w:rPr>
        <w:t> </w:t>
      </w:r>
      <w:r w:rsidRPr="00B06290">
        <w:t>30. 9. příslušného školního roku),</w:t>
      </w:r>
    </w:p>
    <w:p w14:paraId="07F22FB9" w14:textId="77777777" w:rsidR="003D012B" w:rsidRPr="00B06290" w:rsidRDefault="003D012B" w:rsidP="00053D22">
      <w:pPr>
        <w:pStyle w:val="PoznmkapodarouCharChar"/>
      </w:pPr>
      <w:r w:rsidRPr="00B06290">
        <w:rPr>
          <w:b/>
        </w:rPr>
        <w:t>kategorie 15</w:t>
      </w:r>
      <w:r>
        <w:rPr>
          <w:b/>
          <w:lang w:val="cs-CZ"/>
        </w:rPr>
        <w:t xml:space="preserve"> </w:t>
      </w:r>
      <w:r w:rsidRPr="00B06290">
        <w:rPr>
          <w:b/>
        </w:rPr>
        <w:t>–</w:t>
      </w:r>
      <w:r>
        <w:rPr>
          <w:b/>
          <w:lang w:val="cs-CZ"/>
        </w:rPr>
        <w:t xml:space="preserve"> </w:t>
      </w:r>
      <w:r w:rsidRPr="00B06290">
        <w:rPr>
          <w:b/>
        </w:rPr>
        <w:t>18</w:t>
      </w:r>
      <w:r w:rsidRPr="00B06290">
        <w:t xml:space="preserve"> let zahrnuje počet žáků ve středních školách v denní formě vzdělávání včetně zkrácených studií, vč. žáků nástavbového studia v denní formě vzdělávání a bez žáků nižšíc</w:t>
      </w:r>
      <w:r>
        <w:t>h ročníků víceletých gymnázií a </w:t>
      </w:r>
      <w:r w:rsidRPr="00B06290">
        <w:t>nižších ročníků konzervatoří,</w:t>
      </w:r>
    </w:p>
    <w:p w14:paraId="711D6E12" w14:textId="77777777" w:rsidR="003D012B" w:rsidRPr="00B06290" w:rsidRDefault="003D012B" w:rsidP="00053D22">
      <w:pPr>
        <w:pStyle w:val="PoznmkapodarouCharChar"/>
      </w:pPr>
      <w:r w:rsidRPr="00B06290">
        <w:rPr>
          <w:b/>
        </w:rPr>
        <w:t>kategorie 19</w:t>
      </w:r>
      <w:r>
        <w:rPr>
          <w:b/>
          <w:lang w:val="cs-CZ"/>
        </w:rPr>
        <w:t xml:space="preserve"> </w:t>
      </w:r>
      <w:r w:rsidRPr="00B06290">
        <w:rPr>
          <w:b/>
        </w:rPr>
        <w:t>–</w:t>
      </w:r>
      <w:r>
        <w:rPr>
          <w:b/>
          <w:lang w:val="cs-CZ"/>
        </w:rPr>
        <w:t xml:space="preserve"> </w:t>
      </w:r>
      <w:r w:rsidRPr="00B06290">
        <w:rPr>
          <w:b/>
        </w:rPr>
        <w:t>21</w:t>
      </w:r>
      <w:r w:rsidRPr="00B06290">
        <w:t xml:space="preserve"> let zahrnuje počet studentů ve vyšších odborných školách v denní formě vzdělávání,</w:t>
      </w:r>
    </w:p>
    <w:p w14:paraId="1114ACA4" w14:textId="77777777" w:rsidR="003D012B" w:rsidRPr="00B06290" w:rsidRDefault="003D012B" w:rsidP="00053D22">
      <w:pPr>
        <w:pStyle w:val="PoznmkapodarouCharChar"/>
      </w:pPr>
      <w:r w:rsidRPr="00B06290">
        <w:rPr>
          <w:b/>
        </w:rPr>
        <w:t>kategorie 3</w:t>
      </w:r>
      <w:r>
        <w:rPr>
          <w:b/>
          <w:lang w:val="cs-CZ"/>
        </w:rPr>
        <w:t xml:space="preserve"> </w:t>
      </w:r>
      <w:r w:rsidRPr="00B06290">
        <w:rPr>
          <w:b/>
        </w:rPr>
        <w:t>–</w:t>
      </w:r>
      <w:r>
        <w:rPr>
          <w:b/>
          <w:lang w:val="cs-CZ"/>
        </w:rPr>
        <w:t xml:space="preserve"> </w:t>
      </w:r>
      <w:r w:rsidRPr="00B06290">
        <w:rPr>
          <w:b/>
        </w:rPr>
        <w:t>18</w:t>
      </w:r>
      <w:r w:rsidRPr="00B06290">
        <w:t xml:space="preserve"> let v KZÚV zahrnuje počet lůžek v zařízeních ústavní výchovy.</w:t>
      </w:r>
      <w:r w:rsidRPr="00B06290">
        <w:tab/>
      </w:r>
    </w:p>
  </w:footnote>
  <w:footnote w:id="17">
    <w:p w14:paraId="01B3B23E" w14:textId="77777777" w:rsidR="003D012B" w:rsidRDefault="003D012B" w:rsidP="008678CF">
      <w:pPr>
        <w:pStyle w:val="Textpoznpodarou"/>
      </w:pPr>
      <w:r>
        <w:rPr>
          <w:rStyle w:val="Znakapoznpodarou"/>
        </w:rPr>
        <w:footnoteRef/>
      </w:r>
      <w:r>
        <w:t xml:space="preserve"> V průběhu roku 2019 bude zažádáno o navýšení závazného ukazatele – po souhlasu p. ministra navýšeno o nároky z nespotřebovaných neprofilujících výdajů (17.750.000 Kč) a o příspěvek v rámci Sekce V (výdajový blok Podpora všeobecné sportovní činnosti/školní sport – 94.178.312 Kč)  </w:t>
      </w:r>
    </w:p>
  </w:footnote>
  <w:footnote w:id="18">
    <w:p w14:paraId="65C9ABBE" w14:textId="77777777" w:rsidR="003D012B" w:rsidRDefault="003D012B" w:rsidP="00B26388">
      <w:pPr>
        <w:pStyle w:val="Textpoznpodarou"/>
      </w:pPr>
      <w:r>
        <w:rPr>
          <w:rStyle w:val="Znakapoznpodarou"/>
        </w:rPr>
        <w:footnoteRef/>
      </w:r>
      <w:r>
        <w:t xml:space="preserve"> Integrovaný regionální operační program</w:t>
      </w:r>
    </w:p>
  </w:footnote>
  <w:footnote w:id="19">
    <w:p w14:paraId="26962CF2" w14:textId="3BF43449" w:rsidR="003D012B" w:rsidRDefault="003D012B">
      <w:pPr>
        <w:pStyle w:val="Textpoznpodarou"/>
      </w:pPr>
      <w:r>
        <w:rPr>
          <w:rStyle w:val="Znakapoznpodarou"/>
        </w:rPr>
        <w:footnoteRef/>
      </w:r>
      <w:r>
        <w:t xml:space="preserve"> Nároky z nespotřebovaných profilujících výdajů ve výši 31 437 992 Kč jsou určeny na regranting a 1 147 500 Kč na bilaterální spolupráci. U prostředků na administraci programu a regranting je 85 % hrazeno z FM a 15 % ze SR. U prostředků na bilaterální spolupráci je 100 % hrazeno z FM.</w:t>
      </w:r>
    </w:p>
  </w:footnote>
  <w:footnote w:id="20">
    <w:p w14:paraId="7EB7A608" w14:textId="77777777" w:rsidR="003D012B" w:rsidRDefault="003D012B" w:rsidP="00053D22">
      <w:pPr>
        <w:pStyle w:val="PoznmkapodarouCharChar"/>
      </w:pPr>
      <w:r>
        <w:rPr>
          <w:rStyle w:val="Znakapoznpodarou"/>
        </w:rPr>
        <w:footnoteRef/>
      </w:r>
      <w:r>
        <w:t xml:space="preserve"> </w:t>
      </w:r>
      <w:r w:rsidRPr="0055737D">
        <w:t>Jednotný rámec pro transparentnost kvalifikací a kompetencí</w:t>
      </w:r>
      <w:r>
        <w:t>.</w:t>
      </w:r>
    </w:p>
  </w:footnote>
  <w:footnote w:id="21">
    <w:p w14:paraId="66698394" w14:textId="77777777" w:rsidR="003D012B" w:rsidRDefault="003D012B" w:rsidP="00053D22">
      <w:pPr>
        <w:pStyle w:val="PoznmkapodarouCharChar"/>
      </w:pPr>
      <w:r>
        <w:rPr>
          <w:rStyle w:val="Znakapoznpodarou"/>
        </w:rPr>
        <w:footnoteRef/>
      </w:r>
      <w:r>
        <w:t xml:space="preserve"> </w:t>
      </w:r>
      <w:r w:rsidRPr="00C26F0C">
        <w:t>Světová antidopingová agentura (anglicky World Anti-Doping Agency</w:t>
      </w:r>
      <w:r>
        <w:t>)</w:t>
      </w:r>
      <w:r w:rsidRPr="00C26F0C">
        <w:t>, je mezinárodní nezávislá organizace</w:t>
      </w:r>
      <w:r>
        <w:t xml:space="preserve"> zaměřená na boj proti dopingu.</w:t>
      </w:r>
    </w:p>
  </w:footnote>
  <w:footnote w:id="22">
    <w:p w14:paraId="78E9BC93" w14:textId="77777777" w:rsidR="003D012B" w:rsidRDefault="003D012B" w:rsidP="00053D22">
      <w:pPr>
        <w:pStyle w:val="PoznmkapodarouCharChar"/>
      </w:pPr>
      <w:r>
        <w:rPr>
          <w:rStyle w:val="Znakapoznpodarou"/>
        </w:rPr>
        <w:footnoteRef/>
      </w:r>
      <w:r>
        <w:t xml:space="preserve"> Univerzita Karlova - Ústav jazykové a odborné přípravy</w:t>
      </w:r>
    </w:p>
  </w:footnote>
  <w:footnote w:id="23">
    <w:p w14:paraId="39F43E40" w14:textId="6BB18C38" w:rsidR="003D012B" w:rsidRPr="003D6DED" w:rsidRDefault="003D012B" w:rsidP="00680733">
      <w:pPr>
        <w:pStyle w:val="Textpoznpodarou"/>
        <w:tabs>
          <w:tab w:val="left" w:pos="426"/>
        </w:tabs>
      </w:pPr>
      <w:r w:rsidRPr="00A90EBC">
        <w:rPr>
          <w:rStyle w:val="Znakapoznpodarou"/>
        </w:rPr>
        <w:footnoteRef/>
      </w:r>
      <w:r>
        <w:t xml:space="preserve"> </w:t>
      </w:r>
      <w:r w:rsidRPr="00247255">
        <w:t xml:space="preserve">Vázaná rezerva – prostředky u příkazce svodných rozpočtových </w:t>
      </w:r>
      <w:r w:rsidRPr="0024186F">
        <w:t xml:space="preserve">operací ve </w:t>
      </w:r>
      <w:r>
        <w:t>výši 36 741 408</w:t>
      </w:r>
      <w:r w:rsidRPr="00402005">
        <w:t xml:space="preserve"> Kč, u kterých se již předpokládá konkrétní využití např. na </w:t>
      </w:r>
      <w:r>
        <w:t>nezpůsobilé výdaje</w:t>
      </w:r>
      <w:r w:rsidRPr="007663D5">
        <w:t xml:space="preserve">, </w:t>
      </w:r>
      <w:r>
        <w:t>služby a režijní náklady MŠMT v objektech OPŘO, nerozepsaný příspěvek pro NÚV, prostředky na poplatky IEA pro ČŠI, nadpožadavky u mezinárodních aktivit apod.</w:t>
      </w:r>
    </w:p>
  </w:footnote>
  <w:footnote w:id="24">
    <w:p w14:paraId="6A04F7FC" w14:textId="77777777" w:rsidR="003D012B" w:rsidRDefault="003D012B" w:rsidP="00680733">
      <w:pPr>
        <w:pStyle w:val="Textpoznpodarou"/>
      </w:pPr>
      <w:r>
        <w:rPr>
          <w:rStyle w:val="Znakapoznpodarou"/>
        </w:rPr>
        <w:footnoteRef/>
      </w:r>
      <w:r>
        <w:t xml:space="preserve"> Netýká se organizací Národní technická knihovna a Komise J. W. Fulbrighta, které jsou nejen řízeny, ale i financovány věcně příslušnou sekcí vysokého školství, vědy a výzkumu.</w:t>
      </w:r>
    </w:p>
  </w:footnote>
  <w:footnote w:id="25">
    <w:p w14:paraId="5BAA7D79" w14:textId="77777777" w:rsidR="003D012B" w:rsidRDefault="003D012B" w:rsidP="00680733">
      <w:pPr>
        <w:pStyle w:val="Textpoznpodarou"/>
      </w:pPr>
      <w:r>
        <w:rPr>
          <w:rStyle w:val="Znakapoznpodarou"/>
        </w:rPr>
        <w:footnoteRef/>
      </w:r>
      <w:r>
        <w:t xml:space="preserve"> </w:t>
      </w:r>
      <w:r w:rsidRPr="00E02C91">
        <w:t>Požadavky na změny r</w:t>
      </w:r>
      <w:r>
        <w:t>ozpočtu, podléhající souhlasu Ministerstva financí</w:t>
      </w:r>
      <w:r w:rsidRPr="00E02C91">
        <w:t xml:space="preserve"> musí být za </w:t>
      </w:r>
      <w:r>
        <w:t>Ministerstvo školství, mládeže a tělovýchovy</w:t>
      </w:r>
      <w:r w:rsidRPr="00E02C91">
        <w:t xml:space="preserve"> </w:t>
      </w:r>
      <w:r>
        <w:t>odevzdány a Ministerstvem financí</w:t>
      </w:r>
      <w:r w:rsidRPr="00E02C91">
        <w:t xml:space="preserve"> přijaty nejpozději 30. 11. daného roku.</w:t>
      </w:r>
    </w:p>
  </w:footnote>
  <w:footnote w:id="26">
    <w:p w14:paraId="369C7F9F" w14:textId="77777777" w:rsidR="003D012B" w:rsidRDefault="003D012B" w:rsidP="00680733">
      <w:pPr>
        <w:pStyle w:val="Textpoznpodarou"/>
      </w:pPr>
      <w:r>
        <w:rPr>
          <w:rStyle w:val="Znakapoznpodarou"/>
        </w:rPr>
        <w:footnoteRef/>
      </w:r>
      <w:r>
        <w:t xml:space="preserve"> </w:t>
      </w:r>
      <w:r w:rsidRPr="00BA4562">
        <w:t>Systém mezinárodního standardního číslování seriálových publikací - ISSN (International Standard Serials Numbering)</w:t>
      </w:r>
      <w:r>
        <w:t xml:space="preserve">. </w:t>
      </w:r>
      <w:r w:rsidRPr="00BA4562">
        <w:t>Centrum udržuje databázi všech přidělených ISSN. České národní středisko ISSN funguje při NTK.</w:t>
      </w:r>
    </w:p>
  </w:footnote>
  <w:footnote w:id="27">
    <w:p w14:paraId="2CD8C97C" w14:textId="77777777" w:rsidR="003D012B" w:rsidRDefault="003D012B" w:rsidP="00680733">
      <w:pPr>
        <w:pStyle w:val="Textpoznpodarou"/>
      </w:pPr>
      <w:r>
        <w:rPr>
          <w:rStyle w:val="Znakapoznpodarou"/>
        </w:rPr>
        <w:footnoteRef/>
      </w:r>
      <w:r>
        <w:t xml:space="preserve"> </w:t>
      </w:r>
      <w:r w:rsidRPr="00BA4562">
        <w:t>Tato asociace je největší evropskou sítí vědeckých knihoven. Sdružuje více než 420 národních, univerzitních a jiných knihoven z více než 40 evropských států.</w:t>
      </w:r>
    </w:p>
  </w:footnote>
  <w:footnote w:id="28">
    <w:p w14:paraId="13B661E8" w14:textId="3C197295" w:rsidR="003D012B" w:rsidRPr="002456F8" w:rsidRDefault="003D012B" w:rsidP="00B0764F">
      <w:pPr>
        <w:pStyle w:val="Textpoznpodarou"/>
        <w:rPr>
          <w:szCs w:val="18"/>
        </w:rPr>
      </w:pPr>
      <w:r w:rsidRPr="002456F8">
        <w:rPr>
          <w:rStyle w:val="Znakapoznpodarou"/>
          <w:szCs w:val="18"/>
        </w:rPr>
        <w:footnoteRef/>
      </w:r>
      <w:r w:rsidRPr="002456F8">
        <w:rPr>
          <w:szCs w:val="18"/>
          <w:vertAlign w:val="superscript"/>
        </w:rPr>
        <w:t xml:space="preserve"> </w:t>
      </w:r>
      <w:r w:rsidRPr="002456F8">
        <w:rPr>
          <w:szCs w:val="18"/>
        </w:rPr>
        <w:t xml:space="preserve">Kromě uvedených úkolů jsou pro sekci legislativy a </w:t>
      </w:r>
      <w:r>
        <w:rPr>
          <w:szCs w:val="18"/>
        </w:rPr>
        <w:t>mezinárodních vztahů</w:t>
      </w:r>
      <w:r w:rsidRPr="002456F8">
        <w:rPr>
          <w:szCs w:val="18"/>
        </w:rPr>
        <w:t xml:space="preserve"> vyčleněny další prostředky, které jsou součástí ukazatele mezinárodní aktivity</w:t>
      </w:r>
      <w:r w:rsidRPr="002C3AE3">
        <w:rPr>
          <w:szCs w:val="18"/>
        </w:rPr>
        <w:t xml:space="preserve"> – viz kapitola C.VI.</w:t>
      </w:r>
      <w:r>
        <w:rPr>
          <w:szCs w:val="18"/>
        </w:rPr>
        <w:t>1</w:t>
      </w:r>
      <w:r w:rsidRPr="002C3AE3">
        <w:rPr>
          <w:szCs w:val="18"/>
        </w:rPr>
        <w:t>.</w:t>
      </w:r>
      <w:r>
        <w:rPr>
          <w:szCs w:val="18"/>
        </w:rPr>
        <w:t>9</w:t>
      </w:r>
    </w:p>
  </w:footnote>
  <w:footnote w:id="29">
    <w:p w14:paraId="56D6BC2C" w14:textId="77777777" w:rsidR="003D012B" w:rsidRDefault="003D012B" w:rsidP="00B0764F">
      <w:pPr>
        <w:pStyle w:val="Textpoznpodarou"/>
      </w:pPr>
      <w:r>
        <w:rPr>
          <w:rStyle w:val="Znakapoznpodarou"/>
        </w:rPr>
        <w:footnoteRef/>
      </w:r>
      <w:r>
        <w:t xml:space="preserve"> Do financování Study In je zapojen rezervní fond organizace ve výši 45 348 Kč na platy a související odvody. </w:t>
      </w:r>
    </w:p>
  </w:footnote>
  <w:footnote w:id="30">
    <w:p w14:paraId="06FDDB59" w14:textId="77777777" w:rsidR="003D012B" w:rsidRDefault="003D012B" w:rsidP="00B0764F">
      <w:pPr>
        <w:pStyle w:val="Textpoznpodarou"/>
      </w:pPr>
      <w:r>
        <w:rPr>
          <w:rStyle w:val="Znakapoznpodarou"/>
        </w:rPr>
        <w:footnoteRef/>
      </w:r>
      <w:r>
        <w:t xml:space="preserve"> Jedná se o navýšení finančních prostředků </w:t>
      </w:r>
      <w:r w:rsidRPr="007977FA">
        <w:t>k</w:t>
      </w:r>
      <w:r>
        <w:t> usnesení vlády, kterým jsou finanční prostředky uvolňovány z Ministerstva vnitra.</w:t>
      </w:r>
    </w:p>
    <w:p w14:paraId="53D4A65E" w14:textId="77777777" w:rsidR="003D012B" w:rsidRDefault="003D012B" w:rsidP="00B0764F">
      <w:pPr>
        <w:pStyle w:val="Textpoznpodarou"/>
      </w:pPr>
    </w:p>
  </w:footnote>
  <w:footnote w:id="31">
    <w:p w14:paraId="7043C48E" w14:textId="0AA4B9DE" w:rsidR="003D012B" w:rsidRDefault="003D012B">
      <w:pPr>
        <w:pStyle w:val="Textpoznpodarou"/>
      </w:pPr>
      <w:r>
        <w:rPr>
          <w:rStyle w:val="Znakapoznpodarou"/>
        </w:rPr>
        <w:footnoteRef/>
      </w:r>
      <w:r>
        <w:t xml:space="preserve"> Do rozpočtu vlastního úřadu byly počátkem roku 2019 převedeny prostředky na společné úkoly sekcí MŠMT v celkové výši </w:t>
      </w:r>
      <w:r w:rsidRPr="009464B0">
        <w:t>6 194 320 Kč.</w:t>
      </w:r>
      <w:r w:rsidRPr="0068494F">
        <w:t xml:space="preserve"> </w:t>
      </w:r>
    </w:p>
    <w:p w14:paraId="7C3388D8" w14:textId="76FAB2A7" w:rsidR="003D012B" w:rsidRPr="0068494F" w:rsidRDefault="003D012B">
      <w:pPr>
        <w:pStyle w:val="Textpoznpodarou"/>
      </w:pPr>
      <w:r w:rsidRPr="0068494F">
        <w:t>Do rozpočtu vlastního úřadu (odboru ICT) budou během roku 2019 převedeny prostředky na informační systém AKREDIS ve výši 450 000 Kč.</w:t>
      </w:r>
    </w:p>
    <w:p w14:paraId="1DB17892" w14:textId="6A8417DD" w:rsidR="003D012B" w:rsidRDefault="003D012B">
      <w:pPr>
        <w:pStyle w:val="Textpoznpodarou"/>
      </w:pPr>
      <w:r>
        <w:t>Částka vyčleněná v rozpočtu sekce VI na pohoštění a drobné dary byla z důvodu metodické změny přesunuta do rozpočtu správy úřadu na stejný účel.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CA8B78"/>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2">
    <w:nsid w:val="02C90FBF"/>
    <w:multiLevelType w:val="hybridMultilevel"/>
    <w:tmpl w:val="E2603E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1B6BCE"/>
    <w:multiLevelType w:val="hybridMultilevel"/>
    <w:tmpl w:val="37F4F932"/>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B4D2F19"/>
    <w:multiLevelType w:val="multilevel"/>
    <w:tmpl w:val="1DF47516"/>
    <w:styleLink w:val="Styl3"/>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600"/>
        </w:tabs>
        <w:ind w:left="600" w:hanging="360"/>
      </w:pPr>
      <w:rPr>
        <w:rFonts w:hint="default"/>
        <w:b/>
        <w:i w:val="0"/>
      </w:rPr>
    </w:lvl>
    <w:lvl w:ilvl="2">
      <w:start w:val="1"/>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5">
    <w:nsid w:val="0BA266FB"/>
    <w:multiLevelType w:val="hybridMultilevel"/>
    <w:tmpl w:val="2EC6C36E"/>
    <w:lvl w:ilvl="0" w:tplc="D0587AC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nsid w:val="0C7921FB"/>
    <w:multiLevelType w:val="hybridMultilevel"/>
    <w:tmpl w:val="90220A3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7">
    <w:nsid w:val="0D99657B"/>
    <w:multiLevelType w:val="hybridMultilevel"/>
    <w:tmpl w:val="17FC8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1EB15A3"/>
    <w:multiLevelType w:val="hybridMultilevel"/>
    <w:tmpl w:val="6C5C8BC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nsid w:val="12F162A3"/>
    <w:multiLevelType w:val="hybridMultilevel"/>
    <w:tmpl w:val="02888052"/>
    <w:lvl w:ilvl="0" w:tplc="69F0A718">
      <w:start w:val="1"/>
      <w:numFmt w:val="decimal"/>
      <w:lvlText w:val="%1."/>
      <w:lvlJc w:val="left"/>
      <w:pPr>
        <w:tabs>
          <w:tab w:val="num" w:pos="360"/>
        </w:tabs>
        <w:ind w:left="360" w:hanging="360"/>
      </w:pPr>
      <w:rPr>
        <w:rFonts w:hint="default"/>
      </w:rPr>
    </w:lvl>
    <w:lvl w:ilvl="1" w:tplc="572E050E">
      <w:start w:val="1"/>
      <w:numFmt w:val="lowerLetter"/>
      <w:lvlText w:val="%2)"/>
      <w:lvlJc w:val="left"/>
      <w:pPr>
        <w:tabs>
          <w:tab w:val="num" w:pos="1440"/>
        </w:tabs>
        <w:ind w:left="1440" w:hanging="360"/>
      </w:pPr>
      <w:rPr>
        <w:rFonts w:hint="default"/>
        <w:b/>
        <w:color w:val="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51A3F4A"/>
    <w:multiLevelType w:val="hybridMultilevel"/>
    <w:tmpl w:val="D04A4D0A"/>
    <w:lvl w:ilvl="0" w:tplc="1C18069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nsid w:val="15701FD0"/>
    <w:multiLevelType w:val="hybridMultilevel"/>
    <w:tmpl w:val="37D2C94E"/>
    <w:lvl w:ilvl="0" w:tplc="04050001">
      <w:start w:val="1"/>
      <w:numFmt w:val="bullet"/>
      <w:lvlText w:val=""/>
      <w:lvlJc w:val="left"/>
      <w:pPr>
        <w:ind w:left="1069" w:hanging="360"/>
      </w:pPr>
      <w:rPr>
        <w:rFonts w:ascii="Symbol" w:hAnsi="Symbol" w:hint="default"/>
        <w:color w:val="auto"/>
        <w:sz w:val="24"/>
        <w:szCs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nsid w:val="16A90C4A"/>
    <w:multiLevelType w:val="hybridMultilevel"/>
    <w:tmpl w:val="3790160A"/>
    <w:lvl w:ilvl="0" w:tplc="232CB2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B6E76C2"/>
    <w:multiLevelType w:val="hybridMultilevel"/>
    <w:tmpl w:val="67C0A3E0"/>
    <w:lvl w:ilvl="0" w:tplc="93ACCBB4">
      <w:start w:val="1"/>
      <w:numFmt w:val="lowerLetter"/>
      <w:lvlText w:val="%1)"/>
      <w:lvlJc w:val="left"/>
      <w:pPr>
        <w:ind w:left="1123" w:hanging="360"/>
      </w:pPr>
      <w:rPr>
        <w:rFonts w:hint="default"/>
      </w:rPr>
    </w:lvl>
    <w:lvl w:ilvl="1" w:tplc="04050019">
      <w:start w:val="1"/>
      <w:numFmt w:val="lowerLetter"/>
      <w:lvlText w:val="%2."/>
      <w:lvlJc w:val="left"/>
      <w:pPr>
        <w:ind w:left="1843" w:hanging="360"/>
      </w:pPr>
    </w:lvl>
    <w:lvl w:ilvl="2" w:tplc="0405001B" w:tentative="1">
      <w:start w:val="1"/>
      <w:numFmt w:val="lowerRoman"/>
      <w:lvlText w:val="%3."/>
      <w:lvlJc w:val="right"/>
      <w:pPr>
        <w:ind w:left="2563" w:hanging="180"/>
      </w:pPr>
    </w:lvl>
    <w:lvl w:ilvl="3" w:tplc="0405000F" w:tentative="1">
      <w:start w:val="1"/>
      <w:numFmt w:val="decimal"/>
      <w:lvlText w:val="%4."/>
      <w:lvlJc w:val="left"/>
      <w:pPr>
        <w:ind w:left="3283" w:hanging="360"/>
      </w:pPr>
    </w:lvl>
    <w:lvl w:ilvl="4" w:tplc="04050019" w:tentative="1">
      <w:start w:val="1"/>
      <w:numFmt w:val="lowerLetter"/>
      <w:lvlText w:val="%5."/>
      <w:lvlJc w:val="left"/>
      <w:pPr>
        <w:ind w:left="4003" w:hanging="360"/>
      </w:pPr>
    </w:lvl>
    <w:lvl w:ilvl="5" w:tplc="0405001B" w:tentative="1">
      <w:start w:val="1"/>
      <w:numFmt w:val="lowerRoman"/>
      <w:lvlText w:val="%6."/>
      <w:lvlJc w:val="right"/>
      <w:pPr>
        <w:ind w:left="4723" w:hanging="180"/>
      </w:pPr>
    </w:lvl>
    <w:lvl w:ilvl="6" w:tplc="0405000F" w:tentative="1">
      <w:start w:val="1"/>
      <w:numFmt w:val="decimal"/>
      <w:lvlText w:val="%7."/>
      <w:lvlJc w:val="left"/>
      <w:pPr>
        <w:ind w:left="5443" w:hanging="360"/>
      </w:pPr>
    </w:lvl>
    <w:lvl w:ilvl="7" w:tplc="04050019" w:tentative="1">
      <w:start w:val="1"/>
      <w:numFmt w:val="lowerLetter"/>
      <w:lvlText w:val="%8."/>
      <w:lvlJc w:val="left"/>
      <w:pPr>
        <w:ind w:left="6163" w:hanging="360"/>
      </w:pPr>
    </w:lvl>
    <w:lvl w:ilvl="8" w:tplc="0405001B" w:tentative="1">
      <w:start w:val="1"/>
      <w:numFmt w:val="lowerRoman"/>
      <w:lvlText w:val="%9."/>
      <w:lvlJc w:val="right"/>
      <w:pPr>
        <w:ind w:left="6883" w:hanging="180"/>
      </w:pPr>
    </w:lvl>
  </w:abstractNum>
  <w:abstractNum w:abstractNumId="14">
    <w:nsid w:val="1BEA0F9B"/>
    <w:multiLevelType w:val="hybridMultilevel"/>
    <w:tmpl w:val="A3EE69A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BEB3418"/>
    <w:multiLevelType w:val="hybridMultilevel"/>
    <w:tmpl w:val="250A62EC"/>
    <w:lvl w:ilvl="0" w:tplc="94561FA2">
      <w:start w:val="1"/>
      <w:numFmt w:val="lowerLetter"/>
      <w:lvlText w:val="%1)"/>
      <w:lvlJc w:val="left"/>
      <w:pPr>
        <w:ind w:left="1639" w:hanging="360"/>
      </w:pPr>
      <w:rPr>
        <w:rFonts w:hint="default"/>
        <w:b w:val="0"/>
        <w:sz w:val="24"/>
        <w:szCs w:val="24"/>
      </w:rPr>
    </w:lvl>
    <w:lvl w:ilvl="1" w:tplc="04050019">
      <w:start w:val="1"/>
      <w:numFmt w:val="lowerLetter"/>
      <w:lvlText w:val="%2."/>
      <w:lvlJc w:val="left"/>
      <w:pPr>
        <w:ind w:left="2359" w:hanging="360"/>
      </w:pPr>
    </w:lvl>
    <w:lvl w:ilvl="2" w:tplc="0405001B" w:tentative="1">
      <w:start w:val="1"/>
      <w:numFmt w:val="lowerRoman"/>
      <w:lvlText w:val="%3."/>
      <w:lvlJc w:val="right"/>
      <w:pPr>
        <w:ind w:left="3079" w:hanging="180"/>
      </w:pPr>
    </w:lvl>
    <w:lvl w:ilvl="3" w:tplc="0405000F" w:tentative="1">
      <w:start w:val="1"/>
      <w:numFmt w:val="decimal"/>
      <w:lvlText w:val="%4."/>
      <w:lvlJc w:val="left"/>
      <w:pPr>
        <w:ind w:left="3799" w:hanging="360"/>
      </w:pPr>
    </w:lvl>
    <w:lvl w:ilvl="4" w:tplc="04050019" w:tentative="1">
      <w:start w:val="1"/>
      <w:numFmt w:val="lowerLetter"/>
      <w:lvlText w:val="%5."/>
      <w:lvlJc w:val="left"/>
      <w:pPr>
        <w:ind w:left="4519" w:hanging="360"/>
      </w:pPr>
    </w:lvl>
    <w:lvl w:ilvl="5" w:tplc="0405001B" w:tentative="1">
      <w:start w:val="1"/>
      <w:numFmt w:val="lowerRoman"/>
      <w:lvlText w:val="%6."/>
      <w:lvlJc w:val="right"/>
      <w:pPr>
        <w:ind w:left="5239" w:hanging="180"/>
      </w:pPr>
    </w:lvl>
    <w:lvl w:ilvl="6" w:tplc="0405000F" w:tentative="1">
      <w:start w:val="1"/>
      <w:numFmt w:val="decimal"/>
      <w:lvlText w:val="%7."/>
      <w:lvlJc w:val="left"/>
      <w:pPr>
        <w:ind w:left="5959" w:hanging="360"/>
      </w:pPr>
    </w:lvl>
    <w:lvl w:ilvl="7" w:tplc="04050019" w:tentative="1">
      <w:start w:val="1"/>
      <w:numFmt w:val="lowerLetter"/>
      <w:lvlText w:val="%8."/>
      <w:lvlJc w:val="left"/>
      <w:pPr>
        <w:ind w:left="6679" w:hanging="360"/>
      </w:pPr>
    </w:lvl>
    <w:lvl w:ilvl="8" w:tplc="0405001B" w:tentative="1">
      <w:start w:val="1"/>
      <w:numFmt w:val="lowerRoman"/>
      <w:lvlText w:val="%9."/>
      <w:lvlJc w:val="right"/>
      <w:pPr>
        <w:ind w:left="7399" w:hanging="180"/>
      </w:pPr>
    </w:lvl>
  </w:abstractNum>
  <w:abstractNum w:abstractNumId="16">
    <w:nsid w:val="1DC67036"/>
    <w:multiLevelType w:val="hybridMultilevel"/>
    <w:tmpl w:val="E8AEE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FE558B0"/>
    <w:multiLevelType w:val="hybridMultilevel"/>
    <w:tmpl w:val="EA66DFF8"/>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581A6D1C">
      <w:start w:val="1"/>
      <w:numFmt w:val="decimal"/>
      <w:lvlText w:val="%4)"/>
      <w:lvlJc w:val="left"/>
      <w:pPr>
        <w:ind w:left="3087" w:hanging="360"/>
      </w:pPr>
      <w:rPr>
        <w:rFonts w:hint="default"/>
      </w:rPr>
    </w:lvl>
    <w:lvl w:ilvl="4" w:tplc="F2925606">
      <w:start w:val="1"/>
      <w:numFmt w:val="decimal"/>
      <w:lvlText w:val="%5.)"/>
      <w:lvlJc w:val="left"/>
      <w:pPr>
        <w:ind w:left="3807" w:hanging="360"/>
      </w:pPr>
      <w:rPr>
        <w:rFonts w:hint="default"/>
      </w:rPr>
    </w:lvl>
    <w:lvl w:ilvl="5" w:tplc="EB187AB2">
      <w:start w:val="1"/>
      <w:numFmt w:val="upperLetter"/>
      <w:lvlText w:val="%6)"/>
      <w:lvlJc w:val="left"/>
      <w:pPr>
        <w:ind w:left="4707" w:hanging="360"/>
      </w:pPr>
      <w:rPr>
        <w:rFonts w:hint="default"/>
      </w:r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nsid w:val="20435185"/>
    <w:multiLevelType w:val="hybridMultilevel"/>
    <w:tmpl w:val="3B58F224"/>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nsid w:val="2348446B"/>
    <w:multiLevelType w:val="multilevel"/>
    <w:tmpl w:val="F8E298DA"/>
    <w:lvl w:ilvl="0">
      <w:start w:val="1"/>
      <w:numFmt w:val="decimal"/>
      <w:lvlText w:val="%1."/>
      <w:lvlJc w:val="left"/>
      <w:pPr>
        <w:ind w:left="1713" w:hanging="360"/>
      </w:pPr>
      <w:rPr>
        <w:rFonts w:hint="default"/>
        <w:color w:val="auto"/>
      </w:rPr>
    </w:lvl>
    <w:lvl w:ilvl="1">
      <w:start w:val="3"/>
      <w:numFmt w:val="decimal"/>
      <w:isLgl/>
      <w:lvlText w:val="%1.%2"/>
      <w:lvlJc w:val="left"/>
      <w:pPr>
        <w:ind w:left="1989" w:hanging="636"/>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20">
    <w:nsid w:val="297D6176"/>
    <w:multiLevelType w:val="hybridMultilevel"/>
    <w:tmpl w:val="DB805314"/>
    <w:lvl w:ilvl="0" w:tplc="04050001">
      <w:start w:val="1"/>
      <w:numFmt w:val="bullet"/>
      <w:lvlText w:val=""/>
      <w:lvlJc w:val="left"/>
      <w:pPr>
        <w:ind w:left="720" w:hanging="360"/>
      </w:pPr>
      <w:rPr>
        <w:rFonts w:ascii="Symbol" w:hAnsi="Symbol" w:hint="default"/>
      </w:rPr>
    </w:lvl>
    <w:lvl w:ilvl="1" w:tplc="159C5622">
      <w:start w:val="6"/>
      <w:numFmt w:val="bullet"/>
      <w:lvlText w:val="•"/>
      <w:lvlJc w:val="left"/>
      <w:pPr>
        <w:ind w:left="1785" w:hanging="705"/>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299C7D4C"/>
    <w:multiLevelType w:val="hybridMultilevel"/>
    <w:tmpl w:val="438E30E8"/>
    <w:lvl w:ilvl="0" w:tplc="FFFFFFFF">
      <w:start w:val="1"/>
      <w:numFmt w:val="bullet"/>
      <w:lvlText w:val=""/>
      <w:lvlJc w:val="left"/>
      <w:pPr>
        <w:tabs>
          <w:tab w:val="num" w:pos="0"/>
        </w:tabs>
        <w:ind w:left="851" w:hanging="566"/>
      </w:pPr>
      <w:rPr>
        <w:rFonts w:ascii="Symbol" w:hAnsi="Symbol" w:hint="default"/>
        <w:b w:val="0"/>
        <w:i w:val="0"/>
        <w:sz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AC87513"/>
    <w:multiLevelType w:val="multilevel"/>
    <w:tmpl w:val="455E9BF0"/>
    <w:lvl w:ilvl="0">
      <w:start w:val="1"/>
      <w:numFmt w:val="bullet"/>
      <w:lvlText w:val=""/>
      <w:lvlJc w:val="left"/>
      <w:pPr>
        <w:ind w:left="360" w:hanging="360"/>
      </w:pPr>
      <w:rPr>
        <w:rFonts w:ascii="Symbol" w:hAnsi="Symbol" w:hint="default"/>
        <w:color w:val="auto"/>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2B4367CC"/>
    <w:multiLevelType w:val="hybridMultilevel"/>
    <w:tmpl w:val="84DC53EE"/>
    <w:lvl w:ilvl="0" w:tplc="448AEB5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C921403"/>
    <w:multiLevelType w:val="hybridMultilevel"/>
    <w:tmpl w:val="0A24744E"/>
    <w:lvl w:ilvl="0" w:tplc="232CB2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E302E09"/>
    <w:multiLevelType w:val="hybridMultilevel"/>
    <w:tmpl w:val="FA1242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FC670BB"/>
    <w:multiLevelType w:val="hybridMultilevel"/>
    <w:tmpl w:val="31FC0420"/>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nsid w:val="2FDA6FA5"/>
    <w:multiLevelType w:val="hybridMultilevel"/>
    <w:tmpl w:val="B7941C42"/>
    <w:lvl w:ilvl="0" w:tplc="04050005">
      <w:start w:val="1"/>
      <w:numFmt w:val="bullet"/>
      <w:lvlText w:val=""/>
      <w:lvlJc w:val="left"/>
      <w:pPr>
        <w:tabs>
          <w:tab w:val="num" w:pos="720"/>
        </w:tabs>
        <w:ind w:left="720" w:hanging="360"/>
      </w:pPr>
      <w:rPr>
        <w:rFonts w:ascii="Wingdings" w:hAnsi="Wingdings" w:hint="default"/>
      </w:rPr>
    </w:lvl>
    <w:lvl w:ilvl="1" w:tplc="10D04B96" w:tentative="1">
      <w:start w:val="1"/>
      <w:numFmt w:val="bullet"/>
      <w:lvlText w:val="o"/>
      <w:lvlJc w:val="left"/>
      <w:pPr>
        <w:tabs>
          <w:tab w:val="num" w:pos="1440"/>
        </w:tabs>
        <w:ind w:left="1440" w:hanging="360"/>
      </w:pPr>
      <w:rPr>
        <w:rFonts w:ascii="Courier New" w:hAnsi="Courier New" w:cs="Courier New" w:hint="default"/>
      </w:rPr>
    </w:lvl>
    <w:lvl w:ilvl="2" w:tplc="3A7ABC98" w:tentative="1">
      <w:start w:val="1"/>
      <w:numFmt w:val="bullet"/>
      <w:lvlText w:val=""/>
      <w:lvlJc w:val="left"/>
      <w:pPr>
        <w:tabs>
          <w:tab w:val="num" w:pos="2160"/>
        </w:tabs>
        <w:ind w:left="2160" w:hanging="360"/>
      </w:pPr>
      <w:rPr>
        <w:rFonts w:ascii="Wingdings" w:hAnsi="Wingdings" w:hint="default"/>
      </w:rPr>
    </w:lvl>
    <w:lvl w:ilvl="3" w:tplc="9C18D8A8" w:tentative="1">
      <w:start w:val="1"/>
      <w:numFmt w:val="bullet"/>
      <w:lvlText w:val=""/>
      <w:lvlJc w:val="left"/>
      <w:pPr>
        <w:tabs>
          <w:tab w:val="num" w:pos="2880"/>
        </w:tabs>
        <w:ind w:left="2880" w:hanging="360"/>
      </w:pPr>
      <w:rPr>
        <w:rFonts w:ascii="Symbol" w:hAnsi="Symbol" w:hint="default"/>
      </w:rPr>
    </w:lvl>
    <w:lvl w:ilvl="4" w:tplc="4ADEB678" w:tentative="1">
      <w:start w:val="1"/>
      <w:numFmt w:val="bullet"/>
      <w:lvlText w:val="o"/>
      <w:lvlJc w:val="left"/>
      <w:pPr>
        <w:tabs>
          <w:tab w:val="num" w:pos="3600"/>
        </w:tabs>
        <w:ind w:left="3600" w:hanging="360"/>
      </w:pPr>
      <w:rPr>
        <w:rFonts w:ascii="Courier New" w:hAnsi="Courier New" w:cs="Courier New" w:hint="default"/>
      </w:rPr>
    </w:lvl>
    <w:lvl w:ilvl="5" w:tplc="9F1A2AFA" w:tentative="1">
      <w:start w:val="1"/>
      <w:numFmt w:val="bullet"/>
      <w:lvlText w:val=""/>
      <w:lvlJc w:val="left"/>
      <w:pPr>
        <w:tabs>
          <w:tab w:val="num" w:pos="4320"/>
        </w:tabs>
        <w:ind w:left="4320" w:hanging="360"/>
      </w:pPr>
      <w:rPr>
        <w:rFonts w:ascii="Wingdings" w:hAnsi="Wingdings" w:hint="default"/>
      </w:rPr>
    </w:lvl>
    <w:lvl w:ilvl="6" w:tplc="3BCC6E8C" w:tentative="1">
      <w:start w:val="1"/>
      <w:numFmt w:val="bullet"/>
      <w:lvlText w:val=""/>
      <w:lvlJc w:val="left"/>
      <w:pPr>
        <w:tabs>
          <w:tab w:val="num" w:pos="5040"/>
        </w:tabs>
        <w:ind w:left="5040" w:hanging="360"/>
      </w:pPr>
      <w:rPr>
        <w:rFonts w:ascii="Symbol" w:hAnsi="Symbol" w:hint="default"/>
      </w:rPr>
    </w:lvl>
    <w:lvl w:ilvl="7" w:tplc="496ACCA0" w:tentative="1">
      <w:start w:val="1"/>
      <w:numFmt w:val="bullet"/>
      <w:lvlText w:val="o"/>
      <w:lvlJc w:val="left"/>
      <w:pPr>
        <w:tabs>
          <w:tab w:val="num" w:pos="5760"/>
        </w:tabs>
        <w:ind w:left="5760" w:hanging="360"/>
      </w:pPr>
      <w:rPr>
        <w:rFonts w:ascii="Courier New" w:hAnsi="Courier New" w:cs="Courier New" w:hint="default"/>
      </w:rPr>
    </w:lvl>
    <w:lvl w:ilvl="8" w:tplc="C26C5F00" w:tentative="1">
      <w:start w:val="1"/>
      <w:numFmt w:val="bullet"/>
      <w:lvlText w:val=""/>
      <w:lvlJc w:val="left"/>
      <w:pPr>
        <w:tabs>
          <w:tab w:val="num" w:pos="6480"/>
        </w:tabs>
        <w:ind w:left="6480" w:hanging="360"/>
      </w:pPr>
      <w:rPr>
        <w:rFonts w:ascii="Wingdings" w:hAnsi="Wingdings" w:hint="default"/>
      </w:rPr>
    </w:lvl>
  </w:abstractNum>
  <w:abstractNum w:abstractNumId="28">
    <w:nsid w:val="306D0B91"/>
    <w:multiLevelType w:val="hybridMultilevel"/>
    <w:tmpl w:val="C068058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9">
    <w:nsid w:val="32825393"/>
    <w:multiLevelType w:val="hybridMultilevel"/>
    <w:tmpl w:val="46C2FB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32E11AA5"/>
    <w:multiLevelType w:val="hybridMultilevel"/>
    <w:tmpl w:val="D98689BE"/>
    <w:lvl w:ilvl="0" w:tplc="0405000B">
      <w:start w:val="1"/>
      <w:numFmt w:val="bullet"/>
      <w:lvlText w:val=""/>
      <w:lvlJc w:val="left"/>
      <w:pPr>
        <w:tabs>
          <w:tab w:val="num" w:pos="1425"/>
        </w:tabs>
        <w:ind w:left="1425" w:hanging="360"/>
      </w:pPr>
      <w:rPr>
        <w:rFonts w:ascii="Wingdings" w:hAnsi="Wingding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1">
    <w:nsid w:val="33200F97"/>
    <w:multiLevelType w:val="hybridMultilevel"/>
    <w:tmpl w:val="02829DA6"/>
    <w:lvl w:ilvl="0" w:tplc="B3762AD6">
      <w:start w:val="1"/>
      <w:numFmt w:val="bullet"/>
      <w:lvlText w:val=""/>
      <w:lvlJc w:val="left"/>
      <w:pPr>
        <w:ind w:left="1069" w:hanging="360"/>
      </w:pPr>
      <w:rPr>
        <w:rFonts w:ascii="Symbol" w:hAnsi="Symbol"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2">
    <w:nsid w:val="33CF418A"/>
    <w:multiLevelType w:val="hybridMultilevel"/>
    <w:tmpl w:val="07A81AAC"/>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3">
    <w:nsid w:val="34F96C5F"/>
    <w:multiLevelType w:val="hybridMultilevel"/>
    <w:tmpl w:val="28489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6D26518"/>
    <w:multiLevelType w:val="hybridMultilevel"/>
    <w:tmpl w:val="CFA44872"/>
    <w:lvl w:ilvl="0" w:tplc="BB3809BC">
      <w:start w:val="1"/>
      <w:numFmt w:val="decimal"/>
      <w:lvlText w:val="%1."/>
      <w:lvlJc w:val="left"/>
      <w:pPr>
        <w:ind w:left="72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9356CB5"/>
    <w:multiLevelType w:val="hybridMultilevel"/>
    <w:tmpl w:val="A46A0EE2"/>
    <w:lvl w:ilvl="0" w:tplc="572CCD48">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98F6983"/>
    <w:multiLevelType w:val="hybridMultilevel"/>
    <w:tmpl w:val="9F5631FA"/>
    <w:lvl w:ilvl="0" w:tplc="04050005">
      <w:start w:val="1"/>
      <w:numFmt w:val="bullet"/>
      <w:lvlText w:val=""/>
      <w:lvlJc w:val="left"/>
      <w:pPr>
        <w:tabs>
          <w:tab w:val="num" w:pos="720"/>
        </w:tabs>
        <w:ind w:left="720" w:hanging="360"/>
      </w:pPr>
      <w:rPr>
        <w:rFonts w:ascii="Wingdings" w:hAnsi="Wingdings" w:hint="default"/>
      </w:rPr>
    </w:lvl>
    <w:lvl w:ilvl="1" w:tplc="4B44F4D6">
      <w:start w:val="1"/>
      <w:numFmt w:val="bullet"/>
      <w:lvlText w:val="o"/>
      <w:lvlJc w:val="left"/>
      <w:pPr>
        <w:tabs>
          <w:tab w:val="num" w:pos="1440"/>
        </w:tabs>
        <w:ind w:left="1440" w:hanging="360"/>
      </w:pPr>
      <w:rPr>
        <w:rFonts w:ascii="Courier New" w:hAnsi="Courier New" w:cs="Courier New" w:hint="default"/>
      </w:rPr>
    </w:lvl>
    <w:lvl w:ilvl="2" w:tplc="37261C74" w:tentative="1">
      <w:start w:val="1"/>
      <w:numFmt w:val="bullet"/>
      <w:lvlText w:val=""/>
      <w:lvlJc w:val="left"/>
      <w:pPr>
        <w:tabs>
          <w:tab w:val="num" w:pos="2160"/>
        </w:tabs>
        <w:ind w:left="2160" w:hanging="360"/>
      </w:pPr>
      <w:rPr>
        <w:rFonts w:ascii="Wingdings" w:hAnsi="Wingdings" w:hint="default"/>
      </w:rPr>
    </w:lvl>
    <w:lvl w:ilvl="3" w:tplc="16B6A66A" w:tentative="1">
      <w:start w:val="1"/>
      <w:numFmt w:val="bullet"/>
      <w:lvlText w:val=""/>
      <w:lvlJc w:val="left"/>
      <w:pPr>
        <w:tabs>
          <w:tab w:val="num" w:pos="2880"/>
        </w:tabs>
        <w:ind w:left="2880" w:hanging="360"/>
      </w:pPr>
      <w:rPr>
        <w:rFonts w:ascii="Symbol" w:hAnsi="Symbol" w:hint="default"/>
      </w:rPr>
    </w:lvl>
    <w:lvl w:ilvl="4" w:tplc="BDD63958" w:tentative="1">
      <w:start w:val="1"/>
      <w:numFmt w:val="bullet"/>
      <w:lvlText w:val="o"/>
      <w:lvlJc w:val="left"/>
      <w:pPr>
        <w:tabs>
          <w:tab w:val="num" w:pos="3600"/>
        </w:tabs>
        <w:ind w:left="3600" w:hanging="360"/>
      </w:pPr>
      <w:rPr>
        <w:rFonts w:ascii="Courier New" w:hAnsi="Courier New" w:cs="Courier New" w:hint="default"/>
      </w:rPr>
    </w:lvl>
    <w:lvl w:ilvl="5" w:tplc="70EEB2B0" w:tentative="1">
      <w:start w:val="1"/>
      <w:numFmt w:val="bullet"/>
      <w:lvlText w:val=""/>
      <w:lvlJc w:val="left"/>
      <w:pPr>
        <w:tabs>
          <w:tab w:val="num" w:pos="4320"/>
        </w:tabs>
        <w:ind w:left="4320" w:hanging="360"/>
      </w:pPr>
      <w:rPr>
        <w:rFonts w:ascii="Wingdings" w:hAnsi="Wingdings" w:hint="default"/>
      </w:rPr>
    </w:lvl>
    <w:lvl w:ilvl="6" w:tplc="7C008490" w:tentative="1">
      <w:start w:val="1"/>
      <w:numFmt w:val="bullet"/>
      <w:lvlText w:val=""/>
      <w:lvlJc w:val="left"/>
      <w:pPr>
        <w:tabs>
          <w:tab w:val="num" w:pos="5040"/>
        </w:tabs>
        <w:ind w:left="5040" w:hanging="360"/>
      </w:pPr>
      <w:rPr>
        <w:rFonts w:ascii="Symbol" w:hAnsi="Symbol" w:hint="default"/>
      </w:rPr>
    </w:lvl>
    <w:lvl w:ilvl="7" w:tplc="2FDA1C1A" w:tentative="1">
      <w:start w:val="1"/>
      <w:numFmt w:val="bullet"/>
      <w:lvlText w:val="o"/>
      <w:lvlJc w:val="left"/>
      <w:pPr>
        <w:tabs>
          <w:tab w:val="num" w:pos="5760"/>
        </w:tabs>
        <w:ind w:left="5760" w:hanging="360"/>
      </w:pPr>
      <w:rPr>
        <w:rFonts w:ascii="Courier New" w:hAnsi="Courier New" w:cs="Courier New" w:hint="default"/>
      </w:rPr>
    </w:lvl>
    <w:lvl w:ilvl="8" w:tplc="657E283C" w:tentative="1">
      <w:start w:val="1"/>
      <w:numFmt w:val="bullet"/>
      <w:lvlText w:val=""/>
      <w:lvlJc w:val="left"/>
      <w:pPr>
        <w:tabs>
          <w:tab w:val="num" w:pos="6480"/>
        </w:tabs>
        <w:ind w:left="6480" w:hanging="360"/>
      </w:pPr>
      <w:rPr>
        <w:rFonts w:ascii="Wingdings" w:hAnsi="Wingdings" w:hint="default"/>
      </w:rPr>
    </w:lvl>
  </w:abstractNum>
  <w:abstractNum w:abstractNumId="37">
    <w:nsid w:val="3B9F0664"/>
    <w:multiLevelType w:val="hybridMultilevel"/>
    <w:tmpl w:val="48DEC4F6"/>
    <w:lvl w:ilvl="0" w:tplc="FFFFFFFF">
      <w:start w:val="1"/>
      <w:numFmt w:val="bullet"/>
      <w:lvlText w:val=""/>
      <w:lvlJc w:val="left"/>
      <w:pPr>
        <w:tabs>
          <w:tab w:val="num" w:pos="140"/>
        </w:tabs>
        <w:ind w:left="991" w:hanging="566"/>
      </w:pPr>
      <w:rPr>
        <w:rFonts w:ascii="Symbol" w:hAnsi="Symbol" w:hint="default"/>
        <w:b w:val="0"/>
        <w:i w:val="0"/>
        <w:sz w:val="24"/>
      </w:rPr>
    </w:lvl>
    <w:lvl w:ilvl="1" w:tplc="04050003" w:tentative="1">
      <w:start w:val="1"/>
      <w:numFmt w:val="bullet"/>
      <w:lvlText w:val="o"/>
      <w:lvlJc w:val="left"/>
      <w:pPr>
        <w:ind w:left="1580" w:hanging="360"/>
      </w:pPr>
      <w:rPr>
        <w:rFonts w:ascii="Courier New" w:hAnsi="Courier New" w:cs="Courier New" w:hint="default"/>
      </w:rPr>
    </w:lvl>
    <w:lvl w:ilvl="2" w:tplc="04050005" w:tentative="1">
      <w:start w:val="1"/>
      <w:numFmt w:val="bullet"/>
      <w:lvlText w:val=""/>
      <w:lvlJc w:val="left"/>
      <w:pPr>
        <w:ind w:left="2300" w:hanging="360"/>
      </w:pPr>
      <w:rPr>
        <w:rFonts w:ascii="Wingdings" w:hAnsi="Wingdings" w:hint="default"/>
      </w:rPr>
    </w:lvl>
    <w:lvl w:ilvl="3" w:tplc="04050001" w:tentative="1">
      <w:start w:val="1"/>
      <w:numFmt w:val="bullet"/>
      <w:lvlText w:val=""/>
      <w:lvlJc w:val="left"/>
      <w:pPr>
        <w:ind w:left="3020" w:hanging="360"/>
      </w:pPr>
      <w:rPr>
        <w:rFonts w:ascii="Symbol" w:hAnsi="Symbol" w:hint="default"/>
      </w:rPr>
    </w:lvl>
    <w:lvl w:ilvl="4" w:tplc="04050003" w:tentative="1">
      <w:start w:val="1"/>
      <w:numFmt w:val="bullet"/>
      <w:lvlText w:val="o"/>
      <w:lvlJc w:val="left"/>
      <w:pPr>
        <w:ind w:left="3740" w:hanging="360"/>
      </w:pPr>
      <w:rPr>
        <w:rFonts w:ascii="Courier New" w:hAnsi="Courier New" w:cs="Courier New" w:hint="default"/>
      </w:rPr>
    </w:lvl>
    <w:lvl w:ilvl="5" w:tplc="04050005" w:tentative="1">
      <w:start w:val="1"/>
      <w:numFmt w:val="bullet"/>
      <w:lvlText w:val=""/>
      <w:lvlJc w:val="left"/>
      <w:pPr>
        <w:ind w:left="4460" w:hanging="360"/>
      </w:pPr>
      <w:rPr>
        <w:rFonts w:ascii="Wingdings" w:hAnsi="Wingdings" w:hint="default"/>
      </w:rPr>
    </w:lvl>
    <w:lvl w:ilvl="6" w:tplc="04050001" w:tentative="1">
      <w:start w:val="1"/>
      <w:numFmt w:val="bullet"/>
      <w:lvlText w:val=""/>
      <w:lvlJc w:val="left"/>
      <w:pPr>
        <w:ind w:left="5180" w:hanging="360"/>
      </w:pPr>
      <w:rPr>
        <w:rFonts w:ascii="Symbol" w:hAnsi="Symbol" w:hint="default"/>
      </w:rPr>
    </w:lvl>
    <w:lvl w:ilvl="7" w:tplc="04050003" w:tentative="1">
      <w:start w:val="1"/>
      <w:numFmt w:val="bullet"/>
      <w:lvlText w:val="o"/>
      <w:lvlJc w:val="left"/>
      <w:pPr>
        <w:ind w:left="5900" w:hanging="360"/>
      </w:pPr>
      <w:rPr>
        <w:rFonts w:ascii="Courier New" w:hAnsi="Courier New" w:cs="Courier New" w:hint="default"/>
      </w:rPr>
    </w:lvl>
    <w:lvl w:ilvl="8" w:tplc="04050005" w:tentative="1">
      <w:start w:val="1"/>
      <w:numFmt w:val="bullet"/>
      <w:lvlText w:val=""/>
      <w:lvlJc w:val="left"/>
      <w:pPr>
        <w:ind w:left="6620" w:hanging="360"/>
      </w:pPr>
      <w:rPr>
        <w:rFonts w:ascii="Wingdings" w:hAnsi="Wingdings" w:hint="default"/>
      </w:rPr>
    </w:lvl>
  </w:abstractNum>
  <w:abstractNum w:abstractNumId="38">
    <w:nsid w:val="4304421F"/>
    <w:multiLevelType w:val="hybridMultilevel"/>
    <w:tmpl w:val="D63C7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46357B2"/>
    <w:multiLevelType w:val="hybridMultilevel"/>
    <w:tmpl w:val="2DE61F30"/>
    <w:lvl w:ilvl="0" w:tplc="E2D6E9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7641ADF"/>
    <w:multiLevelType w:val="hybridMultilevel"/>
    <w:tmpl w:val="47722DD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1">
    <w:nsid w:val="48633F08"/>
    <w:multiLevelType w:val="hybridMultilevel"/>
    <w:tmpl w:val="0CD24420"/>
    <w:lvl w:ilvl="0" w:tplc="C74082FE">
      <w:start w:val="1"/>
      <w:numFmt w:val="bullet"/>
      <w:lvlText w:val=""/>
      <w:lvlJc w:val="left"/>
      <w:pPr>
        <w:tabs>
          <w:tab w:val="num" w:pos="501"/>
        </w:tabs>
        <w:ind w:left="501"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nsid w:val="498A7A10"/>
    <w:multiLevelType w:val="hybridMultilevel"/>
    <w:tmpl w:val="30C0A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CA04EA8"/>
    <w:multiLevelType w:val="hybridMultilevel"/>
    <w:tmpl w:val="C46864A2"/>
    <w:lvl w:ilvl="0" w:tplc="1FD48362">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D712F29"/>
    <w:multiLevelType w:val="hybridMultilevel"/>
    <w:tmpl w:val="827C60B4"/>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4DEB6955"/>
    <w:multiLevelType w:val="hybridMultilevel"/>
    <w:tmpl w:val="CC6017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4E93218A"/>
    <w:multiLevelType w:val="hybridMultilevel"/>
    <w:tmpl w:val="42A29986"/>
    <w:lvl w:ilvl="0" w:tplc="D07CACFE">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19923E8"/>
    <w:multiLevelType w:val="hybridMultilevel"/>
    <w:tmpl w:val="668CA252"/>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8">
    <w:nsid w:val="51DB0D28"/>
    <w:multiLevelType w:val="hybridMultilevel"/>
    <w:tmpl w:val="F716B2E8"/>
    <w:lvl w:ilvl="0" w:tplc="7A96670A">
      <w:start w:val="1"/>
      <w:numFmt w:val="bullet"/>
      <w:lvlText w:val="-"/>
      <w:lvlJc w:val="left"/>
      <w:pPr>
        <w:ind w:left="720" w:hanging="360"/>
      </w:pPr>
      <w:rPr>
        <w:rFonts w:ascii="Times New Roman" w:eastAsia="Times New Roman" w:hAnsi="Times New Roman" w:cs="Times New Roman" w:hint="default"/>
      </w:rPr>
    </w:lvl>
    <w:lvl w:ilvl="1" w:tplc="97E0F33C">
      <w:start w:val="3"/>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3605DBF"/>
    <w:multiLevelType w:val="hybridMultilevel"/>
    <w:tmpl w:val="B8B2F95E"/>
    <w:lvl w:ilvl="0" w:tplc="11B6D1AC">
      <w:start w:val="1"/>
      <w:numFmt w:val="bullet"/>
      <w:lvlText w:val=""/>
      <w:lvlJc w:val="left"/>
      <w:pPr>
        <w:ind w:left="786"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37322BC"/>
    <w:multiLevelType w:val="hybridMultilevel"/>
    <w:tmpl w:val="3BAEF2B6"/>
    <w:lvl w:ilvl="0" w:tplc="F418D146">
      <w:start w:val="1"/>
      <w:numFmt w:val="bullet"/>
      <w:lvlText w:val=""/>
      <w:lvlJc w:val="left"/>
      <w:pPr>
        <w:ind w:left="720" w:hanging="360"/>
      </w:pPr>
      <w:rPr>
        <w:rFonts w:ascii="Symbol" w:hAnsi="Symbol" w:hint="default"/>
        <w:b w:val="0"/>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552940F6"/>
    <w:multiLevelType w:val="hybridMultilevel"/>
    <w:tmpl w:val="2CFE7A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5561D5B"/>
    <w:multiLevelType w:val="hybridMultilevel"/>
    <w:tmpl w:val="A1663AE4"/>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3">
    <w:nsid w:val="573F5FA4"/>
    <w:multiLevelType w:val="hybridMultilevel"/>
    <w:tmpl w:val="5BE0F61A"/>
    <w:lvl w:ilvl="0" w:tplc="148467C8">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4">
    <w:nsid w:val="593D338E"/>
    <w:multiLevelType w:val="hybridMultilevel"/>
    <w:tmpl w:val="3E5A811C"/>
    <w:lvl w:ilvl="0" w:tplc="04050005">
      <w:start w:val="1"/>
      <w:numFmt w:val="bullet"/>
      <w:lvlText w:val=""/>
      <w:lvlJc w:val="left"/>
      <w:pPr>
        <w:tabs>
          <w:tab w:val="num" w:pos="720"/>
        </w:tabs>
        <w:ind w:left="720" w:hanging="360"/>
      </w:pPr>
      <w:rPr>
        <w:rFonts w:ascii="Wingdings" w:hAnsi="Wingdings" w:hint="default"/>
      </w:rPr>
    </w:lvl>
    <w:lvl w:ilvl="1" w:tplc="62606668" w:tentative="1">
      <w:start w:val="1"/>
      <w:numFmt w:val="bullet"/>
      <w:lvlText w:val="o"/>
      <w:lvlJc w:val="left"/>
      <w:pPr>
        <w:tabs>
          <w:tab w:val="num" w:pos="1440"/>
        </w:tabs>
        <w:ind w:left="1440" w:hanging="360"/>
      </w:pPr>
      <w:rPr>
        <w:rFonts w:ascii="Courier New" w:hAnsi="Courier New" w:cs="Courier New" w:hint="default"/>
      </w:rPr>
    </w:lvl>
    <w:lvl w:ilvl="2" w:tplc="3824377A" w:tentative="1">
      <w:start w:val="1"/>
      <w:numFmt w:val="bullet"/>
      <w:lvlText w:val=""/>
      <w:lvlJc w:val="left"/>
      <w:pPr>
        <w:tabs>
          <w:tab w:val="num" w:pos="2160"/>
        </w:tabs>
        <w:ind w:left="2160" w:hanging="360"/>
      </w:pPr>
      <w:rPr>
        <w:rFonts w:ascii="Wingdings" w:hAnsi="Wingdings" w:hint="default"/>
      </w:rPr>
    </w:lvl>
    <w:lvl w:ilvl="3" w:tplc="AE94F164" w:tentative="1">
      <w:start w:val="1"/>
      <w:numFmt w:val="bullet"/>
      <w:lvlText w:val=""/>
      <w:lvlJc w:val="left"/>
      <w:pPr>
        <w:tabs>
          <w:tab w:val="num" w:pos="2880"/>
        </w:tabs>
        <w:ind w:left="2880" w:hanging="360"/>
      </w:pPr>
      <w:rPr>
        <w:rFonts w:ascii="Symbol" w:hAnsi="Symbol" w:hint="default"/>
      </w:rPr>
    </w:lvl>
    <w:lvl w:ilvl="4" w:tplc="3056CC44" w:tentative="1">
      <w:start w:val="1"/>
      <w:numFmt w:val="bullet"/>
      <w:lvlText w:val="o"/>
      <w:lvlJc w:val="left"/>
      <w:pPr>
        <w:tabs>
          <w:tab w:val="num" w:pos="3600"/>
        </w:tabs>
        <w:ind w:left="3600" w:hanging="360"/>
      </w:pPr>
      <w:rPr>
        <w:rFonts w:ascii="Courier New" w:hAnsi="Courier New" w:cs="Courier New" w:hint="default"/>
      </w:rPr>
    </w:lvl>
    <w:lvl w:ilvl="5" w:tplc="E47C0214" w:tentative="1">
      <w:start w:val="1"/>
      <w:numFmt w:val="bullet"/>
      <w:lvlText w:val=""/>
      <w:lvlJc w:val="left"/>
      <w:pPr>
        <w:tabs>
          <w:tab w:val="num" w:pos="4320"/>
        </w:tabs>
        <w:ind w:left="4320" w:hanging="360"/>
      </w:pPr>
      <w:rPr>
        <w:rFonts w:ascii="Wingdings" w:hAnsi="Wingdings" w:hint="default"/>
      </w:rPr>
    </w:lvl>
    <w:lvl w:ilvl="6" w:tplc="20B06DA6" w:tentative="1">
      <w:start w:val="1"/>
      <w:numFmt w:val="bullet"/>
      <w:lvlText w:val=""/>
      <w:lvlJc w:val="left"/>
      <w:pPr>
        <w:tabs>
          <w:tab w:val="num" w:pos="5040"/>
        </w:tabs>
        <w:ind w:left="5040" w:hanging="360"/>
      </w:pPr>
      <w:rPr>
        <w:rFonts w:ascii="Symbol" w:hAnsi="Symbol" w:hint="default"/>
      </w:rPr>
    </w:lvl>
    <w:lvl w:ilvl="7" w:tplc="07E41E60" w:tentative="1">
      <w:start w:val="1"/>
      <w:numFmt w:val="bullet"/>
      <w:lvlText w:val="o"/>
      <w:lvlJc w:val="left"/>
      <w:pPr>
        <w:tabs>
          <w:tab w:val="num" w:pos="5760"/>
        </w:tabs>
        <w:ind w:left="5760" w:hanging="360"/>
      </w:pPr>
      <w:rPr>
        <w:rFonts w:ascii="Courier New" w:hAnsi="Courier New" w:cs="Courier New" w:hint="default"/>
      </w:rPr>
    </w:lvl>
    <w:lvl w:ilvl="8" w:tplc="C5608262" w:tentative="1">
      <w:start w:val="1"/>
      <w:numFmt w:val="bullet"/>
      <w:lvlText w:val=""/>
      <w:lvlJc w:val="left"/>
      <w:pPr>
        <w:tabs>
          <w:tab w:val="num" w:pos="6480"/>
        </w:tabs>
        <w:ind w:left="6480" w:hanging="360"/>
      </w:pPr>
      <w:rPr>
        <w:rFonts w:ascii="Wingdings" w:hAnsi="Wingdings" w:hint="default"/>
      </w:rPr>
    </w:lvl>
  </w:abstractNum>
  <w:abstractNum w:abstractNumId="55">
    <w:nsid w:val="5A802E45"/>
    <w:multiLevelType w:val="multilevel"/>
    <w:tmpl w:val="9192382A"/>
    <w:lvl w:ilvl="0">
      <w:start w:val="1"/>
      <w:numFmt w:val="upperLetter"/>
      <w:pStyle w:val="Nadpis1"/>
      <w:lvlText w:val="%1"/>
      <w:lvlJc w:val="left"/>
      <w:pPr>
        <w:ind w:left="432" w:hanging="432"/>
      </w:pPr>
      <w:rPr>
        <w:rFonts w:hint="default"/>
      </w:rPr>
    </w:lvl>
    <w:lvl w:ilvl="1">
      <w:start w:val="1"/>
      <w:numFmt w:val="upperRoman"/>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6">
    <w:nsid w:val="5C2F4B62"/>
    <w:multiLevelType w:val="hybridMultilevel"/>
    <w:tmpl w:val="7CF413B6"/>
    <w:lvl w:ilvl="0" w:tplc="04050017">
      <w:start w:val="1"/>
      <w:numFmt w:val="lowerLetter"/>
      <w:lvlText w:val="%1)"/>
      <w:lvlJc w:val="left"/>
      <w:pPr>
        <w:ind w:left="785" w:hanging="360"/>
      </w:pPr>
      <w:rPr>
        <w:rFonts w:hint="default"/>
        <w:i w:val="0"/>
      </w:rPr>
    </w:lvl>
    <w:lvl w:ilvl="1" w:tplc="F4062232">
      <w:numFmt w:val="bullet"/>
      <w:lvlText w:val="•"/>
      <w:lvlJc w:val="left"/>
      <w:pPr>
        <w:ind w:left="2210" w:hanging="705"/>
      </w:pPr>
      <w:rPr>
        <w:rFonts w:ascii="Times New Roman" w:eastAsia="Times New Roman" w:hAnsi="Times New Roman" w:cs="Times New Roman" w:hint="default"/>
      </w:rPr>
    </w:lvl>
    <w:lvl w:ilvl="2" w:tplc="04050017">
      <w:start w:val="1"/>
      <w:numFmt w:val="lowerLetter"/>
      <w:lvlText w:val="%3)"/>
      <w:lvlJc w:val="lef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nsid w:val="5DB93A0B"/>
    <w:multiLevelType w:val="hybridMultilevel"/>
    <w:tmpl w:val="6610F446"/>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8">
    <w:nsid w:val="61C0547A"/>
    <w:multiLevelType w:val="hybridMultilevel"/>
    <w:tmpl w:val="01D80170"/>
    <w:lvl w:ilvl="0" w:tplc="04050001">
      <w:start w:val="1"/>
      <w:numFmt w:val="bullet"/>
      <w:lvlText w:val=""/>
      <w:lvlJc w:val="left"/>
      <w:pPr>
        <w:tabs>
          <w:tab w:val="num" w:pos="644"/>
        </w:tabs>
        <w:ind w:left="644" w:hanging="360"/>
      </w:pPr>
      <w:rPr>
        <w:rFonts w:ascii="Symbol" w:hAnsi="Symbol" w:hint="default"/>
      </w:rPr>
    </w:lvl>
    <w:lvl w:ilvl="1" w:tplc="04050001">
      <w:start w:val="1"/>
      <w:numFmt w:val="bullet"/>
      <w:lvlText w:val=""/>
      <w:lvlJc w:val="left"/>
      <w:pPr>
        <w:tabs>
          <w:tab w:val="num" w:pos="1364"/>
        </w:tabs>
        <w:ind w:left="1364" w:hanging="360"/>
      </w:pPr>
      <w:rPr>
        <w:rFonts w:ascii="Symbol" w:hAnsi="Symbol" w:hint="default"/>
      </w:rPr>
    </w:lvl>
    <w:lvl w:ilvl="2" w:tplc="0405001B">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59">
    <w:nsid w:val="62D67B80"/>
    <w:multiLevelType w:val="hybridMultilevel"/>
    <w:tmpl w:val="05947F6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
    <w:nsid w:val="64A97653"/>
    <w:multiLevelType w:val="hybridMultilevel"/>
    <w:tmpl w:val="401827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1">
    <w:nsid w:val="653C72EE"/>
    <w:multiLevelType w:val="hybridMultilevel"/>
    <w:tmpl w:val="5EAA16E8"/>
    <w:lvl w:ilvl="0" w:tplc="7A96670A">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67516D87"/>
    <w:multiLevelType w:val="hybridMultilevel"/>
    <w:tmpl w:val="64E07CCA"/>
    <w:lvl w:ilvl="0" w:tplc="93ACCBB4">
      <w:start w:val="1"/>
      <w:numFmt w:val="lowerLetter"/>
      <w:lvlText w:val="%1)"/>
      <w:lvlJc w:val="left"/>
      <w:pPr>
        <w:ind w:left="927" w:hanging="360"/>
      </w:pPr>
      <w:rPr>
        <w:rFonts w:hint="default"/>
      </w:rPr>
    </w:lvl>
    <w:lvl w:ilvl="1" w:tplc="04050001">
      <w:start w:val="1"/>
      <w:numFmt w:val="bullet"/>
      <w:lvlText w:val=""/>
      <w:lvlJc w:val="left"/>
      <w:pPr>
        <w:ind w:left="1647" w:hanging="360"/>
      </w:pPr>
      <w:rPr>
        <w:rFonts w:ascii="Symbol" w:hAnsi="Symbol" w:hint="default"/>
      </w:rPr>
    </w:lvl>
    <w:lvl w:ilvl="2" w:tplc="04050001">
      <w:start w:val="1"/>
      <w:numFmt w:val="bullet"/>
      <w:lvlText w:val=""/>
      <w:lvlJc w:val="left"/>
      <w:pPr>
        <w:ind w:left="2367" w:hanging="180"/>
      </w:pPr>
      <w:rPr>
        <w:rFonts w:ascii="Symbol" w:hAnsi="Symbol" w:hint="default"/>
      </w:r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3">
    <w:nsid w:val="677B2C95"/>
    <w:multiLevelType w:val="hybridMultilevel"/>
    <w:tmpl w:val="FC98F0FE"/>
    <w:lvl w:ilvl="0" w:tplc="7A96670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7B71EE9"/>
    <w:multiLevelType w:val="hybridMultilevel"/>
    <w:tmpl w:val="415AA3A2"/>
    <w:lvl w:ilvl="0" w:tplc="F628DCE0">
      <w:start w:val="1"/>
      <w:numFmt w:val="bullet"/>
      <w:lvlText w:val=""/>
      <w:lvlJc w:val="left"/>
      <w:pPr>
        <w:ind w:left="1070" w:hanging="360"/>
      </w:pPr>
      <w:rPr>
        <w:rFonts w:ascii="Symbol" w:hAnsi="Symbol" w:hint="default"/>
        <w:color w:val="auto"/>
      </w:rPr>
    </w:lvl>
    <w:lvl w:ilvl="1" w:tplc="04050003">
      <w:start w:val="1"/>
      <w:numFmt w:val="bullet"/>
      <w:lvlText w:val="o"/>
      <w:lvlJc w:val="left"/>
      <w:pPr>
        <w:ind w:left="7275" w:hanging="360"/>
      </w:pPr>
      <w:rPr>
        <w:rFonts w:ascii="Courier New" w:hAnsi="Courier New" w:cs="Courier New" w:hint="default"/>
      </w:rPr>
    </w:lvl>
    <w:lvl w:ilvl="2" w:tplc="04050005" w:tentative="1">
      <w:start w:val="1"/>
      <w:numFmt w:val="bullet"/>
      <w:lvlText w:val=""/>
      <w:lvlJc w:val="left"/>
      <w:pPr>
        <w:ind w:left="7995" w:hanging="360"/>
      </w:pPr>
      <w:rPr>
        <w:rFonts w:ascii="Wingdings" w:hAnsi="Wingdings" w:hint="default"/>
      </w:rPr>
    </w:lvl>
    <w:lvl w:ilvl="3" w:tplc="04050001" w:tentative="1">
      <w:start w:val="1"/>
      <w:numFmt w:val="bullet"/>
      <w:lvlText w:val=""/>
      <w:lvlJc w:val="left"/>
      <w:pPr>
        <w:ind w:left="8715" w:hanging="360"/>
      </w:pPr>
      <w:rPr>
        <w:rFonts w:ascii="Symbol" w:hAnsi="Symbol" w:hint="default"/>
      </w:rPr>
    </w:lvl>
    <w:lvl w:ilvl="4" w:tplc="04050003" w:tentative="1">
      <w:start w:val="1"/>
      <w:numFmt w:val="bullet"/>
      <w:lvlText w:val="o"/>
      <w:lvlJc w:val="left"/>
      <w:pPr>
        <w:ind w:left="9435" w:hanging="360"/>
      </w:pPr>
      <w:rPr>
        <w:rFonts w:ascii="Courier New" w:hAnsi="Courier New" w:cs="Courier New" w:hint="default"/>
      </w:rPr>
    </w:lvl>
    <w:lvl w:ilvl="5" w:tplc="04050005" w:tentative="1">
      <w:start w:val="1"/>
      <w:numFmt w:val="bullet"/>
      <w:lvlText w:val=""/>
      <w:lvlJc w:val="left"/>
      <w:pPr>
        <w:ind w:left="10155" w:hanging="360"/>
      </w:pPr>
      <w:rPr>
        <w:rFonts w:ascii="Wingdings" w:hAnsi="Wingdings" w:hint="default"/>
      </w:rPr>
    </w:lvl>
    <w:lvl w:ilvl="6" w:tplc="04050001" w:tentative="1">
      <w:start w:val="1"/>
      <w:numFmt w:val="bullet"/>
      <w:lvlText w:val=""/>
      <w:lvlJc w:val="left"/>
      <w:pPr>
        <w:ind w:left="10875" w:hanging="360"/>
      </w:pPr>
      <w:rPr>
        <w:rFonts w:ascii="Symbol" w:hAnsi="Symbol" w:hint="default"/>
      </w:rPr>
    </w:lvl>
    <w:lvl w:ilvl="7" w:tplc="04050003" w:tentative="1">
      <w:start w:val="1"/>
      <w:numFmt w:val="bullet"/>
      <w:lvlText w:val="o"/>
      <w:lvlJc w:val="left"/>
      <w:pPr>
        <w:ind w:left="11595" w:hanging="360"/>
      </w:pPr>
      <w:rPr>
        <w:rFonts w:ascii="Courier New" w:hAnsi="Courier New" w:cs="Courier New" w:hint="default"/>
      </w:rPr>
    </w:lvl>
    <w:lvl w:ilvl="8" w:tplc="04050005" w:tentative="1">
      <w:start w:val="1"/>
      <w:numFmt w:val="bullet"/>
      <w:lvlText w:val=""/>
      <w:lvlJc w:val="left"/>
      <w:pPr>
        <w:ind w:left="12315" w:hanging="360"/>
      </w:pPr>
      <w:rPr>
        <w:rFonts w:ascii="Wingdings" w:hAnsi="Wingdings" w:hint="default"/>
      </w:rPr>
    </w:lvl>
  </w:abstractNum>
  <w:abstractNum w:abstractNumId="65">
    <w:nsid w:val="69650B7A"/>
    <w:multiLevelType w:val="hybridMultilevel"/>
    <w:tmpl w:val="4DDEA042"/>
    <w:lvl w:ilvl="0" w:tplc="A8D0DCD8">
      <w:start w:val="1"/>
      <w:numFmt w:val="decimal"/>
      <w:lvlText w:val="%1)"/>
      <w:lvlJc w:val="left"/>
      <w:pPr>
        <w:ind w:left="3087" w:hanging="360"/>
      </w:pPr>
      <w:rPr>
        <w:rFonts w:hint="default"/>
        <w:i w:val="0"/>
      </w:rPr>
    </w:lvl>
    <w:lvl w:ilvl="1" w:tplc="F4062232">
      <w:numFmt w:val="bullet"/>
      <w:lvlText w:val="•"/>
      <w:lvlJc w:val="left"/>
      <w:pPr>
        <w:ind w:left="1785" w:hanging="705"/>
      </w:pPr>
      <w:rPr>
        <w:rFonts w:ascii="Times New Roman" w:eastAsia="Times New Roman"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nsid w:val="6BF857AA"/>
    <w:multiLevelType w:val="hybridMultilevel"/>
    <w:tmpl w:val="AE2665A8"/>
    <w:lvl w:ilvl="0" w:tplc="04050001">
      <w:start w:val="1"/>
      <w:numFmt w:val="bullet"/>
      <w:lvlText w:val=""/>
      <w:lvlJc w:val="left"/>
      <w:pPr>
        <w:ind w:left="643"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C2212BC"/>
    <w:multiLevelType w:val="hybridMultilevel"/>
    <w:tmpl w:val="9FCE2FBC"/>
    <w:lvl w:ilvl="0" w:tplc="CFD25208">
      <w:start w:val="1"/>
      <w:numFmt w:val="bullet"/>
      <w:pStyle w:val="odr1"/>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73F262CD"/>
    <w:multiLevelType w:val="hybridMultilevel"/>
    <w:tmpl w:val="61D82C1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9">
    <w:nsid w:val="764A538E"/>
    <w:multiLevelType w:val="hybridMultilevel"/>
    <w:tmpl w:val="5BB6ED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0">
    <w:nsid w:val="766C6ADF"/>
    <w:multiLevelType w:val="singleLevel"/>
    <w:tmpl w:val="8A903A6C"/>
    <w:lvl w:ilvl="0">
      <w:start w:val="1"/>
      <w:numFmt w:val="lowerLetter"/>
      <w:pStyle w:val="Textpsmene"/>
      <w:lvlText w:val="%1)"/>
      <w:lvlJc w:val="left"/>
      <w:pPr>
        <w:tabs>
          <w:tab w:val="num" w:pos="360"/>
        </w:tabs>
        <w:ind w:left="360" w:hanging="360"/>
      </w:pPr>
    </w:lvl>
  </w:abstractNum>
  <w:abstractNum w:abstractNumId="71">
    <w:nsid w:val="7CAB0009"/>
    <w:multiLevelType w:val="hybridMultilevel"/>
    <w:tmpl w:val="E99C9ADA"/>
    <w:lvl w:ilvl="0" w:tplc="B4080F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DCA036C"/>
    <w:multiLevelType w:val="hybridMultilevel"/>
    <w:tmpl w:val="CE064BFC"/>
    <w:lvl w:ilvl="0" w:tplc="04050001">
      <w:start w:val="1"/>
      <w:numFmt w:val="bullet"/>
      <w:lvlText w:val=""/>
      <w:lvlJc w:val="left"/>
      <w:pPr>
        <w:ind w:left="1428" w:hanging="360"/>
      </w:pPr>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3">
    <w:nsid w:val="7E3800BD"/>
    <w:multiLevelType w:val="hybridMultilevel"/>
    <w:tmpl w:val="4CB0793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74">
    <w:nsid w:val="7EC22A01"/>
    <w:multiLevelType w:val="hybridMultilevel"/>
    <w:tmpl w:val="C70A6D7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2DEDC64">
      <w:start w:val="1"/>
      <w:numFmt w:val="decimal"/>
      <w:lvlText w:val="%3"/>
      <w:lvlJc w:val="left"/>
      <w:pPr>
        <w:ind w:left="2340" w:hanging="360"/>
      </w:pPr>
      <w:rPr>
        <w:rFonts w:hint="default"/>
      </w:rPr>
    </w:lvl>
    <w:lvl w:ilvl="3" w:tplc="88325682">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7FDB40DB"/>
    <w:multiLevelType w:val="hybridMultilevel"/>
    <w:tmpl w:val="4BDCB19E"/>
    <w:lvl w:ilvl="0" w:tplc="61BCD4EE">
      <w:start w:val="66"/>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1"/>
  </w:num>
  <w:num w:numId="2">
    <w:abstractNumId w:val="67"/>
  </w:num>
  <w:num w:numId="3">
    <w:abstractNumId w:val="27"/>
  </w:num>
  <w:num w:numId="4">
    <w:abstractNumId w:val="36"/>
  </w:num>
  <w:num w:numId="5">
    <w:abstractNumId w:val="54"/>
  </w:num>
  <w:num w:numId="6">
    <w:abstractNumId w:val="53"/>
  </w:num>
  <w:num w:numId="7">
    <w:abstractNumId w:val="29"/>
  </w:num>
  <w:num w:numId="8">
    <w:abstractNumId w:val="41"/>
  </w:num>
  <w:num w:numId="9">
    <w:abstractNumId w:val="42"/>
  </w:num>
  <w:num w:numId="10">
    <w:abstractNumId w:val="38"/>
  </w:num>
  <w:num w:numId="11">
    <w:abstractNumId w:val="68"/>
  </w:num>
  <w:num w:numId="12">
    <w:abstractNumId w:val="74"/>
  </w:num>
  <w:num w:numId="13">
    <w:abstractNumId w:val="37"/>
  </w:num>
  <w:num w:numId="14">
    <w:abstractNumId w:val="59"/>
  </w:num>
  <w:num w:numId="15">
    <w:abstractNumId w:val="13"/>
  </w:num>
  <w:num w:numId="16">
    <w:abstractNumId w:val="18"/>
  </w:num>
  <w:num w:numId="17">
    <w:abstractNumId w:val="7"/>
  </w:num>
  <w:num w:numId="18">
    <w:abstractNumId w:val="46"/>
  </w:num>
  <w:num w:numId="19">
    <w:abstractNumId w:val="25"/>
  </w:num>
  <w:num w:numId="20">
    <w:abstractNumId w:val="75"/>
  </w:num>
  <w:num w:numId="21">
    <w:abstractNumId w:val="26"/>
  </w:num>
  <w:num w:numId="22">
    <w:abstractNumId w:val="62"/>
  </w:num>
  <w:num w:numId="23">
    <w:abstractNumId w:val="3"/>
  </w:num>
  <w:num w:numId="24">
    <w:abstractNumId w:val="17"/>
  </w:num>
  <w:num w:numId="25">
    <w:abstractNumId w:val="57"/>
  </w:num>
  <w:num w:numId="26">
    <w:abstractNumId w:val="34"/>
  </w:num>
  <w:num w:numId="27">
    <w:abstractNumId w:val="55"/>
  </w:num>
  <w:num w:numId="28">
    <w:abstractNumId w:val="65"/>
  </w:num>
  <w:num w:numId="29">
    <w:abstractNumId w:val="23"/>
  </w:num>
  <w:num w:numId="30">
    <w:abstractNumId w:val="71"/>
  </w:num>
  <w:num w:numId="31">
    <w:abstractNumId w:val="70"/>
  </w:num>
  <w:num w:numId="32">
    <w:abstractNumId w:val="64"/>
  </w:num>
  <w:num w:numId="33">
    <w:abstractNumId w:val="2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6"/>
  </w:num>
  <w:num w:numId="36">
    <w:abstractNumId w:val="31"/>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8"/>
  </w:num>
  <w:num w:numId="41">
    <w:abstractNumId w:val="52"/>
  </w:num>
  <w:num w:numId="42">
    <w:abstractNumId w:val="72"/>
  </w:num>
  <w:num w:numId="43">
    <w:abstractNumId w:val="44"/>
  </w:num>
  <w:num w:numId="44">
    <w:abstractNumId w:val="58"/>
  </w:num>
  <w:num w:numId="45">
    <w:abstractNumId w:val="69"/>
  </w:num>
  <w:num w:numId="46">
    <w:abstractNumId w:val="6"/>
  </w:num>
  <w:num w:numId="47">
    <w:abstractNumId w:val="60"/>
  </w:num>
  <w:num w:numId="48">
    <w:abstractNumId w:val="49"/>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32"/>
  </w:num>
  <w:num w:numId="52">
    <w:abstractNumId w:val="63"/>
  </w:num>
  <w:num w:numId="53">
    <w:abstractNumId w:val="0"/>
  </w:num>
  <w:num w:numId="54">
    <w:abstractNumId w:val="4"/>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3"/>
  </w:num>
  <w:num w:numId="57">
    <w:abstractNumId w:val="14"/>
  </w:num>
  <w:num w:numId="58">
    <w:abstractNumId w:val="30"/>
  </w:num>
  <w:num w:numId="59">
    <w:abstractNumId w:val="1"/>
  </w:num>
  <w:num w:numId="60">
    <w:abstractNumId w:val="20"/>
  </w:num>
  <w:num w:numId="61">
    <w:abstractNumId w:val="61"/>
  </w:num>
  <w:num w:numId="62">
    <w:abstractNumId w:val="10"/>
  </w:num>
  <w:num w:numId="63">
    <w:abstractNumId w:val="48"/>
  </w:num>
  <w:num w:numId="64">
    <w:abstractNumId w:val="51"/>
  </w:num>
  <w:num w:numId="65">
    <w:abstractNumId w:val="24"/>
  </w:num>
  <w:num w:numId="66">
    <w:abstractNumId w:val="12"/>
  </w:num>
  <w:num w:numId="67">
    <w:abstractNumId w:val="50"/>
  </w:num>
  <w:num w:numId="68">
    <w:abstractNumId w:val="5"/>
  </w:num>
  <w:num w:numId="69">
    <w:abstractNumId w:val="19"/>
  </w:num>
  <w:num w:numId="70">
    <w:abstractNumId w:val="56"/>
  </w:num>
  <w:num w:numId="71">
    <w:abstractNumId w:val="11"/>
  </w:num>
  <w:num w:numId="72">
    <w:abstractNumId w:val="2"/>
  </w:num>
  <w:num w:numId="73">
    <w:abstractNumId w:val="35"/>
  </w:num>
  <w:num w:numId="74">
    <w:abstractNumId w:val="66"/>
  </w:num>
  <w:num w:numId="75">
    <w:abstractNumId w:val="43"/>
  </w:num>
  <w:num w:numId="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8"/>
  </w:num>
  <w:num w:numId="78">
    <w:abstractNumId w:val="47"/>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řeček Pavel">
    <w15:presenceInfo w15:providerId="AD" w15:userId="S-1-5-21-1024343765-948047755-1557874966-2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5C"/>
    <w:rsid w:val="000004FA"/>
    <w:rsid w:val="00000747"/>
    <w:rsid w:val="0000128F"/>
    <w:rsid w:val="00001AA1"/>
    <w:rsid w:val="00001C56"/>
    <w:rsid w:val="00001F44"/>
    <w:rsid w:val="00001FCF"/>
    <w:rsid w:val="0000211E"/>
    <w:rsid w:val="00002491"/>
    <w:rsid w:val="00002951"/>
    <w:rsid w:val="00002ABE"/>
    <w:rsid w:val="00002CC7"/>
    <w:rsid w:val="00002D49"/>
    <w:rsid w:val="000030C6"/>
    <w:rsid w:val="00003168"/>
    <w:rsid w:val="0000353E"/>
    <w:rsid w:val="00003DE3"/>
    <w:rsid w:val="0000408C"/>
    <w:rsid w:val="000047FC"/>
    <w:rsid w:val="00004D9A"/>
    <w:rsid w:val="00005192"/>
    <w:rsid w:val="00005531"/>
    <w:rsid w:val="00006C40"/>
    <w:rsid w:val="00006D96"/>
    <w:rsid w:val="00007A72"/>
    <w:rsid w:val="0001002E"/>
    <w:rsid w:val="00010115"/>
    <w:rsid w:val="00010208"/>
    <w:rsid w:val="00010D80"/>
    <w:rsid w:val="00011063"/>
    <w:rsid w:val="000118C7"/>
    <w:rsid w:val="00012CF5"/>
    <w:rsid w:val="00012EA3"/>
    <w:rsid w:val="000134A8"/>
    <w:rsid w:val="00013FB7"/>
    <w:rsid w:val="0001498B"/>
    <w:rsid w:val="00014FD3"/>
    <w:rsid w:val="00015A3C"/>
    <w:rsid w:val="00016475"/>
    <w:rsid w:val="00020546"/>
    <w:rsid w:val="000207C2"/>
    <w:rsid w:val="00020D32"/>
    <w:rsid w:val="0002106E"/>
    <w:rsid w:val="000211C9"/>
    <w:rsid w:val="0002143E"/>
    <w:rsid w:val="0002148A"/>
    <w:rsid w:val="00021E35"/>
    <w:rsid w:val="000233E8"/>
    <w:rsid w:val="0002388B"/>
    <w:rsid w:val="00024416"/>
    <w:rsid w:val="00024D62"/>
    <w:rsid w:val="000251B6"/>
    <w:rsid w:val="000253F1"/>
    <w:rsid w:val="00025A66"/>
    <w:rsid w:val="00025D7D"/>
    <w:rsid w:val="00025EC9"/>
    <w:rsid w:val="00026773"/>
    <w:rsid w:val="000268A2"/>
    <w:rsid w:val="00026F8B"/>
    <w:rsid w:val="00030EBD"/>
    <w:rsid w:val="00030F51"/>
    <w:rsid w:val="00031664"/>
    <w:rsid w:val="0003177E"/>
    <w:rsid w:val="00031F0B"/>
    <w:rsid w:val="000323A8"/>
    <w:rsid w:val="00032903"/>
    <w:rsid w:val="00033454"/>
    <w:rsid w:val="00033A12"/>
    <w:rsid w:val="00033DA6"/>
    <w:rsid w:val="000340B5"/>
    <w:rsid w:val="0003445D"/>
    <w:rsid w:val="00034DF2"/>
    <w:rsid w:val="00034F19"/>
    <w:rsid w:val="0003525E"/>
    <w:rsid w:val="00036001"/>
    <w:rsid w:val="00036051"/>
    <w:rsid w:val="00036A6D"/>
    <w:rsid w:val="00036F72"/>
    <w:rsid w:val="00037C96"/>
    <w:rsid w:val="0004021B"/>
    <w:rsid w:val="000407D6"/>
    <w:rsid w:val="00040D36"/>
    <w:rsid w:val="0004148A"/>
    <w:rsid w:val="000419FA"/>
    <w:rsid w:val="00041B0E"/>
    <w:rsid w:val="000421C1"/>
    <w:rsid w:val="00042235"/>
    <w:rsid w:val="000426F9"/>
    <w:rsid w:val="00042F50"/>
    <w:rsid w:val="000431B5"/>
    <w:rsid w:val="00043D29"/>
    <w:rsid w:val="00044931"/>
    <w:rsid w:val="00044BE2"/>
    <w:rsid w:val="00044EE9"/>
    <w:rsid w:val="000456D8"/>
    <w:rsid w:val="0004584F"/>
    <w:rsid w:val="00045D81"/>
    <w:rsid w:val="00046337"/>
    <w:rsid w:val="000463DD"/>
    <w:rsid w:val="00046D14"/>
    <w:rsid w:val="00047998"/>
    <w:rsid w:val="00047CD5"/>
    <w:rsid w:val="000502A7"/>
    <w:rsid w:val="000517DA"/>
    <w:rsid w:val="00051B36"/>
    <w:rsid w:val="00052A61"/>
    <w:rsid w:val="0005357D"/>
    <w:rsid w:val="000536EA"/>
    <w:rsid w:val="00053709"/>
    <w:rsid w:val="00053D22"/>
    <w:rsid w:val="0005463C"/>
    <w:rsid w:val="00056351"/>
    <w:rsid w:val="000564AC"/>
    <w:rsid w:val="000565A4"/>
    <w:rsid w:val="00056771"/>
    <w:rsid w:val="00056A8B"/>
    <w:rsid w:val="00056C1C"/>
    <w:rsid w:val="0005708D"/>
    <w:rsid w:val="0005709F"/>
    <w:rsid w:val="000570CE"/>
    <w:rsid w:val="00060433"/>
    <w:rsid w:val="0006164B"/>
    <w:rsid w:val="00061792"/>
    <w:rsid w:val="00061EAF"/>
    <w:rsid w:val="0006217B"/>
    <w:rsid w:val="000623EF"/>
    <w:rsid w:val="00062C51"/>
    <w:rsid w:val="00063D9C"/>
    <w:rsid w:val="00063EC0"/>
    <w:rsid w:val="00064490"/>
    <w:rsid w:val="00065593"/>
    <w:rsid w:val="00065894"/>
    <w:rsid w:val="00065897"/>
    <w:rsid w:val="00065FD5"/>
    <w:rsid w:val="000665EB"/>
    <w:rsid w:val="0006726A"/>
    <w:rsid w:val="0006789E"/>
    <w:rsid w:val="00067E39"/>
    <w:rsid w:val="00067F7A"/>
    <w:rsid w:val="00070BC8"/>
    <w:rsid w:val="00070E62"/>
    <w:rsid w:val="00071CC1"/>
    <w:rsid w:val="00071FEF"/>
    <w:rsid w:val="000720DF"/>
    <w:rsid w:val="000724E1"/>
    <w:rsid w:val="000726B3"/>
    <w:rsid w:val="000726BC"/>
    <w:rsid w:val="00072A95"/>
    <w:rsid w:val="000735C9"/>
    <w:rsid w:val="00074DC1"/>
    <w:rsid w:val="00075378"/>
    <w:rsid w:val="0007546D"/>
    <w:rsid w:val="000754F1"/>
    <w:rsid w:val="00076147"/>
    <w:rsid w:val="000766B7"/>
    <w:rsid w:val="00076760"/>
    <w:rsid w:val="0008023D"/>
    <w:rsid w:val="000805A1"/>
    <w:rsid w:val="000806C8"/>
    <w:rsid w:val="00080B84"/>
    <w:rsid w:val="00080C1A"/>
    <w:rsid w:val="00081226"/>
    <w:rsid w:val="00081A65"/>
    <w:rsid w:val="00081AE1"/>
    <w:rsid w:val="00081B5F"/>
    <w:rsid w:val="00081BCC"/>
    <w:rsid w:val="00081C70"/>
    <w:rsid w:val="00081C8A"/>
    <w:rsid w:val="00082330"/>
    <w:rsid w:val="0008244B"/>
    <w:rsid w:val="000825F1"/>
    <w:rsid w:val="000826D3"/>
    <w:rsid w:val="00082A96"/>
    <w:rsid w:val="00082D3B"/>
    <w:rsid w:val="00083353"/>
    <w:rsid w:val="00083670"/>
    <w:rsid w:val="000837E2"/>
    <w:rsid w:val="000844C7"/>
    <w:rsid w:val="00084F5B"/>
    <w:rsid w:val="000854D4"/>
    <w:rsid w:val="000855B0"/>
    <w:rsid w:val="000857AB"/>
    <w:rsid w:val="00085C66"/>
    <w:rsid w:val="00085DDE"/>
    <w:rsid w:val="00086AED"/>
    <w:rsid w:val="000870DC"/>
    <w:rsid w:val="000875C5"/>
    <w:rsid w:val="0008788D"/>
    <w:rsid w:val="00087A73"/>
    <w:rsid w:val="00087BC0"/>
    <w:rsid w:val="000904A1"/>
    <w:rsid w:val="00090745"/>
    <w:rsid w:val="000908AE"/>
    <w:rsid w:val="000908F1"/>
    <w:rsid w:val="00090C78"/>
    <w:rsid w:val="00090EFE"/>
    <w:rsid w:val="00090F03"/>
    <w:rsid w:val="000921F2"/>
    <w:rsid w:val="00092404"/>
    <w:rsid w:val="00092882"/>
    <w:rsid w:val="00092A8D"/>
    <w:rsid w:val="00092B56"/>
    <w:rsid w:val="000939F5"/>
    <w:rsid w:val="00093C0D"/>
    <w:rsid w:val="00093CC9"/>
    <w:rsid w:val="000945AD"/>
    <w:rsid w:val="00094CF3"/>
    <w:rsid w:val="00095700"/>
    <w:rsid w:val="00095783"/>
    <w:rsid w:val="000959ED"/>
    <w:rsid w:val="000965C7"/>
    <w:rsid w:val="0009664C"/>
    <w:rsid w:val="00096897"/>
    <w:rsid w:val="00096917"/>
    <w:rsid w:val="0009696C"/>
    <w:rsid w:val="00096D29"/>
    <w:rsid w:val="00097623"/>
    <w:rsid w:val="000A0347"/>
    <w:rsid w:val="000A0444"/>
    <w:rsid w:val="000A0A6C"/>
    <w:rsid w:val="000A12A6"/>
    <w:rsid w:val="000A1476"/>
    <w:rsid w:val="000A171F"/>
    <w:rsid w:val="000A1765"/>
    <w:rsid w:val="000A1A58"/>
    <w:rsid w:val="000A2D9D"/>
    <w:rsid w:val="000A33EE"/>
    <w:rsid w:val="000A3528"/>
    <w:rsid w:val="000A3866"/>
    <w:rsid w:val="000A4531"/>
    <w:rsid w:val="000A4567"/>
    <w:rsid w:val="000A474B"/>
    <w:rsid w:val="000A4C41"/>
    <w:rsid w:val="000A520A"/>
    <w:rsid w:val="000A5546"/>
    <w:rsid w:val="000A70B3"/>
    <w:rsid w:val="000A713B"/>
    <w:rsid w:val="000A769C"/>
    <w:rsid w:val="000B0061"/>
    <w:rsid w:val="000B0250"/>
    <w:rsid w:val="000B0A38"/>
    <w:rsid w:val="000B15E3"/>
    <w:rsid w:val="000B2280"/>
    <w:rsid w:val="000B278C"/>
    <w:rsid w:val="000B2D17"/>
    <w:rsid w:val="000B323D"/>
    <w:rsid w:val="000B3313"/>
    <w:rsid w:val="000B3D04"/>
    <w:rsid w:val="000B4154"/>
    <w:rsid w:val="000B43E2"/>
    <w:rsid w:val="000B44D4"/>
    <w:rsid w:val="000B4761"/>
    <w:rsid w:val="000B4874"/>
    <w:rsid w:val="000B48A4"/>
    <w:rsid w:val="000B57F2"/>
    <w:rsid w:val="000B5C95"/>
    <w:rsid w:val="000B606D"/>
    <w:rsid w:val="000B6175"/>
    <w:rsid w:val="000B6C20"/>
    <w:rsid w:val="000B6EA3"/>
    <w:rsid w:val="000B719D"/>
    <w:rsid w:val="000B725E"/>
    <w:rsid w:val="000B768D"/>
    <w:rsid w:val="000C079D"/>
    <w:rsid w:val="000C0D6D"/>
    <w:rsid w:val="000C151B"/>
    <w:rsid w:val="000C16CF"/>
    <w:rsid w:val="000C1AF7"/>
    <w:rsid w:val="000C1D75"/>
    <w:rsid w:val="000C2ECF"/>
    <w:rsid w:val="000C2EFD"/>
    <w:rsid w:val="000C341F"/>
    <w:rsid w:val="000C3BFF"/>
    <w:rsid w:val="000C3E24"/>
    <w:rsid w:val="000C4837"/>
    <w:rsid w:val="000C4AF6"/>
    <w:rsid w:val="000C4E14"/>
    <w:rsid w:val="000C515F"/>
    <w:rsid w:val="000C63F1"/>
    <w:rsid w:val="000C74D2"/>
    <w:rsid w:val="000C78FC"/>
    <w:rsid w:val="000C7BB1"/>
    <w:rsid w:val="000C7EF9"/>
    <w:rsid w:val="000D01F9"/>
    <w:rsid w:val="000D0418"/>
    <w:rsid w:val="000D0482"/>
    <w:rsid w:val="000D0D7D"/>
    <w:rsid w:val="000D10A5"/>
    <w:rsid w:val="000D1460"/>
    <w:rsid w:val="000D4B45"/>
    <w:rsid w:val="000D4C51"/>
    <w:rsid w:val="000D5514"/>
    <w:rsid w:val="000D5777"/>
    <w:rsid w:val="000D5A08"/>
    <w:rsid w:val="000D5EA3"/>
    <w:rsid w:val="000D615B"/>
    <w:rsid w:val="000D6232"/>
    <w:rsid w:val="000D693C"/>
    <w:rsid w:val="000D6EFF"/>
    <w:rsid w:val="000D7BC4"/>
    <w:rsid w:val="000E00F7"/>
    <w:rsid w:val="000E015D"/>
    <w:rsid w:val="000E0963"/>
    <w:rsid w:val="000E0979"/>
    <w:rsid w:val="000E0B2E"/>
    <w:rsid w:val="000E0F44"/>
    <w:rsid w:val="000E10CC"/>
    <w:rsid w:val="000E15E5"/>
    <w:rsid w:val="000E1A85"/>
    <w:rsid w:val="000E2120"/>
    <w:rsid w:val="000E2734"/>
    <w:rsid w:val="000E2E5C"/>
    <w:rsid w:val="000E2EE0"/>
    <w:rsid w:val="000E2EFD"/>
    <w:rsid w:val="000E3624"/>
    <w:rsid w:val="000E39F4"/>
    <w:rsid w:val="000E40D4"/>
    <w:rsid w:val="000E449E"/>
    <w:rsid w:val="000E4A0C"/>
    <w:rsid w:val="000E4BAE"/>
    <w:rsid w:val="000E57FF"/>
    <w:rsid w:val="000E5C56"/>
    <w:rsid w:val="000E5EA4"/>
    <w:rsid w:val="000E6566"/>
    <w:rsid w:val="000E6696"/>
    <w:rsid w:val="000E724E"/>
    <w:rsid w:val="000E777C"/>
    <w:rsid w:val="000E77F1"/>
    <w:rsid w:val="000F03EB"/>
    <w:rsid w:val="000F07F2"/>
    <w:rsid w:val="000F0EB5"/>
    <w:rsid w:val="000F1322"/>
    <w:rsid w:val="000F1C7E"/>
    <w:rsid w:val="000F2476"/>
    <w:rsid w:val="000F2540"/>
    <w:rsid w:val="000F2A1E"/>
    <w:rsid w:val="000F346D"/>
    <w:rsid w:val="000F38AC"/>
    <w:rsid w:val="000F4FE3"/>
    <w:rsid w:val="000F519C"/>
    <w:rsid w:val="000F54C9"/>
    <w:rsid w:val="000F5567"/>
    <w:rsid w:val="000F59A7"/>
    <w:rsid w:val="000F5E86"/>
    <w:rsid w:val="000F5EAB"/>
    <w:rsid w:val="000F6576"/>
    <w:rsid w:val="000F6A40"/>
    <w:rsid w:val="000F6DD4"/>
    <w:rsid w:val="000F71E7"/>
    <w:rsid w:val="000F763A"/>
    <w:rsid w:val="000F7E69"/>
    <w:rsid w:val="000F7F8C"/>
    <w:rsid w:val="001000F2"/>
    <w:rsid w:val="00100161"/>
    <w:rsid w:val="00101060"/>
    <w:rsid w:val="001011F5"/>
    <w:rsid w:val="00101BCE"/>
    <w:rsid w:val="00101E2E"/>
    <w:rsid w:val="00102036"/>
    <w:rsid w:val="00102530"/>
    <w:rsid w:val="0010330A"/>
    <w:rsid w:val="00103749"/>
    <w:rsid w:val="00103C3D"/>
    <w:rsid w:val="00103F81"/>
    <w:rsid w:val="00104302"/>
    <w:rsid w:val="00104BA4"/>
    <w:rsid w:val="00104BCD"/>
    <w:rsid w:val="00105A53"/>
    <w:rsid w:val="00105C6C"/>
    <w:rsid w:val="00105DA6"/>
    <w:rsid w:val="00106001"/>
    <w:rsid w:val="001060D4"/>
    <w:rsid w:val="001061B6"/>
    <w:rsid w:val="00106DA5"/>
    <w:rsid w:val="00106E10"/>
    <w:rsid w:val="00106F37"/>
    <w:rsid w:val="001071BE"/>
    <w:rsid w:val="001073F8"/>
    <w:rsid w:val="00107534"/>
    <w:rsid w:val="001077D0"/>
    <w:rsid w:val="00107E52"/>
    <w:rsid w:val="00110503"/>
    <w:rsid w:val="001105E1"/>
    <w:rsid w:val="00110805"/>
    <w:rsid w:val="00110949"/>
    <w:rsid w:val="00111148"/>
    <w:rsid w:val="001112DA"/>
    <w:rsid w:val="00111416"/>
    <w:rsid w:val="00111A6F"/>
    <w:rsid w:val="00111DB0"/>
    <w:rsid w:val="00112CBA"/>
    <w:rsid w:val="00112D62"/>
    <w:rsid w:val="0011372F"/>
    <w:rsid w:val="00114EA6"/>
    <w:rsid w:val="00115136"/>
    <w:rsid w:val="0011546F"/>
    <w:rsid w:val="001163D7"/>
    <w:rsid w:val="001165BF"/>
    <w:rsid w:val="00116627"/>
    <w:rsid w:val="0011668D"/>
    <w:rsid w:val="0011731F"/>
    <w:rsid w:val="00117459"/>
    <w:rsid w:val="001201ED"/>
    <w:rsid w:val="00120449"/>
    <w:rsid w:val="00121387"/>
    <w:rsid w:val="00121A21"/>
    <w:rsid w:val="001223BD"/>
    <w:rsid w:val="00123038"/>
    <w:rsid w:val="001237D9"/>
    <w:rsid w:val="001244C5"/>
    <w:rsid w:val="0012457A"/>
    <w:rsid w:val="00124646"/>
    <w:rsid w:val="00124E42"/>
    <w:rsid w:val="001250E4"/>
    <w:rsid w:val="001255DD"/>
    <w:rsid w:val="00125994"/>
    <w:rsid w:val="00125B09"/>
    <w:rsid w:val="001261B7"/>
    <w:rsid w:val="001261DF"/>
    <w:rsid w:val="001268AC"/>
    <w:rsid w:val="00126B26"/>
    <w:rsid w:val="00126C33"/>
    <w:rsid w:val="00126EA3"/>
    <w:rsid w:val="0012752E"/>
    <w:rsid w:val="00127A4E"/>
    <w:rsid w:val="00131117"/>
    <w:rsid w:val="001311F5"/>
    <w:rsid w:val="00131865"/>
    <w:rsid w:val="001318A3"/>
    <w:rsid w:val="0013288C"/>
    <w:rsid w:val="00132FA2"/>
    <w:rsid w:val="0013399F"/>
    <w:rsid w:val="00133C99"/>
    <w:rsid w:val="001342FA"/>
    <w:rsid w:val="00134411"/>
    <w:rsid w:val="00134F62"/>
    <w:rsid w:val="0013612F"/>
    <w:rsid w:val="00136535"/>
    <w:rsid w:val="001365C5"/>
    <w:rsid w:val="00136EB8"/>
    <w:rsid w:val="00136F1C"/>
    <w:rsid w:val="00137568"/>
    <w:rsid w:val="001378B9"/>
    <w:rsid w:val="00137B90"/>
    <w:rsid w:val="00137DF4"/>
    <w:rsid w:val="00137F40"/>
    <w:rsid w:val="00140074"/>
    <w:rsid w:val="0014034B"/>
    <w:rsid w:val="00141883"/>
    <w:rsid w:val="0014191B"/>
    <w:rsid w:val="00141A8E"/>
    <w:rsid w:val="00142063"/>
    <w:rsid w:val="001428CD"/>
    <w:rsid w:val="00142C71"/>
    <w:rsid w:val="00142F28"/>
    <w:rsid w:val="00143472"/>
    <w:rsid w:val="00143957"/>
    <w:rsid w:val="00143B73"/>
    <w:rsid w:val="00144978"/>
    <w:rsid w:val="001454A3"/>
    <w:rsid w:val="00145BF4"/>
    <w:rsid w:val="00145EA2"/>
    <w:rsid w:val="00146DF3"/>
    <w:rsid w:val="00146E80"/>
    <w:rsid w:val="00147449"/>
    <w:rsid w:val="00147455"/>
    <w:rsid w:val="001474C1"/>
    <w:rsid w:val="00147685"/>
    <w:rsid w:val="00147CC9"/>
    <w:rsid w:val="00147EE4"/>
    <w:rsid w:val="00150158"/>
    <w:rsid w:val="00150730"/>
    <w:rsid w:val="00150E17"/>
    <w:rsid w:val="001511C4"/>
    <w:rsid w:val="0015257D"/>
    <w:rsid w:val="00152CF8"/>
    <w:rsid w:val="001531DE"/>
    <w:rsid w:val="00153353"/>
    <w:rsid w:val="00153AD6"/>
    <w:rsid w:val="0015527F"/>
    <w:rsid w:val="00155A14"/>
    <w:rsid w:val="00155DB0"/>
    <w:rsid w:val="00155FF8"/>
    <w:rsid w:val="00156620"/>
    <w:rsid w:val="00156704"/>
    <w:rsid w:val="00156931"/>
    <w:rsid w:val="00156C12"/>
    <w:rsid w:val="00156CE6"/>
    <w:rsid w:val="00156D71"/>
    <w:rsid w:val="00156E94"/>
    <w:rsid w:val="001576AC"/>
    <w:rsid w:val="00157C64"/>
    <w:rsid w:val="0016001B"/>
    <w:rsid w:val="00160060"/>
    <w:rsid w:val="00160655"/>
    <w:rsid w:val="00160F18"/>
    <w:rsid w:val="00160FF0"/>
    <w:rsid w:val="001613FD"/>
    <w:rsid w:val="00161894"/>
    <w:rsid w:val="00161CBC"/>
    <w:rsid w:val="0016226B"/>
    <w:rsid w:val="001623E6"/>
    <w:rsid w:val="00162778"/>
    <w:rsid w:val="00162B42"/>
    <w:rsid w:val="00162BD8"/>
    <w:rsid w:val="00162EFE"/>
    <w:rsid w:val="0016346C"/>
    <w:rsid w:val="00163C40"/>
    <w:rsid w:val="00163E1C"/>
    <w:rsid w:val="00165192"/>
    <w:rsid w:val="001657FE"/>
    <w:rsid w:val="00165CDF"/>
    <w:rsid w:val="00165D66"/>
    <w:rsid w:val="00165F39"/>
    <w:rsid w:val="00166D59"/>
    <w:rsid w:val="00167086"/>
    <w:rsid w:val="0016738A"/>
    <w:rsid w:val="00167723"/>
    <w:rsid w:val="00167E71"/>
    <w:rsid w:val="00167FF7"/>
    <w:rsid w:val="00170162"/>
    <w:rsid w:val="001701CC"/>
    <w:rsid w:val="00170391"/>
    <w:rsid w:val="001704AC"/>
    <w:rsid w:val="00171460"/>
    <w:rsid w:val="0017185F"/>
    <w:rsid w:val="001718C2"/>
    <w:rsid w:val="001724CA"/>
    <w:rsid w:val="0017290E"/>
    <w:rsid w:val="001733A4"/>
    <w:rsid w:val="00173630"/>
    <w:rsid w:val="0017370E"/>
    <w:rsid w:val="00174007"/>
    <w:rsid w:val="00174083"/>
    <w:rsid w:val="001749CD"/>
    <w:rsid w:val="00174A56"/>
    <w:rsid w:val="00174C21"/>
    <w:rsid w:val="00175335"/>
    <w:rsid w:val="001754B9"/>
    <w:rsid w:val="0017591F"/>
    <w:rsid w:val="00176D95"/>
    <w:rsid w:val="00176FE2"/>
    <w:rsid w:val="00177088"/>
    <w:rsid w:val="00181246"/>
    <w:rsid w:val="0018163F"/>
    <w:rsid w:val="001816D2"/>
    <w:rsid w:val="00182090"/>
    <w:rsid w:val="00182393"/>
    <w:rsid w:val="0018274C"/>
    <w:rsid w:val="00182BDB"/>
    <w:rsid w:val="0018300A"/>
    <w:rsid w:val="001838F5"/>
    <w:rsid w:val="00183DD9"/>
    <w:rsid w:val="001840A2"/>
    <w:rsid w:val="0018429B"/>
    <w:rsid w:val="00184403"/>
    <w:rsid w:val="001845AB"/>
    <w:rsid w:val="00184C8A"/>
    <w:rsid w:val="0018523C"/>
    <w:rsid w:val="00185509"/>
    <w:rsid w:val="00186392"/>
    <w:rsid w:val="00186657"/>
    <w:rsid w:val="0018697F"/>
    <w:rsid w:val="00186985"/>
    <w:rsid w:val="00187140"/>
    <w:rsid w:val="0018788E"/>
    <w:rsid w:val="00187A72"/>
    <w:rsid w:val="00190116"/>
    <w:rsid w:val="001907C1"/>
    <w:rsid w:val="00190B52"/>
    <w:rsid w:val="00190D51"/>
    <w:rsid w:val="001915E3"/>
    <w:rsid w:val="00191ED1"/>
    <w:rsid w:val="001922B8"/>
    <w:rsid w:val="001927ED"/>
    <w:rsid w:val="0019290A"/>
    <w:rsid w:val="00192932"/>
    <w:rsid w:val="00192E06"/>
    <w:rsid w:val="00193473"/>
    <w:rsid w:val="00193791"/>
    <w:rsid w:val="00193945"/>
    <w:rsid w:val="00194035"/>
    <w:rsid w:val="001946B3"/>
    <w:rsid w:val="001947EB"/>
    <w:rsid w:val="001956FC"/>
    <w:rsid w:val="001957D8"/>
    <w:rsid w:val="001967D8"/>
    <w:rsid w:val="0019703D"/>
    <w:rsid w:val="0019706C"/>
    <w:rsid w:val="001970DA"/>
    <w:rsid w:val="00197548"/>
    <w:rsid w:val="001A0340"/>
    <w:rsid w:val="001A18FD"/>
    <w:rsid w:val="001A1C20"/>
    <w:rsid w:val="001A28AC"/>
    <w:rsid w:val="001A298A"/>
    <w:rsid w:val="001A2E91"/>
    <w:rsid w:val="001A310C"/>
    <w:rsid w:val="001A353A"/>
    <w:rsid w:val="001A3860"/>
    <w:rsid w:val="001A3877"/>
    <w:rsid w:val="001A3AFA"/>
    <w:rsid w:val="001A3CDD"/>
    <w:rsid w:val="001A3D1E"/>
    <w:rsid w:val="001A3D7B"/>
    <w:rsid w:val="001A3F23"/>
    <w:rsid w:val="001A49E6"/>
    <w:rsid w:val="001A54D0"/>
    <w:rsid w:val="001A54E7"/>
    <w:rsid w:val="001A5625"/>
    <w:rsid w:val="001A57AB"/>
    <w:rsid w:val="001A5886"/>
    <w:rsid w:val="001A58FD"/>
    <w:rsid w:val="001A5A7C"/>
    <w:rsid w:val="001A626F"/>
    <w:rsid w:val="001A65AD"/>
    <w:rsid w:val="001A6CFB"/>
    <w:rsid w:val="001A7FA2"/>
    <w:rsid w:val="001B016A"/>
    <w:rsid w:val="001B0427"/>
    <w:rsid w:val="001B1E09"/>
    <w:rsid w:val="001B21DF"/>
    <w:rsid w:val="001B23A0"/>
    <w:rsid w:val="001B2515"/>
    <w:rsid w:val="001B25B1"/>
    <w:rsid w:val="001B26CF"/>
    <w:rsid w:val="001B2DB8"/>
    <w:rsid w:val="001B37C6"/>
    <w:rsid w:val="001B3EF5"/>
    <w:rsid w:val="001B4401"/>
    <w:rsid w:val="001B4EDD"/>
    <w:rsid w:val="001B5E5D"/>
    <w:rsid w:val="001B5FC6"/>
    <w:rsid w:val="001B647C"/>
    <w:rsid w:val="001B676D"/>
    <w:rsid w:val="001B6958"/>
    <w:rsid w:val="001B6B9F"/>
    <w:rsid w:val="001B7E77"/>
    <w:rsid w:val="001C002F"/>
    <w:rsid w:val="001C04EE"/>
    <w:rsid w:val="001C05DE"/>
    <w:rsid w:val="001C063E"/>
    <w:rsid w:val="001C07F1"/>
    <w:rsid w:val="001C08DB"/>
    <w:rsid w:val="001C0DF7"/>
    <w:rsid w:val="001C0F7F"/>
    <w:rsid w:val="001C1A02"/>
    <w:rsid w:val="001C1B24"/>
    <w:rsid w:val="001C1E9A"/>
    <w:rsid w:val="001C1FD7"/>
    <w:rsid w:val="001C39D1"/>
    <w:rsid w:val="001C3F88"/>
    <w:rsid w:val="001C4CB1"/>
    <w:rsid w:val="001C52CE"/>
    <w:rsid w:val="001C7176"/>
    <w:rsid w:val="001C7693"/>
    <w:rsid w:val="001C7BFC"/>
    <w:rsid w:val="001C7D8E"/>
    <w:rsid w:val="001D018C"/>
    <w:rsid w:val="001D0476"/>
    <w:rsid w:val="001D0C01"/>
    <w:rsid w:val="001D0D4E"/>
    <w:rsid w:val="001D0DF4"/>
    <w:rsid w:val="001D0E55"/>
    <w:rsid w:val="001D1AC5"/>
    <w:rsid w:val="001D1B30"/>
    <w:rsid w:val="001D1ED0"/>
    <w:rsid w:val="001D2886"/>
    <w:rsid w:val="001D2A2A"/>
    <w:rsid w:val="001D2A8F"/>
    <w:rsid w:val="001D312E"/>
    <w:rsid w:val="001D3B1E"/>
    <w:rsid w:val="001D41B3"/>
    <w:rsid w:val="001D47B8"/>
    <w:rsid w:val="001D54E1"/>
    <w:rsid w:val="001D57C8"/>
    <w:rsid w:val="001D5F79"/>
    <w:rsid w:val="001D5FFD"/>
    <w:rsid w:val="001D699C"/>
    <w:rsid w:val="001D6A55"/>
    <w:rsid w:val="001D7E06"/>
    <w:rsid w:val="001E06B8"/>
    <w:rsid w:val="001E09F4"/>
    <w:rsid w:val="001E0BDB"/>
    <w:rsid w:val="001E0E47"/>
    <w:rsid w:val="001E1FD4"/>
    <w:rsid w:val="001E2587"/>
    <w:rsid w:val="001E2607"/>
    <w:rsid w:val="001E2E00"/>
    <w:rsid w:val="001E2F76"/>
    <w:rsid w:val="001E32D8"/>
    <w:rsid w:val="001E3F4B"/>
    <w:rsid w:val="001E411E"/>
    <w:rsid w:val="001E41DB"/>
    <w:rsid w:val="001E4D25"/>
    <w:rsid w:val="001E4D2E"/>
    <w:rsid w:val="001E4E33"/>
    <w:rsid w:val="001E5052"/>
    <w:rsid w:val="001E5238"/>
    <w:rsid w:val="001E6FE8"/>
    <w:rsid w:val="001E7273"/>
    <w:rsid w:val="001E73F7"/>
    <w:rsid w:val="001E7C1F"/>
    <w:rsid w:val="001E7F31"/>
    <w:rsid w:val="001F018B"/>
    <w:rsid w:val="001F0BDF"/>
    <w:rsid w:val="001F108F"/>
    <w:rsid w:val="001F1A9F"/>
    <w:rsid w:val="001F1B41"/>
    <w:rsid w:val="001F2313"/>
    <w:rsid w:val="001F245A"/>
    <w:rsid w:val="001F2564"/>
    <w:rsid w:val="001F267E"/>
    <w:rsid w:val="001F2ADA"/>
    <w:rsid w:val="001F2AEB"/>
    <w:rsid w:val="001F2CB9"/>
    <w:rsid w:val="001F333B"/>
    <w:rsid w:val="001F33E0"/>
    <w:rsid w:val="001F391E"/>
    <w:rsid w:val="001F3C82"/>
    <w:rsid w:val="001F3D97"/>
    <w:rsid w:val="001F3E0E"/>
    <w:rsid w:val="001F3EB8"/>
    <w:rsid w:val="001F409B"/>
    <w:rsid w:val="001F4587"/>
    <w:rsid w:val="001F4714"/>
    <w:rsid w:val="001F4DCE"/>
    <w:rsid w:val="001F5321"/>
    <w:rsid w:val="001F5626"/>
    <w:rsid w:val="001F5D33"/>
    <w:rsid w:val="001F5E8F"/>
    <w:rsid w:val="001F6257"/>
    <w:rsid w:val="001F6D3A"/>
    <w:rsid w:val="001F71B6"/>
    <w:rsid w:val="001F76BC"/>
    <w:rsid w:val="001F7834"/>
    <w:rsid w:val="001F7A1C"/>
    <w:rsid w:val="002004F3"/>
    <w:rsid w:val="00200B5A"/>
    <w:rsid w:val="00200B73"/>
    <w:rsid w:val="00200CC3"/>
    <w:rsid w:val="00200DDE"/>
    <w:rsid w:val="00201025"/>
    <w:rsid w:val="00201603"/>
    <w:rsid w:val="002023EB"/>
    <w:rsid w:val="00203304"/>
    <w:rsid w:val="002036CF"/>
    <w:rsid w:val="00203A2C"/>
    <w:rsid w:val="00204436"/>
    <w:rsid w:val="00204AD5"/>
    <w:rsid w:val="00204EC6"/>
    <w:rsid w:val="00205426"/>
    <w:rsid w:val="00205A9C"/>
    <w:rsid w:val="00205D4B"/>
    <w:rsid w:val="00206102"/>
    <w:rsid w:val="0020676C"/>
    <w:rsid w:val="002067E2"/>
    <w:rsid w:val="00206976"/>
    <w:rsid w:val="00206CA5"/>
    <w:rsid w:val="00207B5E"/>
    <w:rsid w:val="00210ED4"/>
    <w:rsid w:val="00211318"/>
    <w:rsid w:val="0021160B"/>
    <w:rsid w:val="00211A34"/>
    <w:rsid w:val="00211ADF"/>
    <w:rsid w:val="00211DC8"/>
    <w:rsid w:val="002130C1"/>
    <w:rsid w:val="00213958"/>
    <w:rsid w:val="00213AAC"/>
    <w:rsid w:val="0021447E"/>
    <w:rsid w:val="00214C0D"/>
    <w:rsid w:val="00214F12"/>
    <w:rsid w:val="00214FA1"/>
    <w:rsid w:val="00215642"/>
    <w:rsid w:val="00215693"/>
    <w:rsid w:val="002156F2"/>
    <w:rsid w:val="00215FE0"/>
    <w:rsid w:val="0021623E"/>
    <w:rsid w:val="00216786"/>
    <w:rsid w:val="002167F6"/>
    <w:rsid w:val="00216CC5"/>
    <w:rsid w:val="00216D0A"/>
    <w:rsid w:val="00217EA2"/>
    <w:rsid w:val="00220795"/>
    <w:rsid w:val="00220828"/>
    <w:rsid w:val="00221258"/>
    <w:rsid w:val="002219F3"/>
    <w:rsid w:val="00221BD5"/>
    <w:rsid w:val="002228DE"/>
    <w:rsid w:val="002231B1"/>
    <w:rsid w:val="002232E4"/>
    <w:rsid w:val="0022342C"/>
    <w:rsid w:val="002237CD"/>
    <w:rsid w:val="00223A69"/>
    <w:rsid w:val="00224360"/>
    <w:rsid w:val="00224FAF"/>
    <w:rsid w:val="0022534B"/>
    <w:rsid w:val="00225D19"/>
    <w:rsid w:val="002263FB"/>
    <w:rsid w:val="00227ADD"/>
    <w:rsid w:val="00227F51"/>
    <w:rsid w:val="00227FC7"/>
    <w:rsid w:val="002300BF"/>
    <w:rsid w:val="00230668"/>
    <w:rsid w:val="00230B09"/>
    <w:rsid w:val="00231E20"/>
    <w:rsid w:val="00231F0E"/>
    <w:rsid w:val="002323BB"/>
    <w:rsid w:val="002325C5"/>
    <w:rsid w:val="00232850"/>
    <w:rsid w:val="00232F69"/>
    <w:rsid w:val="0023435F"/>
    <w:rsid w:val="00234848"/>
    <w:rsid w:val="002355CA"/>
    <w:rsid w:val="00235B45"/>
    <w:rsid w:val="00236A94"/>
    <w:rsid w:val="00237040"/>
    <w:rsid w:val="002405AA"/>
    <w:rsid w:val="00240B41"/>
    <w:rsid w:val="00240C3E"/>
    <w:rsid w:val="00240E71"/>
    <w:rsid w:val="00242800"/>
    <w:rsid w:val="002428C4"/>
    <w:rsid w:val="00242ABB"/>
    <w:rsid w:val="00242ED0"/>
    <w:rsid w:val="002437BB"/>
    <w:rsid w:val="0024381B"/>
    <w:rsid w:val="00243CA6"/>
    <w:rsid w:val="00243D71"/>
    <w:rsid w:val="00243E1F"/>
    <w:rsid w:val="00244892"/>
    <w:rsid w:val="00244A6E"/>
    <w:rsid w:val="0024500F"/>
    <w:rsid w:val="002450F1"/>
    <w:rsid w:val="002452F7"/>
    <w:rsid w:val="00245457"/>
    <w:rsid w:val="002456F8"/>
    <w:rsid w:val="002458CC"/>
    <w:rsid w:val="00246B4B"/>
    <w:rsid w:val="00247164"/>
    <w:rsid w:val="002476F1"/>
    <w:rsid w:val="00247F62"/>
    <w:rsid w:val="002500AC"/>
    <w:rsid w:val="00250348"/>
    <w:rsid w:val="00250387"/>
    <w:rsid w:val="00250B66"/>
    <w:rsid w:val="00250E76"/>
    <w:rsid w:val="0025256F"/>
    <w:rsid w:val="00252703"/>
    <w:rsid w:val="00252728"/>
    <w:rsid w:val="002541C7"/>
    <w:rsid w:val="00254BFB"/>
    <w:rsid w:val="00254E76"/>
    <w:rsid w:val="002554C9"/>
    <w:rsid w:val="002555A6"/>
    <w:rsid w:val="00255B4B"/>
    <w:rsid w:val="002566E0"/>
    <w:rsid w:val="0025677F"/>
    <w:rsid w:val="00256D46"/>
    <w:rsid w:val="002570B5"/>
    <w:rsid w:val="002573F9"/>
    <w:rsid w:val="00257F2F"/>
    <w:rsid w:val="0026073B"/>
    <w:rsid w:val="00261393"/>
    <w:rsid w:val="00261CE5"/>
    <w:rsid w:val="00261D41"/>
    <w:rsid w:val="00261F7D"/>
    <w:rsid w:val="00262014"/>
    <w:rsid w:val="00262024"/>
    <w:rsid w:val="00262118"/>
    <w:rsid w:val="00262811"/>
    <w:rsid w:val="00262A8D"/>
    <w:rsid w:val="00262EBE"/>
    <w:rsid w:val="00263409"/>
    <w:rsid w:val="0026386B"/>
    <w:rsid w:val="0026388A"/>
    <w:rsid w:val="00263A49"/>
    <w:rsid w:val="00263BF3"/>
    <w:rsid w:val="00264268"/>
    <w:rsid w:val="00264E57"/>
    <w:rsid w:val="00264F05"/>
    <w:rsid w:val="002656BE"/>
    <w:rsid w:val="00265A22"/>
    <w:rsid w:val="00265BF0"/>
    <w:rsid w:val="00265D1D"/>
    <w:rsid w:val="00266AF2"/>
    <w:rsid w:val="00266ECF"/>
    <w:rsid w:val="00266F5E"/>
    <w:rsid w:val="002671AC"/>
    <w:rsid w:val="00267AA7"/>
    <w:rsid w:val="00270188"/>
    <w:rsid w:val="0027042A"/>
    <w:rsid w:val="00270504"/>
    <w:rsid w:val="002708D3"/>
    <w:rsid w:val="002711EF"/>
    <w:rsid w:val="00271EB9"/>
    <w:rsid w:val="002720F4"/>
    <w:rsid w:val="0027240C"/>
    <w:rsid w:val="002724A9"/>
    <w:rsid w:val="00272749"/>
    <w:rsid w:val="00272753"/>
    <w:rsid w:val="00272808"/>
    <w:rsid w:val="002729A9"/>
    <w:rsid w:val="002730B0"/>
    <w:rsid w:val="00273718"/>
    <w:rsid w:val="002739B2"/>
    <w:rsid w:val="00273B4E"/>
    <w:rsid w:val="00273CE6"/>
    <w:rsid w:val="00274EDF"/>
    <w:rsid w:val="002764E5"/>
    <w:rsid w:val="002768E7"/>
    <w:rsid w:val="0027726B"/>
    <w:rsid w:val="002774DA"/>
    <w:rsid w:val="002806EE"/>
    <w:rsid w:val="00280B6A"/>
    <w:rsid w:val="00281121"/>
    <w:rsid w:val="0028125D"/>
    <w:rsid w:val="00281513"/>
    <w:rsid w:val="0028228D"/>
    <w:rsid w:val="0028292E"/>
    <w:rsid w:val="002832D4"/>
    <w:rsid w:val="002833AD"/>
    <w:rsid w:val="0028369D"/>
    <w:rsid w:val="002838BB"/>
    <w:rsid w:val="002842FF"/>
    <w:rsid w:val="00284F5C"/>
    <w:rsid w:val="002853E7"/>
    <w:rsid w:val="002854B4"/>
    <w:rsid w:val="00285736"/>
    <w:rsid w:val="0028579A"/>
    <w:rsid w:val="00285E9F"/>
    <w:rsid w:val="00286097"/>
    <w:rsid w:val="002876DB"/>
    <w:rsid w:val="002877F3"/>
    <w:rsid w:val="00287A3E"/>
    <w:rsid w:val="00287AAD"/>
    <w:rsid w:val="002903BA"/>
    <w:rsid w:val="0029077A"/>
    <w:rsid w:val="00290E5A"/>
    <w:rsid w:val="00291724"/>
    <w:rsid w:val="002920BB"/>
    <w:rsid w:val="00292485"/>
    <w:rsid w:val="002925E8"/>
    <w:rsid w:val="002926CF"/>
    <w:rsid w:val="00292727"/>
    <w:rsid w:val="00292C54"/>
    <w:rsid w:val="002936A3"/>
    <w:rsid w:val="002936B2"/>
    <w:rsid w:val="00293A33"/>
    <w:rsid w:val="00293A40"/>
    <w:rsid w:val="00293B80"/>
    <w:rsid w:val="002942B4"/>
    <w:rsid w:val="002946C7"/>
    <w:rsid w:val="00294833"/>
    <w:rsid w:val="00294B9B"/>
    <w:rsid w:val="002959C7"/>
    <w:rsid w:val="00296D9C"/>
    <w:rsid w:val="002A003A"/>
    <w:rsid w:val="002A0313"/>
    <w:rsid w:val="002A14C7"/>
    <w:rsid w:val="002A18BE"/>
    <w:rsid w:val="002A1A62"/>
    <w:rsid w:val="002A2A5A"/>
    <w:rsid w:val="002A350D"/>
    <w:rsid w:val="002A37ED"/>
    <w:rsid w:val="002A395A"/>
    <w:rsid w:val="002A3A1D"/>
    <w:rsid w:val="002A3CCB"/>
    <w:rsid w:val="002A3F37"/>
    <w:rsid w:val="002A4105"/>
    <w:rsid w:val="002A4106"/>
    <w:rsid w:val="002A41BA"/>
    <w:rsid w:val="002A4613"/>
    <w:rsid w:val="002A496A"/>
    <w:rsid w:val="002A4DE3"/>
    <w:rsid w:val="002A5540"/>
    <w:rsid w:val="002A5AC1"/>
    <w:rsid w:val="002A5D0B"/>
    <w:rsid w:val="002A5D14"/>
    <w:rsid w:val="002A6072"/>
    <w:rsid w:val="002A63F3"/>
    <w:rsid w:val="002A7697"/>
    <w:rsid w:val="002A793D"/>
    <w:rsid w:val="002A7BDF"/>
    <w:rsid w:val="002A7CCF"/>
    <w:rsid w:val="002B00CA"/>
    <w:rsid w:val="002B04CD"/>
    <w:rsid w:val="002B1B07"/>
    <w:rsid w:val="002B1F8C"/>
    <w:rsid w:val="002B1F9F"/>
    <w:rsid w:val="002B24FD"/>
    <w:rsid w:val="002B2AE1"/>
    <w:rsid w:val="002B2E19"/>
    <w:rsid w:val="002B2E31"/>
    <w:rsid w:val="002B2EE0"/>
    <w:rsid w:val="002B32AE"/>
    <w:rsid w:val="002B3C26"/>
    <w:rsid w:val="002B40A1"/>
    <w:rsid w:val="002B4415"/>
    <w:rsid w:val="002B4ECC"/>
    <w:rsid w:val="002B53D3"/>
    <w:rsid w:val="002B586B"/>
    <w:rsid w:val="002B5BB9"/>
    <w:rsid w:val="002B5CE0"/>
    <w:rsid w:val="002B65A7"/>
    <w:rsid w:val="002B6703"/>
    <w:rsid w:val="002B738A"/>
    <w:rsid w:val="002B754B"/>
    <w:rsid w:val="002B7DCB"/>
    <w:rsid w:val="002C0EA5"/>
    <w:rsid w:val="002C158F"/>
    <w:rsid w:val="002C1F95"/>
    <w:rsid w:val="002C25AF"/>
    <w:rsid w:val="002C2EAA"/>
    <w:rsid w:val="002C3030"/>
    <w:rsid w:val="002C3361"/>
    <w:rsid w:val="002C350B"/>
    <w:rsid w:val="002C3592"/>
    <w:rsid w:val="002C364D"/>
    <w:rsid w:val="002C3AE3"/>
    <w:rsid w:val="002C3B14"/>
    <w:rsid w:val="002C3D1F"/>
    <w:rsid w:val="002C43F6"/>
    <w:rsid w:val="002C463E"/>
    <w:rsid w:val="002C4B32"/>
    <w:rsid w:val="002C53FE"/>
    <w:rsid w:val="002C55E4"/>
    <w:rsid w:val="002C5C73"/>
    <w:rsid w:val="002C6192"/>
    <w:rsid w:val="002C6448"/>
    <w:rsid w:val="002C6CC4"/>
    <w:rsid w:val="002D05B0"/>
    <w:rsid w:val="002D177C"/>
    <w:rsid w:val="002D1BDE"/>
    <w:rsid w:val="002D1CBA"/>
    <w:rsid w:val="002D2517"/>
    <w:rsid w:val="002D2959"/>
    <w:rsid w:val="002D2D37"/>
    <w:rsid w:val="002D322F"/>
    <w:rsid w:val="002D3FDF"/>
    <w:rsid w:val="002D41D1"/>
    <w:rsid w:val="002D42E6"/>
    <w:rsid w:val="002D43FF"/>
    <w:rsid w:val="002D4CBE"/>
    <w:rsid w:val="002D5837"/>
    <w:rsid w:val="002D58DD"/>
    <w:rsid w:val="002D60D3"/>
    <w:rsid w:val="002D6D7A"/>
    <w:rsid w:val="002D6FB1"/>
    <w:rsid w:val="002D7827"/>
    <w:rsid w:val="002D7C8B"/>
    <w:rsid w:val="002D7D51"/>
    <w:rsid w:val="002E1426"/>
    <w:rsid w:val="002E1D13"/>
    <w:rsid w:val="002E1E17"/>
    <w:rsid w:val="002E1EE4"/>
    <w:rsid w:val="002E2309"/>
    <w:rsid w:val="002E25C9"/>
    <w:rsid w:val="002E2BDF"/>
    <w:rsid w:val="002E3723"/>
    <w:rsid w:val="002E392E"/>
    <w:rsid w:val="002E3D04"/>
    <w:rsid w:val="002E4D08"/>
    <w:rsid w:val="002E4D42"/>
    <w:rsid w:val="002E4FCE"/>
    <w:rsid w:val="002E523E"/>
    <w:rsid w:val="002E5325"/>
    <w:rsid w:val="002E5421"/>
    <w:rsid w:val="002E575B"/>
    <w:rsid w:val="002E5983"/>
    <w:rsid w:val="002E68CD"/>
    <w:rsid w:val="002E6922"/>
    <w:rsid w:val="002E6E79"/>
    <w:rsid w:val="002E72D4"/>
    <w:rsid w:val="002E77B4"/>
    <w:rsid w:val="002F0057"/>
    <w:rsid w:val="002F0761"/>
    <w:rsid w:val="002F14DD"/>
    <w:rsid w:val="002F14FD"/>
    <w:rsid w:val="002F35F9"/>
    <w:rsid w:val="002F3769"/>
    <w:rsid w:val="002F4087"/>
    <w:rsid w:val="002F444C"/>
    <w:rsid w:val="002F4A60"/>
    <w:rsid w:val="002F4CF9"/>
    <w:rsid w:val="002F4EE1"/>
    <w:rsid w:val="002F531F"/>
    <w:rsid w:val="002F5469"/>
    <w:rsid w:val="002F59B6"/>
    <w:rsid w:val="002F5E12"/>
    <w:rsid w:val="002F6622"/>
    <w:rsid w:val="0030013B"/>
    <w:rsid w:val="00300467"/>
    <w:rsid w:val="00300798"/>
    <w:rsid w:val="00301441"/>
    <w:rsid w:val="00302A97"/>
    <w:rsid w:val="00302A98"/>
    <w:rsid w:val="0030372A"/>
    <w:rsid w:val="00303785"/>
    <w:rsid w:val="00303A67"/>
    <w:rsid w:val="00303F73"/>
    <w:rsid w:val="0030534F"/>
    <w:rsid w:val="003057CE"/>
    <w:rsid w:val="00306091"/>
    <w:rsid w:val="00306115"/>
    <w:rsid w:val="00306164"/>
    <w:rsid w:val="00306BDA"/>
    <w:rsid w:val="003070DD"/>
    <w:rsid w:val="003075D1"/>
    <w:rsid w:val="00307660"/>
    <w:rsid w:val="003077BB"/>
    <w:rsid w:val="00310129"/>
    <w:rsid w:val="00310152"/>
    <w:rsid w:val="003102C3"/>
    <w:rsid w:val="00310C15"/>
    <w:rsid w:val="00310C44"/>
    <w:rsid w:val="003110F1"/>
    <w:rsid w:val="003111BD"/>
    <w:rsid w:val="0031142D"/>
    <w:rsid w:val="00311911"/>
    <w:rsid w:val="00311DAC"/>
    <w:rsid w:val="00313A37"/>
    <w:rsid w:val="0031436E"/>
    <w:rsid w:val="00314629"/>
    <w:rsid w:val="0031482F"/>
    <w:rsid w:val="00315126"/>
    <w:rsid w:val="00315316"/>
    <w:rsid w:val="00315722"/>
    <w:rsid w:val="00315E74"/>
    <w:rsid w:val="00316606"/>
    <w:rsid w:val="00316B9A"/>
    <w:rsid w:val="003174B4"/>
    <w:rsid w:val="00317907"/>
    <w:rsid w:val="00320279"/>
    <w:rsid w:val="0032075D"/>
    <w:rsid w:val="00320992"/>
    <w:rsid w:val="00320CD1"/>
    <w:rsid w:val="00321276"/>
    <w:rsid w:val="0032135A"/>
    <w:rsid w:val="00321AF7"/>
    <w:rsid w:val="0032205B"/>
    <w:rsid w:val="0032227B"/>
    <w:rsid w:val="00322BD1"/>
    <w:rsid w:val="00323531"/>
    <w:rsid w:val="00323729"/>
    <w:rsid w:val="003237B1"/>
    <w:rsid w:val="0032406F"/>
    <w:rsid w:val="00324761"/>
    <w:rsid w:val="00324EFB"/>
    <w:rsid w:val="0032556B"/>
    <w:rsid w:val="00325585"/>
    <w:rsid w:val="003257D6"/>
    <w:rsid w:val="00325ABA"/>
    <w:rsid w:val="00326331"/>
    <w:rsid w:val="003263AA"/>
    <w:rsid w:val="00326A30"/>
    <w:rsid w:val="00326C55"/>
    <w:rsid w:val="00326E71"/>
    <w:rsid w:val="00327261"/>
    <w:rsid w:val="003273EC"/>
    <w:rsid w:val="0032780C"/>
    <w:rsid w:val="003300F3"/>
    <w:rsid w:val="00330B9A"/>
    <w:rsid w:val="003318DA"/>
    <w:rsid w:val="00331C59"/>
    <w:rsid w:val="0033262B"/>
    <w:rsid w:val="003328A6"/>
    <w:rsid w:val="00332CE9"/>
    <w:rsid w:val="00333659"/>
    <w:rsid w:val="003337A2"/>
    <w:rsid w:val="0033399E"/>
    <w:rsid w:val="00334080"/>
    <w:rsid w:val="003347E6"/>
    <w:rsid w:val="003349C7"/>
    <w:rsid w:val="00334B95"/>
    <w:rsid w:val="003354EA"/>
    <w:rsid w:val="003355BF"/>
    <w:rsid w:val="003364A3"/>
    <w:rsid w:val="00336529"/>
    <w:rsid w:val="00336B26"/>
    <w:rsid w:val="00336E4D"/>
    <w:rsid w:val="00337708"/>
    <w:rsid w:val="00337F56"/>
    <w:rsid w:val="003402F4"/>
    <w:rsid w:val="00340604"/>
    <w:rsid w:val="003406CA"/>
    <w:rsid w:val="003408C1"/>
    <w:rsid w:val="00340A46"/>
    <w:rsid w:val="00340B90"/>
    <w:rsid w:val="00340C21"/>
    <w:rsid w:val="00340DEC"/>
    <w:rsid w:val="00341ACE"/>
    <w:rsid w:val="00341C29"/>
    <w:rsid w:val="003420F1"/>
    <w:rsid w:val="003428DD"/>
    <w:rsid w:val="003429CA"/>
    <w:rsid w:val="00342D8C"/>
    <w:rsid w:val="00343198"/>
    <w:rsid w:val="003437EB"/>
    <w:rsid w:val="00343C4D"/>
    <w:rsid w:val="00344935"/>
    <w:rsid w:val="003449AB"/>
    <w:rsid w:val="003449B3"/>
    <w:rsid w:val="003459C5"/>
    <w:rsid w:val="00345DB4"/>
    <w:rsid w:val="003463A5"/>
    <w:rsid w:val="003466D1"/>
    <w:rsid w:val="00346C69"/>
    <w:rsid w:val="00347FBD"/>
    <w:rsid w:val="00350322"/>
    <w:rsid w:val="00350CFF"/>
    <w:rsid w:val="00350D35"/>
    <w:rsid w:val="00351218"/>
    <w:rsid w:val="003517FD"/>
    <w:rsid w:val="003523B3"/>
    <w:rsid w:val="00352608"/>
    <w:rsid w:val="0035279E"/>
    <w:rsid w:val="00353506"/>
    <w:rsid w:val="003536C4"/>
    <w:rsid w:val="00353705"/>
    <w:rsid w:val="00353F3A"/>
    <w:rsid w:val="00354293"/>
    <w:rsid w:val="0035473A"/>
    <w:rsid w:val="00354ADC"/>
    <w:rsid w:val="00354D28"/>
    <w:rsid w:val="00355093"/>
    <w:rsid w:val="003558FC"/>
    <w:rsid w:val="00355F51"/>
    <w:rsid w:val="003562D7"/>
    <w:rsid w:val="00356D52"/>
    <w:rsid w:val="003571A1"/>
    <w:rsid w:val="00357B54"/>
    <w:rsid w:val="00357E59"/>
    <w:rsid w:val="00360889"/>
    <w:rsid w:val="0036131E"/>
    <w:rsid w:val="00361709"/>
    <w:rsid w:val="0036186C"/>
    <w:rsid w:val="00361AC2"/>
    <w:rsid w:val="00362591"/>
    <w:rsid w:val="00362929"/>
    <w:rsid w:val="00362B05"/>
    <w:rsid w:val="003646DC"/>
    <w:rsid w:val="003651A3"/>
    <w:rsid w:val="00365313"/>
    <w:rsid w:val="00365B3B"/>
    <w:rsid w:val="003666C0"/>
    <w:rsid w:val="0036734B"/>
    <w:rsid w:val="00367427"/>
    <w:rsid w:val="0037058B"/>
    <w:rsid w:val="00371F09"/>
    <w:rsid w:val="0037201D"/>
    <w:rsid w:val="00372C3A"/>
    <w:rsid w:val="00372ED0"/>
    <w:rsid w:val="003730A1"/>
    <w:rsid w:val="0037321C"/>
    <w:rsid w:val="00373448"/>
    <w:rsid w:val="00374214"/>
    <w:rsid w:val="003753E8"/>
    <w:rsid w:val="00375EFB"/>
    <w:rsid w:val="00375FC7"/>
    <w:rsid w:val="003764F1"/>
    <w:rsid w:val="003769DF"/>
    <w:rsid w:val="00376C97"/>
    <w:rsid w:val="00377139"/>
    <w:rsid w:val="003775C2"/>
    <w:rsid w:val="00377794"/>
    <w:rsid w:val="00377F50"/>
    <w:rsid w:val="00380778"/>
    <w:rsid w:val="00380864"/>
    <w:rsid w:val="00380D61"/>
    <w:rsid w:val="00381AA7"/>
    <w:rsid w:val="0038281B"/>
    <w:rsid w:val="00383F91"/>
    <w:rsid w:val="0038437A"/>
    <w:rsid w:val="003849ED"/>
    <w:rsid w:val="00384A84"/>
    <w:rsid w:val="00384BC4"/>
    <w:rsid w:val="00385359"/>
    <w:rsid w:val="003856BA"/>
    <w:rsid w:val="003857D3"/>
    <w:rsid w:val="00386451"/>
    <w:rsid w:val="00386678"/>
    <w:rsid w:val="00386ED1"/>
    <w:rsid w:val="00386F1B"/>
    <w:rsid w:val="003874F2"/>
    <w:rsid w:val="0039016C"/>
    <w:rsid w:val="00390758"/>
    <w:rsid w:val="00391157"/>
    <w:rsid w:val="00391423"/>
    <w:rsid w:val="00391EA5"/>
    <w:rsid w:val="00391F25"/>
    <w:rsid w:val="003920D7"/>
    <w:rsid w:val="00392736"/>
    <w:rsid w:val="003928BB"/>
    <w:rsid w:val="00392BC5"/>
    <w:rsid w:val="00393010"/>
    <w:rsid w:val="00393343"/>
    <w:rsid w:val="00393521"/>
    <w:rsid w:val="0039375F"/>
    <w:rsid w:val="003950F0"/>
    <w:rsid w:val="0039532A"/>
    <w:rsid w:val="003955AF"/>
    <w:rsid w:val="00395995"/>
    <w:rsid w:val="00395AFF"/>
    <w:rsid w:val="00395BFD"/>
    <w:rsid w:val="00395FF0"/>
    <w:rsid w:val="003969FA"/>
    <w:rsid w:val="00396B7A"/>
    <w:rsid w:val="00396C29"/>
    <w:rsid w:val="003972B0"/>
    <w:rsid w:val="00397B44"/>
    <w:rsid w:val="003A0150"/>
    <w:rsid w:val="003A0165"/>
    <w:rsid w:val="003A1009"/>
    <w:rsid w:val="003A2540"/>
    <w:rsid w:val="003A2775"/>
    <w:rsid w:val="003A2834"/>
    <w:rsid w:val="003A2AF6"/>
    <w:rsid w:val="003A2C99"/>
    <w:rsid w:val="003A2CF9"/>
    <w:rsid w:val="003A2EC1"/>
    <w:rsid w:val="003A309D"/>
    <w:rsid w:val="003A342B"/>
    <w:rsid w:val="003A4AA4"/>
    <w:rsid w:val="003A4B07"/>
    <w:rsid w:val="003A5154"/>
    <w:rsid w:val="003A5F18"/>
    <w:rsid w:val="003A622F"/>
    <w:rsid w:val="003A7644"/>
    <w:rsid w:val="003B007A"/>
    <w:rsid w:val="003B1361"/>
    <w:rsid w:val="003B14BA"/>
    <w:rsid w:val="003B15E1"/>
    <w:rsid w:val="003B16B5"/>
    <w:rsid w:val="003B1C19"/>
    <w:rsid w:val="003B1D60"/>
    <w:rsid w:val="003B276C"/>
    <w:rsid w:val="003B2B3D"/>
    <w:rsid w:val="003B34C1"/>
    <w:rsid w:val="003B3726"/>
    <w:rsid w:val="003B40F2"/>
    <w:rsid w:val="003B46F1"/>
    <w:rsid w:val="003B480D"/>
    <w:rsid w:val="003B4B8F"/>
    <w:rsid w:val="003B4DF2"/>
    <w:rsid w:val="003B5798"/>
    <w:rsid w:val="003B5927"/>
    <w:rsid w:val="003B5DD5"/>
    <w:rsid w:val="003B6367"/>
    <w:rsid w:val="003B653B"/>
    <w:rsid w:val="003B67B2"/>
    <w:rsid w:val="003B6FFB"/>
    <w:rsid w:val="003B7266"/>
    <w:rsid w:val="003B763E"/>
    <w:rsid w:val="003B76E4"/>
    <w:rsid w:val="003B7762"/>
    <w:rsid w:val="003C03D5"/>
    <w:rsid w:val="003C047A"/>
    <w:rsid w:val="003C0613"/>
    <w:rsid w:val="003C086F"/>
    <w:rsid w:val="003C0E51"/>
    <w:rsid w:val="003C105E"/>
    <w:rsid w:val="003C13E4"/>
    <w:rsid w:val="003C1564"/>
    <w:rsid w:val="003C16E0"/>
    <w:rsid w:val="003C228C"/>
    <w:rsid w:val="003C22FC"/>
    <w:rsid w:val="003C2804"/>
    <w:rsid w:val="003C28BB"/>
    <w:rsid w:val="003C2B01"/>
    <w:rsid w:val="003C2BD6"/>
    <w:rsid w:val="003C2CD5"/>
    <w:rsid w:val="003C316F"/>
    <w:rsid w:val="003C3453"/>
    <w:rsid w:val="003C41ED"/>
    <w:rsid w:val="003C4428"/>
    <w:rsid w:val="003C4514"/>
    <w:rsid w:val="003C45E1"/>
    <w:rsid w:val="003C4BBC"/>
    <w:rsid w:val="003C4E84"/>
    <w:rsid w:val="003C5095"/>
    <w:rsid w:val="003C5724"/>
    <w:rsid w:val="003C5BCF"/>
    <w:rsid w:val="003C5DE8"/>
    <w:rsid w:val="003C5E7C"/>
    <w:rsid w:val="003C5F88"/>
    <w:rsid w:val="003C6672"/>
    <w:rsid w:val="003C6D0F"/>
    <w:rsid w:val="003C7352"/>
    <w:rsid w:val="003C76B1"/>
    <w:rsid w:val="003D00AC"/>
    <w:rsid w:val="003D012B"/>
    <w:rsid w:val="003D0C92"/>
    <w:rsid w:val="003D145C"/>
    <w:rsid w:val="003D1DAB"/>
    <w:rsid w:val="003D1F97"/>
    <w:rsid w:val="003D3E7C"/>
    <w:rsid w:val="003D3EAB"/>
    <w:rsid w:val="003D3F1C"/>
    <w:rsid w:val="003D4639"/>
    <w:rsid w:val="003D53BD"/>
    <w:rsid w:val="003D5568"/>
    <w:rsid w:val="003D5B3E"/>
    <w:rsid w:val="003D5BE4"/>
    <w:rsid w:val="003D6335"/>
    <w:rsid w:val="003D65E1"/>
    <w:rsid w:val="003D6792"/>
    <w:rsid w:val="003D6ECD"/>
    <w:rsid w:val="003D7346"/>
    <w:rsid w:val="003D7CA4"/>
    <w:rsid w:val="003E01D2"/>
    <w:rsid w:val="003E09BE"/>
    <w:rsid w:val="003E1BB5"/>
    <w:rsid w:val="003E2239"/>
    <w:rsid w:val="003E23D3"/>
    <w:rsid w:val="003E248B"/>
    <w:rsid w:val="003E28E9"/>
    <w:rsid w:val="003E3BFA"/>
    <w:rsid w:val="003E4071"/>
    <w:rsid w:val="003E440B"/>
    <w:rsid w:val="003E50E0"/>
    <w:rsid w:val="003E5201"/>
    <w:rsid w:val="003E575B"/>
    <w:rsid w:val="003E5A87"/>
    <w:rsid w:val="003E60A7"/>
    <w:rsid w:val="003E6158"/>
    <w:rsid w:val="003E6669"/>
    <w:rsid w:val="003E6EC8"/>
    <w:rsid w:val="003E6F99"/>
    <w:rsid w:val="003E72C7"/>
    <w:rsid w:val="003F0E7B"/>
    <w:rsid w:val="003F19D4"/>
    <w:rsid w:val="003F1EFF"/>
    <w:rsid w:val="003F2116"/>
    <w:rsid w:val="003F23AA"/>
    <w:rsid w:val="003F23EA"/>
    <w:rsid w:val="003F2801"/>
    <w:rsid w:val="003F2CBD"/>
    <w:rsid w:val="003F2E8B"/>
    <w:rsid w:val="003F2F9C"/>
    <w:rsid w:val="003F3BD8"/>
    <w:rsid w:val="003F3E42"/>
    <w:rsid w:val="003F40B2"/>
    <w:rsid w:val="003F45AB"/>
    <w:rsid w:val="003F4818"/>
    <w:rsid w:val="003F4A63"/>
    <w:rsid w:val="003F4C75"/>
    <w:rsid w:val="003F516E"/>
    <w:rsid w:val="003F5CF7"/>
    <w:rsid w:val="003F5EF3"/>
    <w:rsid w:val="003F6027"/>
    <w:rsid w:val="003F61AA"/>
    <w:rsid w:val="003F69C4"/>
    <w:rsid w:val="003F6A62"/>
    <w:rsid w:val="003F6C5E"/>
    <w:rsid w:val="003F7035"/>
    <w:rsid w:val="003F7DC3"/>
    <w:rsid w:val="003F7F38"/>
    <w:rsid w:val="004005E7"/>
    <w:rsid w:val="00400639"/>
    <w:rsid w:val="004009F0"/>
    <w:rsid w:val="00400BA8"/>
    <w:rsid w:val="00401353"/>
    <w:rsid w:val="00401890"/>
    <w:rsid w:val="00401B47"/>
    <w:rsid w:val="00401DAD"/>
    <w:rsid w:val="00402112"/>
    <w:rsid w:val="0040388C"/>
    <w:rsid w:val="00403ECC"/>
    <w:rsid w:val="0040438A"/>
    <w:rsid w:val="004043E2"/>
    <w:rsid w:val="00404918"/>
    <w:rsid w:val="00404A0D"/>
    <w:rsid w:val="00404BD5"/>
    <w:rsid w:val="00404F10"/>
    <w:rsid w:val="00405001"/>
    <w:rsid w:val="004055C9"/>
    <w:rsid w:val="004055F1"/>
    <w:rsid w:val="004056FD"/>
    <w:rsid w:val="00405E06"/>
    <w:rsid w:val="004061D9"/>
    <w:rsid w:val="00406620"/>
    <w:rsid w:val="00406873"/>
    <w:rsid w:val="004075E4"/>
    <w:rsid w:val="00407AF3"/>
    <w:rsid w:val="00407BAD"/>
    <w:rsid w:val="0041069A"/>
    <w:rsid w:val="004106BF"/>
    <w:rsid w:val="004109C9"/>
    <w:rsid w:val="00411006"/>
    <w:rsid w:val="00411030"/>
    <w:rsid w:val="00411082"/>
    <w:rsid w:val="0041135F"/>
    <w:rsid w:val="004116A3"/>
    <w:rsid w:val="00411DC2"/>
    <w:rsid w:val="00411EBC"/>
    <w:rsid w:val="00411F45"/>
    <w:rsid w:val="00412D7C"/>
    <w:rsid w:val="00412E96"/>
    <w:rsid w:val="004139D9"/>
    <w:rsid w:val="00413B50"/>
    <w:rsid w:val="00413E6A"/>
    <w:rsid w:val="0041467E"/>
    <w:rsid w:val="00414766"/>
    <w:rsid w:val="00414AF0"/>
    <w:rsid w:val="00414FAF"/>
    <w:rsid w:val="00415BCB"/>
    <w:rsid w:val="00415F7A"/>
    <w:rsid w:val="00415FD5"/>
    <w:rsid w:val="00416501"/>
    <w:rsid w:val="00416A88"/>
    <w:rsid w:val="00416DBE"/>
    <w:rsid w:val="00416F1E"/>
    <w:rsid w:val="0041716F"/>
    <w:rsid w:val="0041799A"/>
    <w:rsid w:val="00417AD7"/>
    <w:rsid w:val="00417D4F"/>
    <w:rsid w:val="004203AC"/>
    <w:rsid w:val="0042083A"/>
    <w:rsid w:val="00420F7B"/>
    <w:rsid w:val="0042153F"/>
    <w:rsid w:val="00421C26"/>
    <w:rsid w:val="00421D4F"/>
    <w:rsid w:val="00422073"/>
    <w:rsid w:val="0042230C"/>
    <w:rsid w:val="004227DE"/>
    <w:rsid w:val="004229AC"/>
    <w:rsid w:val="004229B5"/>
    <w:rsid w:val="00422A3B"/>
    <w:rsid w:val="00422CCF"/>
    <w:rsid w:val="0042326F"/>
    <w:rsid w:val="00423D0B"/>
    <w:rsid w:val="0042484F"/>
    <w:rsid w:val="00426F2C"/>
    <w:rsid w:val="004275D3"/>
    <w:rsid w:val="00427B55"/>
    <w:rsid w:val="00427F97"/>
    <w:rsid w:val="0043025F"/>
    <w:rsid w:val="004305C7"/>
    <w:rsid w:val="00430DD8"/>
    <w:rsid w:val="00431932"/>
    <w:rsid w:val="00431C29"/>
    <w:rsid w:val="004322B2"/>
    <w:rsid w:val="0043280E"/>
    <w:rsid w:val="00432848"/>
    <w:rsid w:val="004328C0"/>
    <w:rsid w:val="00432960"/>
    <w:rsid w:val="0043357E"/>
    <w:rsid w:val="00433F49"/>
    <w:rsid w:val="00434150"/>
    <w:rsid w:val="004349A8"/>
    <w:rsid w:val="004349BB"/>
    <w:rsid w:val="00434DA8"/>
    <w:rsid w:val="00434EC2"/>
    <w:rsid w:val="0043575A"/>
    <w:rsid w:val="00435F26"/>
    <w:rsid w:val="00436E24"/>
    <w:rsid w:val="004370A0"/>
    <w:rsid w:val="0043729F"/>
    <w:rsid w:val="004372DA"/>
    <w:rsid w:val="004374C6"/>
    <w:rsid w:val="004377B3"/>
    <w:rsid w:val="00437876"/>
    <w:rsid w:val="00437AD3"/>
    <w:rsid w:val="00440B81"/>
    <w:rsid w:val="00440D9F"/>
    <w:rsid w:val="00440FAD"/>
    <w:rsid w:val="004410A0"/>
    <w:rsid w:val="00441D16"/>
    <w:rsid w:val="00442028"/>
    <w:rsid w:val="004429BA"/>
    <w:rsid w:val="004429F0"/>
    <w:rsid w:val="00443AE3"/>
    <w:rsid w:val="00443B09"/>
    <w:rsid w:val="00443D70"/>
    <w:rsid w:val="0044466F"/>
    <w:rsid w:val="00444D1B"/>
    <w:rsid w:val="00444D36"/>
    <w:rsid w:val="00444FE1"/>
    <w:rsid w:val="0044517C"/>
    <w:rsid w:val="004451DC"/>
    <w:rsid w:val="0044602D"/>
    <w:rsid w:val="0044635E"/>
    <w:rsid w:val="00446B5C"/>
    <w:rsid w:val="00446CF3"/>
    <w:rsid w:val="00446D07"/>
    <w:rsid w:val="0044701A"/>
    <w:rsid w:val="00447C0E"/>
    <w:rsid w:val="00450559"/>
    <w:rsid w:val="00451513"/>
    <w:rsid w:val="004530B9"/>
    <w:rsid w:val="004532F3"/>
    <w:rsid w:val="004535C0"/>
    <w:rsid w:val="00454CF8"/>
    <w:rsid w:val="00454F26"/>
    <w:rsid w:val="004566E1"/>
    <w:rsid w:val="00456BC7"/>
    <w:rsid w:val="0045716B"/>
    <w:rsid w:val="004572D2"/>
    <w:rsid w:val="00457D42"/>
    <w:rsid w:val="00460017"/>
    <w:rsid w:val="00460188"/>
    <w:rsid w:val="00460302"/>
    <w:rsid w:val="0046046F"/>
    <w:rsid w:val="0046051C"/>
    <w:rsid w:val="004607C1"/>
    <w:rsid w:val="00460A2C"/>
    <w:rsid w:val="004610F1"/>
    <w:rsid w:val="00461CF4"/>
    <w:rsid w:val="004622A6"/>
    <w:rsid w:val="00462D26"/>
    <w:rsid w:val="00463374"/>
    <w:rsid w:val="004635FB"/>
    <w:rsid w:val="00463D29"/>
    <w:rsid w:val="00463DC8"/>
    <w:rsid w:val="0046498A"/>
    <w:rsid w:val="00465310"/>
    <w:rsid w:val="00465E4C"/>
    <w:rsid w:val="0046603A"/>
    <w:rsid w:val="00466773"/>
    <w:rsid w:val="00466D50"/>
    <w:rsid w:val="00466E1F"/>
    <w:rsid w:val="00466F97"/>
    <w:rsid w:val="004670F0"/>
    <w:rsid w:val="004679FA"/>
    <w:rsid w:val="00467E56"/>
    <w:rsid w:val="004702E1"/>
    <w:rsid w:val="004702EB"/>
    <w:rsid w:val="0047038F"/>
    <w:rsid w:val="0047045F"/>
    <w:rsid w:val="0047083B"/>
    <w:rsid w:val="00470BB9"/>
    <w:rsid w:val="00471857"/>
    <w:rsid w:val="00471C26"/>
    <w:rsid w:val="0047287E"/>
    <w:rsid w:val="00473682"/>
    <w:rsid w:val="00473D16"/>
    <w:rsid w:val="004746D3"/>
    <w:rsid w:val="00474A19"/>
    <w:rsid w:val="00474CB0"/>
    <w:rsid w:val="004756D8"/>
    <w:rsid w:val="004771CC"/>
    <w:rsid w:val="004773DD"/>
    <w:rsid w:val="00481BE6"/>
    <w:rsid w:val="00483DC1"/>
    <w:rsid w:val="00484E52"/>
    <w:rsid w:val="00484E5B"/>
    <w:rsid w:val="004853EB"/>
    <w:rsid w:val="00485E7B"/>
    <w:rsid w:val="004860FE"/>
    <w:rsid w:val="004862FE"/>
    <w:rsid w:val="00487AE6"/>
    <w:rsid w:val="00490660"/>
    <w:rsid w:val="0049068D"/>
    <w:rsid w:val="00490F51"/>
    <w:rsid w:val="004915AE"/>
    <w:rsid w:val="00491B98"/>
    <w:rsid w:val="00492688"/>
    <w:rsid w:val="004926B4"/>
    <w:rsid w:val="004927BD"/>
    <w:rsid w:val="00492B73"/>
    <w:rsid w:val="00493170"/>
    <w:rsid w:val="00494A02"/>
    <w:rsid w:val="0049513D"/>
    <w:rsid w:val="00495888"/>
    <w:rsid w:val="00496708"/>
    <w:rsid w:val="004967D7"/>
    <w:rsid w:val="004978EB"/>
    <w:rsid w:val="004A0C1D"/>
    <w:rsid w:val="004A12F4"/>
    <w:rsid w:val="004A1366"/>
    <w:rsid w:val="004A1A65"/>
    <w:rsid w:val="004A2335"/>
    <w:rsid w:val="004A2643"/>
    <w:rsid w:val="004A2F7B"/>
    <w:rsid w:val="004A3EB0"/>
    <w:rsid w:val="004A4226"/>
    <w:rsid w:val="004A422F"/>
    <w:rsid w:val="004A4518"/>
    <w:rsid w:val="004A4968"/>
    <w:rsid w:val="004A51AB"/>
    <w:rsid w:val="004A61D1"/>
    <w:rsid w:val="004A680C"/>
    <w:rsid w:val="004A6DDE"/>
    <w:rsid w:val="004A7155"/>
    <w:rsid w:val="004A7233"/>
    <w:rsid w:val="004A79F9"/>
    <w:rsid w:val="004A7C2E"/>
    <w:rsid w:val="004A7C9D"/>
    <w:rsid w:val="004A7FCD"/>
    <w:rsid w:val="004B0739"/>
    <w:rsid w:val="004B0884"/>
    <w:rsid w:val="004B0A8B"/>
    <w:rsid w:val="004B0B70"/>
    <w:rsid w:val="004B2025"/>
    <w:rsid w:val="004B2911"/>
    <w:rsid w:val="004B2B1B"/>
    <w:rsid w:val="004B2C1B"/>
    <w:rsid w:val="004B3093"/>
    <w:rsid w:val="004B3D3F"/>
    <w:rsid w:val="004B4350"/>
    <w:rsid w:val="004B481D"/>
    <w:rsid w:val="004B52B9"/>
    <w:rsid w:val="004B55FE"/>
    <w:rsid w:val="004B625C"/>
    <w:rsid w:val="004B6449"/>
    <w:rsid w:val="004B66D8"/>
    <w:rsid w:val="004B6816"/>
    <w:rsid w:val="004B71B5"/>
    <w:rsid w:val="004B769F"/>
    <w:rsid w:val="004C11BA"/>
    <w:rsid w:val="004C1832"/>
    <w:rsid w:val="004C1C1C"/>
    <w:rsid w:val="004C20E8"/>
    <w:rsid w:val="004C26CB"/>
    <w:rsid w:val="004C2743"/>
    <w:rsid w:val="004C28C6"/>
    <w:rsid w:val="004C2B1F"/>
    <w:rsid w:val="004C3A9D"/>
    <w:rsid w:val="004C3DE2"/>
    <w:rsid w:val="004C42CE"/>
    <w:rsid w:val="004C4365"/>
    <w:rsid w:val="004C4C8C"/>
    <w:rsid w:val="004C4CDA"/>
    <w:rsid w:val="004C505E"/>
    <w:rsid w:val="004C561D"/>
    <w:rsid w:val="004C5B09"/>
    <w:rsid w:val="004C5E51"/>
    <w:rsid w:val="004C5FDA"/>
    <w:rsid w:val="004C602E"/>
    <w:rsid w:val="004C6200"/>
    <w:rsid w:val="004C6237"/>
    <w:rsid w:val="004C6670"/>
    <w:rsid w:val="004C773D"/>
    <w:rsid w:val="004C797A"/>
    <w:rsid w:val="004D172B"/>
    <w:rsid w:val="004D1C72"/>
    <w:rsid w:val="004D1D67"/>
    <w:rsid w:val="004D2A6A"/>
    <w:rsid w:val="004D2E9D"/>
    <w:rsid w:val="004D3BB3"/>
    <w:rsid w:val="004D4152"/>
    <w:rsid w:val="004D4943"/>
    <w:rsid w:val="004D4A76"/>
    <w:rsid w:val="004D7906"/>
    <w:rsid w:val="004D7B5C"/>
    <w:rsid w:val="004D7CB6"/>
    <w:rsid w:val="004D7DA9"/>
    <w:rsid w:val="004D7F12"/>
    <w:rsid w:val="004D7FC6"/>
    <w:rsid w:val="004E0298"/>
    <w:rsid w:val="004E0555"/>
    <w:rsid w:val="004E0638"/>
    <w:rsid w:val="004E0F1A"/>
    <w:rsid w:val="004E13F2"/>
    <w:rsid w:val="004E1432"/>
    <w:rsid w:val="004E1CC8"/>
    <w:rsid w:val="004E1D10"/>
    <w:rsid w:val="004E3C9B"/>
    <w:rsid w:val="004E3D5A"/>
    <w:rsid w:val="004E3DCB"/>
    <w:rsid w:val="004E4199"/>
    <w:rsid w:val="004E5E80"/>
    <w:rsid w:val="004E61D0"/>
    <w:rsid w:val="004E6758"/>
    <w:rsid w:val="004E6764"/>
    <w:rsid w:val="004E71C4"/>
    <w:rsid w:val="004E7256"/>
    <w:rsid w:val="004E79AB"/>
    <w:rsid w:val="004E7FEF"/>
    <w:rsid w:val="004F012E"/>
    <w:rsid w:val="004F0BFB"/>
    <w:rsid w:val="004F0C58"/>
    <w:rsid w:val="004F0ECF"/>
    <w:rsid w:val="004F1057"/>
    <w:rsid w:val="004F109C"/>
    <w:rsid w:val="004F112C"/>
    <w:rsid w:val="004F1499"/>
    <w:rsid w:val="004F16F7"/>
    <w:rsid w:val="004F1C1B"/>
    <w:rsid w:val="004F3199"/>
    <w:rsid w:val="004F3C10"/>
    <w:rsid w:val="004F4174"/>
    <w:rsid w:val="004F435A"/>
    <w:rsid w:val="004F44E3"/>
    <w:rsid w:val="004F4A08"/>
    <w:rsid w:val="004F4F86"/>
    <w:rsid w:val="004F55C9"/>
    <w:rsid w:val="004F5822"/>
    <w:rsid w:val="004F583C"/>
    <w:rsid w:val="004F633D"/>
    <w:rsid w:val="004F661F"/>
    <w:rsid w:val="004F6CAD"/>
    <w:rsid w:val="004F6E41"/>
    <w:rsid w:val="004F6F57"/>
    <w:rsid w:val="004F7154"/>
    <w:rsid w:val="004F72B3"/>
    <w:rsid w:val="004F7A83"/>
    <w:rsid w:val="004F7D5C"/>
    <w:rsid w:val="005009E1"/>
    <w:rsid w:val="00500BF0"/>
    <w:rsid w:val="005010F0"/>
    <w:rsid w:val="0050116E"/>
    <w:rsid w:val="00501942"/>
    <w:rsid w:val="00501CBD"/>
    <w:rsid w:val="00501D74"/>
    <w:rsid w:val="00502463"/>
    <w:rsid w:val="00502788"/>
    <w:rsid w:val="00502A49"/>
    <w:rsid w:val="00502C3D"/>
    <w:rsid w:val="00503E04"/>
    <w:rsid w:val="005040E8"/>
    <w:rsid w:val="005044D0"/>
    <w:rsid w:val="0050468E"/>
    <w:rsid w:val="00504903"/>
    <w:rsid w:val="005049F7"/>
    <w:rsid w:val="00504C48"/>
    <w:rsid w:val="00505556"/>
    <w:rsid w:val="005056A8"/>
    <w:rsid w:val="005062A8"/>
    <w:rsid w:val="005068FC"/>
    <w:rsid w:val="00507424"/>
    <w:rsid w:val="00510253"/>
    <w:rsid w:val="00510560"/>
    <w:rsid w:val="00510743"/>
    <w:rsid w:val="005109BA"/>
    <w:rsid w:val="00510EA8"/>
    <w:rsid w:val="005119C4"/>
    <w:rsid w:val="005120C7"/>
    <w:rsid w:val="00512D90"/>
    <w:rsid w:val="0051306D"/>
    <w:rsid w:val="00513106"/>
    <w:rsid w:val="005135E6"/>
    <w:rsid w:val="00513703"/>
    <w:rsid w:val="00513783"/>
    <w:rsid w:val="00513E9A"/>
    <w:rsid w:val="00514E84"/>
    <w:rsid w:val="00515127"/>
    <w:rsid w:val="00515439"/>
    <w:rsid w:val="0051546D"/>
    <w:rsid w:val="0051555C"/>
    <w:rsid w:val="00515E4B"/>
    <w:rsid w:val="0051640D"/>
    <w:rsid w:val="00516DB4"/>
    <w:rsid w:val="00517420"/>
    <w:rsid w:val="00517DBE"/>
    <w:rsid w:val="00517F7A"/>
    <w:rsid w:val="00520A87"/>
    <w:rsid w:val="00520B7E"/>
    <w:rsid w:val="00520CEF"/>
    <w:rsid w:val="00520E03"/>
    <w:rsid w:val="00521085"/>
    <w:rsid w:val="00521285"/>
    <w:rsid w:val="005214D2"/>
    <w:rsid w:val="0052177F"/>
    <w:rsid w:val="005217C9"/>
    <w:rsid w:val="00521C5F"/>
    <w:rsid w:val="00521EB0"/>
    <w:rsid w:val="0052230E"/>
    <w:rsid w:val="005223B5"/>
    <w:rsid w:val="00522926"/>
    <w:rsid w:val="00522BDE"/>
    <w:rsid w:val="00523045"/>
    <w:rsid w:val="00523408"/>
    <w:rsid w:val="00523845"/>
    <w:rsid w:val="00523A21"/>
    <w:rsid w:val="00524496"/>
    <w:rsid w:val="0052458F"/>
    <w:rsid w:val="00524A91"/>
    <w:rsid w:val="00524BD4"/>
    <w:rsid w:val="00524DD6"/>
    <w:rsid w:val="00524E9D"/>
    <w:rsid w:val="005258AB"/>
    <w:rsid w:val="00526028"/>
    <w:rsid w:val="005267F7"/>
    <w:rsid w:val="00526B40"/>
    <w:rsid w:val="00527BFC"/>
    <w:rsid w:val="005302B0"/>
    <w:rsid w:val="00530C9D"/>
    <w:rsid w:val="00530E7E"/>
    <w:rsid w:val="00530EFC"/>
    <w:rsid w:val="00532267"/>
    <w:rsid w:val="005329D2"/>
    <w:rsid w:val="005334BD"/>
    <w:rsid w:val="00533779"/>
    <w:rsid w:val="00534144"/>
    <w:rsid w:val="0053483E"/>
    <w:rsid w:val="00535203"/>
    <w:rsid w:val="00535398"/>
    <w:rsid w:val="0053587C"/>
    <w:rsid w:val="00535BE9"/>
    <w:rsid w:val="005362B9"/>
    <w:rsid w:val="00536687"/>
    <w:rsid w:val="00536BDF"/>
    <w:rsid w:val="00536E0E"/>
    <w:rsid w:val="00537800"/>
    <w:rsid w:val="00537BE9"/>
    <w:rsid w:val="00540606"/>
    <w:rsid w:val="00540A60"/>
    <w:rsid w:val="00541DE0"/>
    <w:rsid w:val="00542136"/>
    <w:rsid w:val="005421BC"/>
    <w:rsid w:val="0054248B"/>
    <w:rsid w:val="0054293E"/>
    <w:rsid w:val="00542AE0"/>
    <w:rsid w:val="00543422"/>
    <w:rsid w:val="00543ABA"/>
    <w:rsid w:val="00544423"/>
    <w:rsid w:val="00544786"/>
    <w:rsid w:val="00544A5C"/>
    <w:rsid w:val="00544C71"/>
    <w:rsid w:val="00544D1B"/>
    <w:rsid w:val="00544E69"/>
    <w:rsid w:val="00546057"/>
    <w:rsid w:val="00546138"/>
    <w:rsid w:val="00546147"/>
    <w:rsid w:val="005465C5"/>
    <w:rsid w:val="00547076"/>
    <w:rsid w:val="005519F9"/>
    <w:rsid w:val="00551D08"/>
    <w:rsid w:val="00552171"/>
    <w:rsid w:val="00552275"/>
    <w:rsid w:val="005525A2"/>
    <w:rsid w:val="00554002"/>
    <w:rsid w:val="00554334"/>
    <w:rsid w:val="005549B9"/>
    <w:rsid w:val="00554C84"/>
    <w:rsid w:val="005550D3"/>
    <w:rsid w:val="005555CA"/>
    <w:rsid w:val="00555B79"/>
    <w:rsid w:val="005567B9"/>
    <w:rsid w:val="00556A75"/>
    <w:rsid w:val="00557174"/>
    <w:rsid w:val="0055722F"/>
    <w:rsid w:val="0055737D"/>
    <w:rsid w:val="005577B4"/>
    <w:rsid w:val="005601BB"/>
    <w:rsid w:val="005603C1"/>
    <w:rsid w:val="005607F5"/>
    <w:rsid w:val="0056168F"/>
    <w:rsid w:val="00561960"/>
    <w:rsid w:val="00561A7E"/>
    <w:rsid w:val="005625D9"/>
    <w:rsid w:val="00562AB1"/>
    <w:rsid w:val="00562D41"/>
    <w:rsid w:val="00562F6B"/>
    <w:rsid w:val="005630E4"/>
    <w:rsid w:val="005634CE"/>
    <w:rsid w:val="0056363C"/>
    <w:rsid w:val="005641B6"/>
    <w:rsid w:val="00564375"/>
    <w:rsid w:val="00564484"/>
    <w:rsid w:val="005648DA"/>
    <w:rsid w:val="00564A8E"/>
    <w:rsid w:val="00565C41"/>
    <w:rsid w:val="005664A3"/>
    <w:rsid w:val="00566713"/>
    <w:rsid w:val="005667ED"/>
    <w:rsid w:val="00566916"/>
    <w:rsid w:val="00566EC8"/>
    <w:rsid w:val="00567139"/>
    <w:rsid w:val="005672B6"/>
    <w:rsid w:val="005673E8"/>
    <w:rsid w:val="00567B71"/>
    <w:rsid w:val="00567D92"/>
    <w:rsid w:val="0057002D"/>
    <w:rsid w:val="00570983"/>
    <w:rsid w:val="005709C9"/>
    <w:rsid w:val="0057179A"/>
    <w:rsid w:val="00572788"/>
    <w:rsid w:val="0057289E"/>
    <w:rsid w:val="00572C67"/>
    <w:rsid w:val="00572E61"/>
    <w:rsid w:val="0057389B"/>
    <w:rsid w:val="00573B1B"/>
    <w:rsid w:val="00573BD2"/>
    <w:rsid w:val="00573E95"/>
    <w:rsid w:val="00573F85"/>
    <w:rsid w:val="005742BA"/>
    <w:rsid w:val="00574A86"/>
    <w:rsid w:val="00574C89"/>
    <w:rsid w:val="00574D2C"/>
    <w:rsid w:val="00575991"/>
    <w:rsid w:val="00575C58"/>
    <w:rsid w:val="00576167"/>
    <w:rsid w:val="0057652F"/>
    <w:rsid w:val="005772BB"/>
    <w:rsid w:val="00577758"/>
    <w:rsid w:val="00577FC5"/>
    <w:rsid w:val="00577FF3"/>
    <w:rsid w:val="005804A6"/>
    <w:rsid w:val="005808E3"/>
    <w:rsid w:val="00580F40"/>
    <w:rsid w:val="00581310"/>
    <w:rsid w:val="00581DF3"/>
    <w:rsid w:val="00582340"/>
    <w:rsid w:val="005823E2"/>
    <w:rsid w:val="00582D8C"/>
    <w:rsid w:val="005834E8"/>
    <w:rsid w:val="005834EC"/>
    <w:rsid w:val="00583CCC"/>
    <w:rsid w:val="00584053"/>
    <w:rsid w:val="00584520"/>
    <w:rsid w:val="005852D4"/>
    <w:rsid w:val="005853C7"/>
    <w:rsid w:val="005864CE"/>
    <w:rsid w:val="00586A11"/>
    <w:rsid w:val="00586CD9"/>
    <w:rsid w:val="00586E69"/>
    <w:rsid w:val="00587974"/>
    <w:rsid w:val="00587F40"/>
    <w:rsid w:val="00590043"/>
    <w:rsid w:val="00590068"/>
    <w:rsid w:val="005904A7"/>
    <w:rsid w:val="00590766"/>
    <w:rsid w:val="00590D38"/>
    <w:rsid w:val="00591189"/>
    <w:rsid w:val="00591464"/>
    <w:rsid w:val="005916D3"/>
    <w:rsid w:val="0059191E"/>
    <w:rsid w:val="00591F25"/>
    <w:rsid w:val="005920E3"/>
    <w:rsid w:val="00592308"/>
    <w:rsid w:val="00592946"/>
    <w:rsid w:val="00592DD4"/>
    <w:rsid w:val="00592F64"/>
    <w:rsid w:val="0059304C"/>
    <w:rsid w:val="005936D1"/>
    <w:rsid w:val="00593B1D"/>
    <w:rsid w:val="00594319"/>
    <w:rsid w:val="0059485B"/>
    <w:rsid w:val="005948E8"/>
    <w:rsid w:val="00595523"/>
    <w:rsid w:val="00595C08"/>
    <w:rsid w:val="00595D1C"/>
    <w:rsid w:val="00595D9A"/>
    <w:rsid w:val="00596097"/>
    <w:rsid w:val="00596398"/>
    <w:rsid w:val="005966D3"/>
    <w:rsid w:val="00596E45"/>
    <w:rsid w:val="00597435"/>
    <w:rsid w:val="00597FED"/>
    <w:rsid w:val="005A0F8A"/>
    <w:rsid w:val="005A199C"/>
    <w:rsid w:val="005A2AEF"/>
    <w:rsid w:val="005A2C9F"/>
    <w:rsid w:val="005A2DA0"/>
    <w:rsid w:val="005A342F"/>
    <w:rsid w:val="005A35B0"/>
    <w:rsid w:val="005A48E3"/>
    <w:rsid w:val="005A51BC"/>
    <w:rsid w:val="005A52F0"/>
    <w:rsid w:val="005A567A"/>
    <w:rsid w:val="005A5F21"/>
    <w:rsid w:val="005A6757"/>
    <w:rsid w:val="005A6CF9"/>
    <w:rsid w:val="005A6E92"/>
    <w:rsid w:val="005B019E"/>
    <w:rsid w:val="005B07DC"/>
    <w:rsid w:val="005B12B2"/>
    <w:rsid w:val="005B1FCF"/>
    <w:rsid w:val="005B24EA"/>
    <w:rsid w:val="005B2A58"/>
    <w:rsid w:val="005B2B58"/>
    <w:rsid w:val="005B3B04"/>
    <w:rsid w:val="005B3BD9"/>
    <w:rsid w:val="005B3EDB"/>
    <w:rsid w:val="005B403F"/>
    <w:rsid w:val="005B444E"/>
    <w:rsid w:val="005B5174"/>
    <w:rsid w:val="005B58CB"/>
    <w:rsid w:val="005B5A0D"/>
    <w:rsid w:val="005B5B19"/>
    <w:rsid w:val="005B5C44"/>
    <w:rsid w:val="005B6800"/>
    <w:rsid w:val="005B68C7"/>
    <w:rsid w:val="005B6B28"/>
    <w:rsid w:val="005B6E93"/>
    <w:rsid w:val="005B6F13"/>
    <w:rsid w:val="005B6FEE"/>
    <w:rsid w:val="005B7056"/>
    <w:rsid w:val="005B7A09"/>
    <w:rsid w:val="005C01FB"/>
    <w:rsid w:val="005C0580"/>
    <w:rsid w:val="005C0E3C"/>
    <w:rsid w:val="005C1447"/>
    <w:rsid w:val="005C1526"/>
    <w:rsid w:val="005C19B6"/>
    <w:rsid w:val="005C2010"/>
    <w:rsid w:val="005C221F"/>
    <w:rsid w:val="005C2451"/>
    <w:rsid w:val="005C2E0B"/>
    <w:rsid w:val="005C43C4"/>
    <w:rsid w:val="005C46CC"/>
    <w:rsid w:val="005C4775"/>
    <w:rsid w:val="005C4870"/>
    <w:rsid w:val="005C4AFF"/>
    <w:rsid w:val="005C6533"/>
    <w:rsid w:val="005C65AD"/>
    <w:rsid w:val="005C69F4"/>
    <w:rsid w:val="005C6B9A"/>
    <w:rsid w:val="005C6DB2"/>
    <w:rsid w:val="005C6E04"/>
    <w:rsid w:val="005C75B3"/>
    <w:rsid w:val="005C76CB"/>
    <w:rsid w:val="005C78CC"/>
    <w:rsid w:val="005C7A30"/>
    <w:rsid w:val="005D0712"/>
    <w:rsid w:val="005D0C95"/>
    <w:rsid w:val="005D1004"/>
    <w:rsid w:val="005D1699"/>
    <w:rsid w:val="005D17EF"/>
    <w:rsid w:val="005D1C95"/>
    <w:rsid w:val="005D23AE"/>
    <w:rsid w:val="005D2492"/>
    <w:rsid w:val="005D253E"/>
    <w:rsid w:val="005D256E"/>
    <w:rsid w:val="005D2574"/>
    <w:rsid w:val="005D25AC"/>
    <w:rsid w:val="005D302D"/>
    <w:rsid w:val="005D34DB"/>
    <w:rsid w:val="005D469B"/>
    <w:rsid w:val="005D4A51"/>
    <w:rsid w:val="005D4CD5"/>
    <w:rsid w:val="005D5326"/>
    <w:rsid w:val="005D5573"/>
    <w:rsid w:val="005D5EA7"/>
    <w:rsid w:val="005D640E"/>
    <w:rsid w:val="005D74F5"/>
    <w:rsid w:val="005D786D"/>
    <w:rsid w:val="005E041F"/>
    <w:rsid w:val="005E050C"/>
    <w:rsid w:val="005E0DD5"/>
    <w:rsid w:val="005E11B9"/>
    <w:rsid w:val="005E15E8"/>
    <w:rsid w:val="005E1696"/>
    <w:rsid w:val="005E2496"/>
    <w:rsid w:val="005E2F0E"/>
    <w:rsid w:val="005E319D"/>
    <w:rsid w:val="005E3925"/>
    <w:rsid w:val="005E414B"/>
    <w:rsid w:val="005E4B97"/>
    <w:rsid w:val="005E4BB9"/>
    <w:rsid w:val="005E52CC"/>
    <w:rsid w:val="005E53A2"/>
    <w:rsid w:val="005E59E5"/>
    <w:rsid w:val="005E67B4"/>
    <w:rsid w:val="005E6EFF"/>
    <w:rsid w:val="005E75BF"/>
    <w:rsid w:val="005E78FC"/>
    <w:rsid w:val="005E7A5D"/>
    <w:rsid w:val="005F0CFD"/>
    <w:rsid w:val="005F0D33"/>
    <w:rsid w:val="005F1514"/>
    <w:rsid w:val="005F16BF"/>
    <w:rsid w:val="005F17EE"/>
    <w:rsid w:val="005F1C68"/>
    <w:rsid w:val="005F2E5F"/>
    <w:rsid w:val="005F31B4"/>
    <w:rsid w:val="005F3219"/>
    <w:rsid w:val="005F3804"/>
    <w:rsid w:val="005F397E"/>
    <w:rsid w:val="005F3DDA"/>
    <w:rsid w:val="005F3EB5"/>
    <w:rsid w:val="005F3F75"/>
    <w:rsid w:val="005F53B0"/>
    <w:rsid w:val="005F5921"/>
    <w:rsid w:val="005F5BB0"/>
    <w:rsid w:val="005F5BF4"/>
    <w:rsid w:val="005F5E47"/>
    <w:rsid w:val="005F5FE5"/>
    <w:rsid w:val="005F601F"/>
    <w:rsid w:val="005F6FE4"/>
    <w:rsid w:val="005F729E"/>
    <w:rsid w:val="005F75C6"/>
    <w:rsid w:val="005F765D"/>
    <w:rsid w:val="0060058A"/>
    <w:rsid w:val="00600736"/>
    <w:rsid w:val="006007CD"/>
    <w:rsid w:val="00600C89"/>
    <w:rsid w:val="0060107E"/>
    <w:rsid w:val="0060113E"/>
    <w:rsid w:val="0060121C"/>
    <w:rsid w:val="006020EC"/>
    <w:rsid w:val="006024A9"/>
    <w:rsid w:val="006029A5"/>
    <w:rsid w:val="00602E1D"/>
    <w:rsid w:val="00603A52"/>
    <w:rsid w:val="00603F8D"/>
    <w:rsid w:val="00604098"/>
    <w:rsid w:val="006045E0"/>
    <w:rsid w:val="00604798"/>
    <w:rsid w:val="00604FBE"/>
    <w:rsid w:val="00605541"/>
    <w:rsid w:val="00605714"/>
    <w:rsid w:val="00605BF0"/>
    <w:rsid w:val="00606098"/>
    <w:rsid w:val="006066FC"/>
    <w:rsid w:val="00606866"/>
    <w:rsid w:val="0060701A"/>
    <w:rsid w:val="00607584"/>
    <w:rsid w:val="00607C22"/>
    <w:rsid w:val="00610545"/>
    <w:rsid w:val="00610CF1"/>
    <w:rsid w:val="0061102B"/>
    <w:rsid w:val="006116D4"/>
    <w:rsid w:val="00611EEF"/>
    <w:rsid w:val="0061290B"/>
    <w:rsid w:val="00613919"/>
    <w:rsid w:val="006139CA"/>
    <w:rsid w:val="00613C12"/>
    <w:rsid w:val="00614E59"/>
    <w:rsid w:val="00614ED3"/>
    <w:rsid w:val="00615045"/>
    <w:rsid w:val="006150D2"/>
    <w:rsid w:val="00615147"/>
    <w:rsid w:val="00615876"/>
    <w:rsid w:val="006160A5"/>
    <w:rsid w:val="006166C6"/>
    <w:rsid w:val="0061741A"/>
    <w:rsid w:val="00617BDF"/>
    <w:rsid w:val="00621B75"/>
    <w:rsid w:val="00622BAF"/>
    <w:rsid w:val="00622E9C"/>
    <w:rsid w:val="00623E7E"/>
    <w:rsid w:val="00624330"/>
    <w:rsid w:val="00624341"/>
    <w:rsid w:val="00624BF7"/>
    <w:rsid w:val="00624C12"/>
    <w:rsid w:val="00624FC9"/>
    <w:rsid w:val="00625B9C"/>
    <w:rsid w:val="00625C35"/>
    <w:rsid w:val="00626A3C"/>
    <w:rsid w:val="006270A0"/>
    <w:rsid w:val="00627434"/>
    <w:rsid w:val="0062768A"/>
    <w:rsid w:val="006277D2"/>
    <w:rsid w:val="00630634"/>
    <w:rsid w:val="00630774"/>
    <w:rsid w:val="00630930"/>
    <w:rsid w:val="006312AB"/>
    <w:rsid w:val="00631384"/>
    <w:rsid w:val="00631A39"/>
    <w:rsid w:val="00632276"/>
    <w:rsid w:val="00632390"/>
    <w:rsid w:val="006325BB"/>
    <w:rsid w:val="00632673"/>
    <w:rsid w:val="006327BD"/>
    <w:rsid w:val="00632CD5"/>
    <w:rsid w:val="00632E12"/>
    <w:rsid w:val="006338C4"/>
    <w:rsid w:val="006339A7"/>
    <w:rsid w:val="00633D57"/>
    <w:rsid w:val="00634158"/>
    <w:rsid w:val="006342E6"/>
    <w:rsid w:val="006344F3"/>
    <w:rsid w:val="00634DDD"/>
    <w:rsid w:val="00635327"/>
    <w:rsid w:val="00635C2E"/>
    <w:rsid w:val="006363E6"/>
    <w:rsid w:val="0063699B"/>
    <w:rsid w:val="00636DE9"/>
    <w:rsid w:val="006373EC"/>
    <w:rsid w:val="00640687"/>
    <w:rsid w:val="0064110E"/>
    <w:rsid w:val="0064154C"/>
    <w:rsid w:val="00641ED2"/>
    <w:rsid w:val="00642201"/>
    <w:rsid w:val="00642641"/>
    <w:rsid w:val="00642662"/>
    <w:rsid w:val="006429D0"/>
    <w:rsid w:val="00643932"/>
    <w:rsid w:val="006441A1"/>
    <w:rsid w:val="00644A10"/>
    <w:rsid w:val="00644C4B"/>
    <w:rsid w:val="00645630"/>
    <w:rsid w:val="00645CB2"/>
    <w:rsid w:val="00645F0A"/>
    <w:rsid w:val="0064616A"/>
    <w:rsid w:val="006463D9"/>
    <w:rsid w:val="00646429"/>
    <w:rsid w:val="00647227"/>
    <w:rsid w:val="006472B2"/>
    <w:rsid w:val="0064741F"/>
    <w:rsid w:val="00647956"/>
    <w:rsid w:val="00647D67"/>
    <w:rsid w:val="00650B45"/>
    <w:rsid w:val="0065159B"/>
    <w:rsid w:val="006517FC"/>
    <w:rsid w:val="00651BA8"/>
    <w:rsid w:val="0065211E"/>
    <w:rsid w:val="006529EA"/>
    <w:rsid w:val="00652BF2"/>
    <w:rsid w:val="00652D15"/>
    <w:rsid w:val="006531DE"/>
    <w:rsid w:val="0065362A"/>
    <w:rsid w:val="00653ADB"/>
    <w:rsid w:val="00653F90"/>
    <w:rsid w:val="0065400B"/>
    <w:rsid w:val="006541BA"/>
    <w:rsid w:val="00654532"/>
    <w:rsid w:val="006548CD"/>
    <w:rsid w:val="00654A83"/>
    <w:rsid w:val="00654AFF"/>
    <w:rsid w:val="00654D04"/>
    <w:rsid w:val="00654F17"/>
    <w:rsid w:val="00655108"/>
    <w:rsid w:val="00655207"/>
    <w:rsid w:val="00655373"/>
    <w:rsid w:val="00655D23"/>
    <w:rsid w:val="0065715F"/>
    <w:rsid w:val="00657A5D"/>
    <w:rsid w:val="00660AD3"/>
    <w:rsid w:val="006611AF"/>
    <w:rsid w:val="00661FD7"/>
    <w:rsid w:val="006629D0"/>
    <w:rsid w:val="00662CAE"/>
    <w:rsid w:val="00663205"/>
    <w:rsid w:val="00664B92"/>
    <w:rsid w:val="00665284"/>
    <w:rsid w:val="0066547C"/>
    <w:rsid w:val="006655D8"/>
    <w:rsid w:val="00665B72"/>
    <w:rsid w:val="00665C86"/>
    <w:rsid w:val="0066602E"/>
    <w:rsid w:val="00666117"/>
    <w:rsid w:val="00667186"/>
    <w:rsid w:val="00667609"/>
    <w:rsid w:val="006678FC"/>
    <w:rsid w:val="006702DF"/>
    <w:rsid w:val="00670E52"/>
    <w:rsid w:val="006715DE"/>
    <w:rsid w:val="006716DD"/>
    <w:rsid w:val="00671D6F"/>
    <w:rsid w:val="0067248E"/>
    <w:rsid w:val="00672905"/>
    <w:rsid w:val="00672B96"/>
    <w:rsid w:val="00673189"/>
    <w:rsid w:val="00675AA3"/>
    <w:rsid w:val="0067677D"/>
    <w:rsid w:val="00676835"/>
    <w:rsid w:val="00677679"/>
    <w:rsid w:val="00677A54"/>
    <w:rsid w:val="00677BE4"/>
    <w:rsid w:val="006800E9"/>
    <w:rsid w:val="006800FB"/>
    <w:rsid w:val="00680733"/>
    <w:rsid w:val="00680D5C"/>
    <w:rsid w:val="00680EAF"/>
    <w:rsid w:val="006815B2"/>
    <w:rsid w:val="0068168E"/>
    <w:rsid w:val="00682057"/>
    <w:rsid w:val="00682911"/>
    <w:rsid w:val="00682AF1"/>
    <w:rsid w:val="00683464"/>
    <w:rsid w:val="00683F01"/>
    <w:rsid w:val="00684069"/>
    <w:rsid w:val="006843D5"/>
    <w:rsid w:val="00684404"/>
    <w:rsid w:val="0068483B"/>
    <w:rsid w:val="0068494F"/>
    <w:rsid w:val="00685D3D"/>
    <w:rsid w:val="00686BE8"/>
    <w:rsid w:val="00686DF0"/>
    <w:rsid w:val="006870FF"/>
    <w:rsid w:val="00687962"/>
    <w:rsid w:val="00690413"/>
    <w:rsid w:val="0069073D"/>
    <w:rsid w:val="00690F8A"/>
    <w:rsid w:val="00691319"/>
    <w:rsid w:val="006914F7"/>
    <w:rsid w:val="00691582"/>
    <w:rsid w:val="00691599"/>
    <w:rsid w:val="00691746"/>
    <w:rsid w:val="0069195F"/>
    <w:rsid w:val="00691963"/>
    <w:rsid w:val="00692037"/>
    <w:rsid w:val="006927CF"/>
    <w:rsid w:val="006928A2"/>
    <w:rsid w:val="006929B1"/>
    <w:rsid w:val="00692BCC"/>
    <w:rsid w:val="00692E7A"/>
    <w:rsid w:val="00692FD2"/>
    <w:rsid w:val="00693308"/>
    <w:rsid w:val="0069390D"/>
    <w:rsid w:val="0069437E"/>
    <w:rsid w:val="00695481"/>
    <w:rsid w:val="00695547"/>
    <w:rsid w:val="006967E1"/>
    <w:rsid w:val="00696CAA"/>
    <w:rsid w:val="00696FB3"/>
    <w:rsid w:val="0069791F"/>
    <w:rsid w:val="00697B58"/>
    <w:rsid w:val="006A0428"/>
    <w:rsid w:val="006A0681"/>
    <w:rsid w:val="006A0693"/>
    <w:rsid w:val="006A072C"/>
    <w:rsid w:val="006A0955"/>
    <w:rsid w:val="006A1720"/>
    <w:rsid w:val="006A1AD5"/>
    <w:rsid w:val="006A2174"/>
    <w:rsid w:val="006A22DC"/>
    <w:rsid w:val="006A238F"/>
    <w:rsid w:val="006A27BC"/>
    <w:rsid w:val="006A2AC5"/>
    <w:rsid w:val="006A30F8"/>
    <w:rsid w:val="006A3B23"/>
    <w:rsid w:val="006A3CDD"/>
    <w:rsid w:val="006A3EE7"/>
    <w:rsid w:val="006A420B"/>
    <w:rsid w:val="006A5118"/>
    <w:rsid w:val="006A5436"/>
    <w:rsid w:val="006A5596"/>
    <w:rsid w:val="006A6BE5"/>
    <w:rsid w:val="006A74BD"/>
    <w:rsid w:val="006A7540"/>
    <w:rsid w:val="006A75BF"/>
    <w:rsid w:val="006A7B41"/>
    <w:rsid w:val="006A7BD1"/>
    <w:rsid w:val="006A7C3C"/>
    <w:rsid w:val="006B0275"/>
    <w:rsid w:val="006B0977"/>
    <w:rsid w:val="006B0E60"/>
    <w:rsid w:val="006B1008"/>
    <w:rsid w:val="006B119F"/>
    <w:rsid w:val="006B18FE"/>
    <w:rsid w:val="006B213B"/>
    <w:rsid w:val="006B2BC3"/>
    <w:rsid w:val="006B328E"/>
    <w:rsid w:val="006B32D0"/>
    <w:rsid w:val="006B3AE5"/>
    <w:rsid w:val="006B413A"/>
    <w:rsid w:val="006B43D3"/>
    <w:rsid w:val="006B51FD"/>
    <w:rsid w:val="006B522C"/>
    <w:rsid w:val="006B5B90"/>
    <w:rsid w:val="006B6B9A"/>
    <w:rsid w:val="006B6C18"/>
    <w:rsid w:val="006B6E33"/>
    <w:rsid w:val="006B6FE7"/>
    <w:rsid w:val="006B79CE"/>
    <w:rsid w:val="006B7CF3"/>
    <w:rsid w:val="006B7E32"/>
    <w:rsid w:val="006C050B"/>
    <w:rsid w:val="006C05A4"/>
    <w:rsid w:val="006C167E"/>
    <w:rsid w:val="006C2085"/>
    <w:rsid w:val="006C21F6"/>
    <w:rsid w:val="006C2249"/>
    <w:rsid w:val="006C2C4E"/>
    <w:rsid w:val="006C2DA6"/>
    <w:rsid w:val="006C30B9"/>
    <w:rsid w:val="006C3D93"/>
    <w:rsid w:val="006C3E92"/>
    <w:rsid w:val="006C432F"/>
    <w:rsid w:val="006C4757"/>
    <w:rsid w:val="006C57CF"/>
    <w:rsid w:val="006C58B3"/>
    <w:rsid w:val="006C5BB7"/>
    <w:rsid w:val="006C5E9C"/>
    <w:rsid w:val="006C6125"/>
    <w:rsid w:val="006C70C3"/>
    <w:rsid w:val="006C747E"/>
    <w:rsid w:val="006C78B9"/>
    <w:rsid w:val="006C7AE5"/>
    <w:rsid w:val="006C7FD2"/>
    <w:rsid w:val="006D0182"/>
    <w:rsid w:val="006D0938"/>
    <w:rsid w:val="006D0B2A"/>
    <w:rsid w:val="006D0C37"/>
    <w:rsid w:val="006D1294"/>
    <w:rsid w:val="006D1A83"/>
    <w:rsid w:val="006D2C58"/>
    <w:rsid w:val="006D4165"/>
    <w:rsid w:val="006D41FA"/>
    <w:rsid w:val="006D45E5"/>
    <w:rsid w:val="006D4C6F"/>
    <w:rsid w:val="006D56D8"/>
    <w:rsid w:val="006D57F5"/>
    <w:rsid w:val="006D586C"/>
    <w:rsid w:val="006D5D72"/>
    <w:rsid w:val="006D5E71"/>
    <w:rsid w:val="006D6CA5"/>
    <w:rsid w:val="006D6EF3"/>
    <w:rsid w:val="006D6F6D"/>
    <w:rsid w:val="006D7506"/>
    <w:rsid w:val="006D76EF"/>
    <w:rsid w:val="006D781B"/>
    <w:rsid w:val="006D7840"/>
    <w:rsid w:val="006D7F1B"/>
    <w:rsid w:val="006D7F65"/>
    <w:rsid w:val="006E177B"/>
    <w:rsid w:val="006E18E0"/>
    <w:rsid w:val="006E3184"/>
    <w:rsid w:val="006E33EA"/>
    <w:rsid w:val="006E3780"/>
    <w:rsid w:val="006E42A9"/>
    <w:rsid w:val="006E42FF"/>
    <w:rsid w:val="006E440F"/>
    <w:rsid w:val="006E4756"/>
    <w:rsid w:val="006E484B"/>
    <w:rsid w:val="006E5155"/>
    <w:rsid w:val="006E5852"/>
    <w:rsid w:val="006E5919"/>
    <w:rsid w:val="006E6679"/>
    <w:rsid w:val="006E6AF0"/>
    <w:rsid w:val="006E6C53"/>
    <w:rsid w:val="006E76E8"/>
    <w:rsid w:val="006E7A9B"/>
    <w:rsid w:val="006E7D76"/>
    <w:rsid w:val="006F0591"/>
    <w:rsid w:val="006F0785"/>
    <w:rsid w:val="006F1345"/>
    <w:rsid w:val="006F1658"/>
    <w:rsid w:val="006F1A93"/>
    <w:rsid w:val="006F1BB8"/>
    <w:rsid w:val="006F1BDB"/>
    <w:rsid w:val="006F2184"/>
    <w:rsid w:val="006F2292"/>
    <w:rsid w:val="006F271D"/>
    <w:rsid w:val="006F2A9C"/>
    <w:rsid w:val="006F2B33"/>
    <w:rsid w:val="006F35D6"/>
    <w:rsid w:val="006F3B09"/>
    <w:rsid w:val="006F3B62"/>
    <w:rsid w:val="006F3E04"/>
    <w:rsid w:val="006F411C"/>
    <w:rsid w:val="006F4AB1"/>
    <w:rsid w:val="006F4C5C"/>
    <w:rsid w:val="006F52AD"/>
    <w:rsid w:val="006F56BD"/>
    <w:rsid w:val="006F69A4"/>
    <w:rsid w:val="006F6F52"/>
    <w:rsid w:val="006F6FFF"/>
    <w:rsid w:val="006F740B"/>
    <w:rsid w:val="006F76C6"/>
    <w:rsid w:val="006F7EA5"/>
    <w:rsid w:val="007000D5"/>
    <w:rsid w:val="00700374"/>
    <w:rsid w:val="00700490"/>
    <w:rsid w:val="00701709"/>
    <w:rsid w:val="007018BF"/>
    <w:rsid w:val="00701EF3"/>
    <w:rsid w:val="007020CA"/>
    <w:rsid w:val="007020D9"/>
    <w:rsid w:val="00702168"/>
    <w:rsid w:val="007021C1"/>
    <w:rsid w:val="007021FC"/>
    <w:rsid w:val="007025D6"/>
    <w:rsid w:val="00702819"/>
    <w:rsid w:val="0070281F"/>
    <w:rsid w:val="00703079"/>
    <w:rsid w:val="007037DE"/>
    <w:rsid w:val="007039A7"/>
    <w:rsid w:val="00703D18"/>
    <w:rsid w:val="00703D25"/>
    <w:rsid w:val="007042D7"/>
    <w:rsid w:val="007043C9"/>
    <w:rsid w:val="00704686"/>
    <w:rsid w:val="0070585C"/>
    <w:rsid w:val="00705B0E"/>
    <w:rsid w:val="00705DB8"/>
    <w:rsid w:val="00706411"/>
    <w:rsid w:val="00706A0A"/>
    <w:rsid w:val="00706B50"/>
    <w:rsid w:val="00706E6D"/>
    <w:rsid w:val="00706ED3"/>
    <w:rsid w:val="007072DC"/>
    <w:rsid w:val="0070769C"/>
    <w:rsid w:val="007105A5"/>
    <w:rsid w:val="00710B95"/>
    <w:rsid w:val="00710F3F"/>
    <w:rsid w:val="007112B2"/>
    <w:rsid w:val="0071194A"/>
    <w:rsid w:val="00711BB9"/>
    <w:rsid w:val="007129FB"/>
    <w:rsid w:val="00712BB9"/>
    <w:rsid w:val="00712C82"/>
    <w:rsid w:val="00712CBA"/>
    <w:rsid w:val="00712D96"/>
    <w:rsid w:val="007130C2"/>
    <w:rsid w:val="00713189"/>
    <w:rsid w:val="0071339E"/>
    <w:rsid w:val="00713D5F"/>
    <w:rsid w:val="00713F0C"/>
    <w:rsid w:val="007150F5"/>
    <w:rsid w:val="00716967"/>
    <w:rsid w:val="00716CD3"/>
    <w:rsid w:val="00716D33"/>
    <w:rsid w:val="0071706F"/>
    <w:rsid w:val="00717DE9"/>
    <w:rsid w:val="00720122"/>
    <w:rsid w:val="007208E6"/>
    <w:rsid w:val="007225CC"/>
    <w:rsid w:val="00722F00"/>
    <w:rsid w:val="007233A7"/>
    <w:rsid w:val="00723BCC"/>
    <w:rsid w:val="00723C1B"/>
    <w:rsid w:val="00723ECD"/>
    <w:rsid w:val="00724175"/>
    <w:rsid w:val="00724312"/>
    <w:rsid w:val="00724623"/>
    <w:rsid w:val="0072462F"/>
    <w:rsid w:val="007246E4"/>
    <w:rsid w:val="00724F6A"/>
    <w:rsid w:val="0072530F"/>
    <w:rsid w:val="00725625"/>
    <w:rsid w:val="007257BF"/>
    <w:rsid w:val="00725BA1"/>
    <w:rsid w:val="00725F38"/>
    <w:rsid w:val="007263B6"/>
    <w:rsid w:val="007263D4"/>
    <w:rsid w:val="00726A3E"/>
    <w:rsid w:val="00727B49"/>
    <w:rsid w:val="007304A8"/>
    <w:rsid w:val="0073064B"/>
    <w:rsid w:val="007307FA"/>
    <w:rsid w:val="00730B20"/>
    <w:rsid w:val="0073290A"/>
    <w:rsid w:val="00732AA9"/>
    <w:rsid w:val="00733995"/>
    <w:rsid w:val="00733A34"/>
    <w:rsid w:val="00733B4C"/>
    <w:rsid w:val="00733D7E"/>
    <w:rsid w:val="00734486"/>
    <w:rsid w:val="00734538"/>
    <w:rsid w:val="00735160"/>
    <w:rsid w:val="00735509"/>
    <w:rsid w:val="007359B8"/>
    <w:rsid w:val="0073658F"/>
    <w:rsid w:val="00736CB1"/>
    <w:rsid w:val="007371FF"/>
    <w:rsid w:val="00737549"/>
    <w:rsid w:val="00737E82"/>
    <w:rsid w:val="00740607"/>
    <w:rsid w:val="007406DF"/>
    <w:rsid w:val="00740CD3"/>
    <w:rsid w:val="00740E54"/>
    <w:rsid w:val="00741543"/>
    <w:rsid w:val="00741758"/>
    <w:rsid w:val="00741E9C"/>
    <w:rsid w:val="00742453"/>
    <w:rsid w:val="007424E3"/>
    <w:rsid w:val="00744086"/>
    <w:rsid w:val="0074423D"/>
    <w:rsid w:val="00745881"/>
    <w:rsid w:val="00745FAC"/>
    <w:rsid w:val="007467C1"/>
    <w:rsid w:val="00746A46"/>
    <w:rsid w:val="00746C80"/>
    <w:rsid w:val="00746D57"/>
    <w:rsid w:val="00746D97"/>
    <w:rsid w:val="00747371"/>
    <w:rsid w:val="007473A7"/>
    <w:rsid w:val="0074794A"/>
    <w:rsid w:val="00750073"/>
    <w:rsid w:val="007501AA"/>
    <w:rsid w:val="0075047D"/>
    <w:rsid w:val="0075064B"/>
    <w:rsid w:val="00750868"/>
    <w:rsid w:val="00750C36"/>
    <w:rsid w:val="00751578"/>
    <w:rsid w:val="007527BF"/>
    <w:rsid w:val="00752912"/>
    <w:rsid w:val="00752ADE"/>
    <w:rsid w:val="00752D18"/>
    <w:rsid w:val="00753074"/>
    <w:rsid w:val="00753099"/>
    <w:rsid w:val="007532C7"/>
    <w:rsid w:val="00753A84"/>
    <w:rsid w:val="00753B01"/>
    <w:rsid w:val="00753BD2"/>
    <w:rsid w:val="00753D26"/>
    <w:rsid w:val="0075452D"/>
    <w:rsid w:val="007550C3"/>
    <w:rsid w:val="00755491"/>
    <w:rsid w:val="007557C9"/>
    <w:rsid w:val="0075695F"/>
    <w:rsid w:val="00756EFE"/>
    <w:rsid w:val="007573B1"/>
    <w:rsid w:val="00757BE6"/>
    <w:rsid w:val="007606B7"/>
    <w:rsid w:val="007607BE"/>
    <w:rsid w:val="007618E2"/>
    <w:rsid w:val="007628EE"/>
    <w:rsid w:val="00762984"/>
    <w:rsid w:val="00762A57"/>
    <w:rsid w:val="00762B61"/>
    <w:rsid w:val="00762BA6"/>
    <w:rsid w:val="00762CE9"/>
    <w:rsid w:val="00762FC7"/>
    <w:rsid w:val="0076338E"/>
    <w:rsid w:val="00763EF8"/>
    <w:rsid w:val="007641CD"/>
    <w:rsid w:val="0076508A"/>
    <w:rsid w:val="00765440"/>
    <w:rsid w:val="00765568"/>
    <w:rsid w:val="00765670"/>
    <w:rsid w:val="00766719"/>
    <w:rsid w:val="0076681C"/>
    <w:rsid w:val="007673B3"/>
    <w:rsid w:val="0076790A"/>
    <w:rsid w:val="00767AF9"/>
    <w:rsid w:val="00770196"/>
    <w:rsid w:val="007701AF"/>
    <w:rsid w:val="00770261"/>
    <w:rsid w:val="0077050D"/>
    <w:rsid w:val="00770535"/>
    <w:rsid w:val="007710B2"/>
    <w:rsid w:val="007716F3"/>
    <w:rsid w:val="00771EEE"/>
    <w:rsid w:val="0077234D"/>
    <w:rsid w:val="0077316A"/>
    <w:rsid w:val="007735CE"/>
    <w:rsid w:val="00773689"/>
    <w:rsid w:val="00773F66"/>
    <w:rsid w:val="0077487B"/>
    <w:rsid w:val="007756DC"/>
    <w:rsid w:val="00775F97"/>
    <w:rsid w:val="00776058"/>
    <w:rsid w:val="00776318"/>
    <w:rsid w:val="007763A9"/>
    <w:rsid w:val="0077643A"/>
    <w:rsid w:val="00776564"/>
    <w:rsid w:val="00776810"/>
    <w:rsid w:val="00776AEE"/>
    <w:rsid w:val="00776CC3"/>
    <w:rsid w:val="00777190"/>
    <w:rsid w:val="0077778D"/>
    <w:rsid w:val="007777BB"/>
    <w:rsid w:val="0077781C"/>
    <w:rsid w:val="0078000B"/>
    <w:rsid w:val="00780067"/>
    <w:rsid w:val="00780620"/>
    <w:rsid w:val="00780C39"/>
    <w:rsid w:val="007811F3"/>
    <w:rsid w:val="0078121B"/>
    <w:rsid w:val="007815F3"/>
    <w:rsid w:val="00781783"/>
    <w:rsid w:val="00781791"/>
    <w:rsid w:val="00781909"/>
    <w:rsid w:val="00781D67"/>
    <w:rsid w:val="00783281"/>
    <w:rsid w:val="0078347F"/>
    <w:rsid w:val="007856C7"/>
    <w:rsid w:val="00785C58"/>
    <w:rsid w:val="00786071"/>
    <w:rsid w:val="007868CF"/>
    <w:rsid w:val="007869B3"/>
    <w:rsid w:val="00786CF9"/>
    <w:rsid w:val="007870CB"/>
    <w:rsid w:val="007870F2"/>
    <w:rsid w:val="00787229"/>
    <w:rsid w:val="0078774F"/>
    <w:rsid w:val="00787E5D"/>
    <w:rsid w:val="00787ED4"/>
    <w:rsid w:val="0079014E"/>
    <w:rsid w:val="0079035E"/>
    <w:rsid w:val="00790F4C"/>
    <w:rsid w:val="00791066"/>
    <w:rsid w:val="007912AC"/>
    <w:rsid w:val="00791348"/>
    <w:rsid w:val="007926F7"/>
    <w:rsid w:val="00792A4D"/>
    <w:rsid w:val="00792DFE"/>
    <w:rsid w:val="00793047"/>
    <w:rsid w:val="00794149"/>
    <w:rsid w:val="00794239"/>
    <w:rsid w:val="00794E22"/>
    <w:rsid w:val="0079573C"/>
    <w:rsid w:val="007958C6"/>
    <w:rsid w:val="00795F40"/>
    <w:rsid w:val="007971C1"/>
    <w:rsid w:val="00797BF6"/>
    <w:rsid w:val="007A03CA"/>
    <w:rsid w:val="007A1320"/>
    <w:rsid w:val="007A1762"/>
    <w:rsid w:val="007A2359"/>
    <w:rsid w:val="007A2996"/>
    <w:rsid w:val="007A2F59"/>
    <w:rsid w:val="007A3691"/>
    <w:rsid w:val="007A384B"/>
    <w:rsid w:val="007A50AB"/>
    <w:rsid w:val="007A5AB4"/>
    <w:rsid w:val="007A5DAB"/>
    <w:rsid w:val="007A60A9"/>
    <w:rsid w:val="007A6D05"/>
    <w:rsid w:val="007A6F87"/>
    <w:rsid w:val="007A7216"/>
    <w:rsid w:val="007A74D2"/>
    <w:rsid w:val="007A770B"/>
    <w:rsid w:val="007A7877"/>
    <w:rsid w:val="007B029D"/>
    <w:rsid w:val="007B0835"/>
    <w:rsid w:val="007B0D28"/>
    <w:rsid w:val="007B11E1"/>
    <w:rsid w:val="007B152B"/>
    <w:rsid w:val="007B1591"/>
    <w:rsid w:val="007B1EC9"/>
    <w:rsid w:val="007B2011"/>
    <w:rsid w:val="007B2070"/>
    <w:rsid w:val="007B2250"/>
    <w:rsid w:val="007B31D3"/>
    <w:rsid w:val="007B37EF"/>
    <w:rsid w:val="007B38CE"/>
    <w:rsid w:val="007B4292"/>
    <w:rsid w:val="007B4AE8"/>
    <w:rsid w:val="007B4CD1"/>
    <w:rsid w:val="007B4D16"/>
    <w:rsid w:val="007B4F04"/>
    <w:rsid w:val="007B58B7"/>
    <w:rsid w:val="007B5A31"/>
    <w:rsid w:val="007B5F4C"/>
    <w:rsid w:val="007B5F59"/>
    <w:rsid w:val="007B645F"/>
    <w:rsid w:val="007B718A"/>
    <w:rsid w:val="007B739E"/>
    <w:rsid w:val="007B74B4"/>
    <w:rsid w:val="007B7656"/>
    <w:rsid w:val="007B7907"/>
    <w:rsid w:val="007B7DC0"/>
    <w:rsid w:val="007C0C24"/>
    <w:rsid w:val="007C0CB4"/>
    <w:rsid w:val="007C1323"/>
    <w:rsid w:val="007C1534"/>
    <w:rsid w:val="007C1836"/>
    <w:rsid w:val="007C18F1"/>
    <w:rsid w:val="007C1D22"/>
    <w:rsid w:val="007C203D"/>
    <w:rsid w:val="007C2C02"/>
    <w:rsid w:val="007C3170"/>
    <w:rsid w:val="007C3DFC"/>
    <w:rsid w:val="007C4051"/>
    <w:rsid w:val="007C41EF"/>
    <w:rsid w:val="007C46D6"/>
    <w:rsid w:val="007C49DC"/>
    <w:rsid w:val="007C5265"/>
    <w:rsid w:val="007C548F"/>
    <w:rsid w:val="007C5524"/>
    <w:rsid w:val="007C5FFD"/>
    <w:rsid w:val="007C6779"/>
    <w:rsid w:val="007C6889"/>
    <w:rsid w:val="007C72C5"/>
    <w:rsid w:val="007C7942"/>
    <w:rsid w:val="007D023C"/>
    <w:rsid w:val="007D0747"/>
    <w:rsid w:val="007D165B"/>
    <w:rsid w:val="007D18B7"/>
    <w:rsid w:val="007D1F10"/>
    <w:rsid w:val="007D1FDC"/>
    <w:rsid w:val="007D22DD"/>
    <w:rsid w:val="007D28BE"/>
    <w:rsid w:val="007D2AEB"/>
    <w:rsid w:val="007D2B2E"/>
    <w:rsid w:val="007D38A2"/>
    <w:rsid w:val="007D3B3D"/>
    <w:rsid w:val="007D3F00"/>
    <w:rsid w:val="007D3FC8"/>
    <w:rsid w:val="007D41D8"/>
    <w:rsid w:val="007D42C0"/>
    <w:rsid w:val="007D4CB9"/>
    <w:rsid w:val="007D50C4"/>
    <w:rsid w:val="007D5383"/>
    <w:rsid w:val="007D576A"/>
    <w:rsid w:val="007D58A3"/>
    <w:rsid w:val="007D59BF"/>
    <w:rsid w:val="007D6076"/>
    <w:rsid w:val="007D6C9F"/>
    <w:rsid w:val="007D76A0"/>
    <w:rsid w:val="007E04DE"/>
    <w:rsid w:val="007E0AA5"/>
    <w:rsid w:val="007E0EFA"/>
    <w:rsid w:val="007E1B82"/>
    <w:rsid w:val="007E1FB0"/>
    <w:rsid w:val="007E1FC1"/>
    <w:rsid w:val="007E203B"/>
    <w:rsid w:val="007E218F"/>
    <w:rsid w:val="007E2400"/>
    <w:rsid w:val="007E3B0F"/>
    <w:rsid w:val="007E4356"/>
    <w:rsid w:val="007E48CB"/>
    <w:rsid w:val="007E4A26"/>
    <w:rsid w:val="007E5E07"/>
    <w:rsid w:val="007E5EDB"/>
    <w:rsid w:val="007E65EA"/>
    <w:rsid w:val="007E691B"/>
    <w:rsid w:val="007E6DAB"/>
    <w:rsid w:val="007E6F67"/>
    <w:rsid w:val="007E6FAC"/>
    <w:rsid w:val="007E721A"/>
    <w:rsid w:val="007E7743"/>
    <w:rsid w:val="007E7976"/>
    <w:rsid w:val="007F0928"/>
    <w:rsid w:val="007F0EA5"/>
    <w:rsid w:val="007F1128"/>
    <w:rsid w:val="007F11C0"/>
    <w:rsid w:val="007F2312"/>
    <w:rsid w:val="007F2318"/>
    <w:rsid w:val="007F23D7"/>
    <w:rsid w:val="007F275C"/>
    <w:rsid w:val="007F3275"/>
    <w:rsid w:val="007F3626"/>
    <w:rsid w:val="007F38A5"/>
    <w:rsid w:val="007F3B40"/>
    <w:rsid w:val="007F470E"/>
    <w:rsid w:val="007F4BC1"/>
    <w:rsid w:val="007F4F4E"/>
    <w:rsid w:val="007F50BD"/>
    <w:rsid w:val="007F54D2"/>
    <w:rsid w:val="007F5725"/>
    <w:rsid w:val="007F59F3"/>
    <w:rsid w:val="007F5DAF"/>
    <w:rsid w:val="007F693E"/>
    <w:rsid w:val="007F6B8E"/>
    <w:rsid w:val="007F6E40"/>
    <w:rsid w:val="007F6FC1"/>
    <w:rsid w:val="007F701B"/>
    <w:rsid w:val="008003D8"/>
    <w:rsid w:val="008008C8"/>
    <w:rsid w:val="008010EF"/>
    <w:rsid w:val="008011DF"/>
    <w:rsid w:val="008013B5"/>
    <w:rsid w:val="008013EE"/>
    <w:rsid w:val="0080150F"/>
    <w:rsid w:val="00801721"/>
    <w:rsid w:val="00801AA6"/>
    <w:rsid w:val="008021EE"/>
    <w:rsid w:val="00803542"/>
    <w:rsid w:val="00803FE6"/>
    <w:rsid w:val="00804F5A"/>
    <w:rsid w:val="00805107"/>
    <w:rsid w:val="0080518C"/>
    <w:rsid w:val="0080529D"/>
    <w:rsid w:val="0080564C"/>
    <w:rsid w:val="008059FA"/>
    <w:rsid w:val="00805D60"/>
    <w:rsid w:val="0080632C"/>
    <w:rsid w:val="00806496"/>
    <w:rsid w:val="00806BE0"/>
    <w:rsid w:val="00806DBF"/>
    <w:rsid w:val="008077F5"/>
    <w:rsid w:val="0081056A"/>
    <w:rsid w:val="00810D9A"/>
    <w:rsid w:val="00811132"/>
    <w:rsid w:val="008111EC"/>
    <w:rsid w:val="00812F45"/>
    <w:rsid w:val="008135E1"/>
    <w:rsid w:val="00813EE6"/>
    <w:rsid w:val="0081451B"/>
    <w:rsid w:val="00814958"/>
    <w:rsid w:val="0081499F"/>
    <w:rsid w:val="00814A7F"/>
    <w:rsid w:val="00815532"/>
    <w:rsid w:val="008157E4"/>
    <w:rsid w:val="00815821"/>
    <w:rsid w:val="00815D76"/>
    <w:rsid w:val="008165C1"/>
    <w:rsid w:val="008169BC"/>
    <w:rsid w:val="00816C20"/>
    <w:rsid w:val="00816D5E"/>
    <w:rsid w:val="00816DAB"/>
    <w:rsid w:val="00817356"/>
    <w:rsid w:val="00817676"/>
    <w:rsid w:val="008203A9"/>
    <w:rsid w:val="008207A4"/>
    <w:rsid w:val="00820D5F"/>
    <w:rsid w:val="00820F82"/>
    <w:rsid w:val="00821922"/>
    <w:rsid w:val="00821A44"/>
    <w:rsid w:val="00821BF1"/>
    <w:rsid w:val="00821D3A"/>
    <w:rsid w:val="00821E38"/>
    <w:rsid w:val="0082268F"/>
    <w:rsid w:val="00822853"/>
    <w:rsid w:val="00822C2E"/>
    <w:rsid w:val="00823777"/>
    <w:rsid w:val="00823A81"/>
    <w:rsid w:val="008244F7"/>
    <w:rsid w:val="00824520"/>
    <w:rsid w:val="008245CC"/>
    <w:rsid w:val="008255CA"/>
    <w:rsid w:val="008259D8"/>
    <w:rsid w:val="00826231"/>
    <w:rsid w:val="008265FA"/>
    <w:rsid w:val="00827BD5"/>
    <w:rsid w:val="00827C98"/>
    <w:rsid w:val="00827CC0"/>
    <w:rsid w:val="00830368"/>
    <w:rsid w:val="00830735"/>
    <w:rsid w:val="00830B29"/>
    <w:rsid w:val="00831DA4"/>
    <w:rsid w:val="00832247"/>
    <w:rsid w:val="00832A39"/>
    <w:rsid w:val="00833051"/>
    <w:rsid w:val="008334AF"/>
    <w:rsid w:val="008334CA"/>
    <w:rsid w:val="00834DD5"/>
    <w:rsid w:val="008355B8"/>
    <w:rsid w:val="0083599C"/>
    <w:rsid w:val="00836298"/>
    <w:rsid w:val="0083679A"/>
    <w:rsid w:val="008369E6"/>
    <w:rsid w:val="0083746B"/>
    <w:rsid w:val="00837A40"/>
    <w:rsid w:val="00837A55"/>
    <w:rsid w:val="00837D9C"/>
    <w:rsid w:val="0084062E"/>
    <w:rsid w:val="00840D37"/>
    <w:rsid w:val="008410BC"/>
    <w:rsid w:val="008420EB"/>
    <w:rsid w:val="00842F48"/>
    <w:rsid w:val="00843FD7"/>
    <w:rsid w:val="00844022"/>
    <w:rsid w:val="00844C44"/>
    <w:rsid w:val="008452F5"/>
    <w:rsid w:val="008455B2"/>
    <w:rsid w:val="008459DF"/>
    <w:rsid w:val="00846514"/>
    <w:rsid w:val="00846AF3"/>
    <w:rsid w:val="00847673"/>
    <w:rsid w:val="00850044"/>
    <w:rsid w:val="0085013E"/>
    <w:rsid w:val="008503EE"/>
    <w:rsid w:val="00850554"/>
    <w:rsid w:val="00850B43"/>
    <w:rsid w:val="00851278"/>
    <w:rsid w:val="00852269"/>
    <w:rsid w:val="00852A7F"/>
    <w:rsid w:val="00852F6D"/>
    <w:rsid w:val="00853611"/>
    <w:rsid w:val="00853D5F"/>
    <w:rsid w:val="00853E9F"/>
    <w:rsid w:val="0085448D"/>
    <w:rsid w:val="008544D3"/>
    <w:rsid w:val="00854FA0"/>
    <w:rsid w:val="00854FDF"/>
    <w:rsid w:val="00855698"/>
    <w:rsid w:val="00855AE2"/>
    <w:rsid w:val="0085693B"/>
    <w:rsid w:val="008569DA"/>
    <w:rsid w:val="00856BD2"/>
    <w:rsid w:val="00857273"/>
    <w:rsid w:val="00857451"/>
    <w:rsid w:val="0085790E"/>
    <w:rsid w:val="00857E72"/>
    <w:rsid w:val="00860208"/>
    <w:rsid w:val="00860D02"/>
    <w:rsid w:val="00860D84"/>
    <w:rsid w:val="00860D8D"/>
    <w:rsid w:val="00860DD5"/>
    <w:rsid w:val="00860FF9"/>
    <w:rsid w:val="008615C1"/>
    <w:rsid w:val="00861615"/>
    <w:rsid w:val="00861CAD"/>
    <w:rsid w:val="00862047"/>
    <w:rsid w:val="008622DA"/>
    <w:rsid w:val="00862B17"/>
    <w:rsid w:val="0086300B"/>
    <w:rsid w:val="00863094"/>
    <w:rsid w:val="00863370"/>
    <w:rsid w:val="00863CD5"/>
    <w:rsid w:val="00864063"/>
    <w:rsid w:val="00864487"/>
    <w:rsid w:val="00864664"/>
    <w:rsid w:val="008649F0"/>
    <w:rsid w:val="00864A8D"/>
    <w:rsid w:val="00864B90"/>
    <w:rsid w:val="008652BE"/>
    <w:rsid w:val="00865609"/>
    <w:rsid w:val="00865804"/>
    <w:rsid w:val="00865B58"/>
    <w:rsid w:val="00865BFE"/>
    <w:rsid w:val="00866E2A"/>
    <w:rsid w:val="008678CF"/>
    <w:rsid w:val="00867A06"/>
    <w:rsid w:val="008704AA"/>
    <w:rsid w:val="00870CAA"/>
    <w:rsid w:val="00870F12"/>
    <w:rsid w:val="00870F19"/>
    <w:rsid w:val="008710AD"/>
    <w:rsid w:val="0087172E"/>
    <w:rsid w:val="00871950"/>
    <w:rsid w:val="00871998"/>
    <w:rsid w:val="00871AD6"/>
    <w:rsid w:val="00872298"/>
    <w:rsid w:val="00872707"/>
    <w:rsid w:val="0087271D"/>
    <w:rsid w:val="0087275C"/>
    <w:rsid w:val="00872D1B"/>
    <w:rsid w:val="0087344A"/>
    <w:rsid w:val="00873999"/>
    <w:rsid w:val="00874AEA"/>
    <w:rsid w:val="008750DB"/>
    <w:rsid w:val="00875C05"/>
    <w:rsid w:val="00875C85"/>
    <w:rsid w:val="00876722"/>
    <w:rsid w:val="008767D4"/>
    <w:rsid w:val="0087690C"/>
    <w:rsid w:val="00876BFE"/>
    <w:rsid w:val="008771B8"/>
    <w:rsid w:val="008772F2"/>
    <w:rsid w:val="008775D6"/>
    <w:rsid w:val="00877F89"/>
    <w:rsid w:val="00880D23"/>
    <w:rsid w:val="0088129B"/>
    <w:rsid w:val="00881EBA"/>
    <w:rsid w:val="0088266E"/>
    <w:rsid w:val="00882812"/>
    <w:rsid w:val="008828DE"/>
    <w:rsid w:val="008833F5"/>
    <w:rsid w:val="008835A3"/>
    <w:rsid w:val="00883C79"/>
    <w:rsid w:val="00883CFA"/>
    <w:rsid w:val="00883DBC"/>
    <w:rsid w:val="008843E4"/>
    <w:rsid w:val="0088484E"/>
    <w:rsid w:val="00884A5B"/>
    <w:rsid w:val="00884B88"/>
    <w:rsid w:val="00884E17"/>
    <w:rsid w:val="00885361"/>
    <w:rsid w:val="00885686"/>
    <w:rsid w:val="00885983"/>
    <w:rsid w:val="00885C01"/>
    <w:rsid w:val="00885C6C"/>
    <w:rsid w:val="00885CDF"/>
    <w:rsid w:val="00885D8B"/>
    <w:rsid w:val="00886248"/>
    <w:rsid w:val="00886430"/>
    <w:rsid w:val="008865B0"/>
    <w:rsid w:val="00886606"/>
    <w:rsid w:val="008872E8"/>
    <w:rsid w:val="00887330"/>
    <w:rsid w:val="008873F4"/>
    <w:rsid w:val="00890AA9"/>
    <w:rsid w:val="00891172"/>
    <w:rsid w:val="00891969"/>
    <w:rsid w:val="00891D41"/>
    <w:rsid w:val="00892280"/>
    <w:rsid w:val="008922F3"/>
    <w:rsid w:val="0089247A"/>
    <w:rsid w:val="008924B4"/>
    <w:rsid w:val="0089279A"/>
    <w:rsid w:val="00892CFC"/>
    <w:rsid w:val="008932E4"/>
    <w:rsid w:val="008938E2"/>
    <w:rsid w:val="00893FC0"/>
    <w:rsid w:val="0089453A"/>
    <w:rsid w:val="00894905"/>
    <w:rsid w:val="00894BEF"/>
    <w:rsid w:val="00895419"/>
    <w:rsid w:val="0089556E"/>
    <w:rsid w:val="0089590F"/>
    <w:rsid w:val="00897202"/>
    <w:rsid w:val="00897617"/>
    <w:rsid w:val="00897787"/>
    <w:rsid w:val="008A0CF8"/>
    <w:rsid w:val="008A11CA"/>
    <w:rsid w:val="008A168D"/>
    <w:rsid w:val="008A1BDA"/>
    <w:rsid w:val="008A2A06"/>
    <w:rsid w:val="008A379D"/>
    <w:rsid w:val="008A485B"/>
    <w:rsid w:val="008A51A2"/>
    <w:rsid w:val="008A5319"/>
    <w:rsid w:val="008A5A0C"/>
    <w:rsid w:val="008A62B8"/>
    <w:rsid w:val="008A65C7"/>
    <w:rsid w:val="008A7300"/>
    <w:rsid w:val="008A7514"/>
    <w:rsid w:val="008A7621"/>
    <w:rsid w:val="008A78E9"/>
    <w:rsid w:val="008A7906"/>
    <w:rsid w:val="008A7A61"/>
    <w:rsid w:val="008A7A97"/>
    <w:rsid w:val="008B006B"/>
    <w:rsid w:val="008B007A"/>
    <w:rsid w:val="008B02C5"/>
    <w:rsid w:val="008B03B4"/>
    <w:rsid w:val="008B0439"/>
    <w:rsid w:val="008B0B2E"/>
    <w:rsid w:val="008B1059"/>
    <w:rsid w:val="008B1089"/>
    <w:rsid w:val="008B16DF"/>
    <w:rsid w:val="008B1AB9"/>
    <w:rsid w:val="008B1C5D"/>
    <w:rsid w:val="008B206E"/>
    <w:rsid w:val="008B2259"/>
    <w:rsid w:val="008B4942"/>
    <w:rsid w:val="008B519D"/>
    <w:rsid w:val="008B538F"/>
    <w:rsid w:val="008B540F"/>
    <w:rsid w:val="008B54DB"/>
    <w:rsid w:val="008B5BCD"/>
    <w:rsid w:val="008B5C20"/>
    <w:rsid w:val="008B5FC1"/>
    <w:rsid w:val="008B678E"/>
    <w:rsid w:val="008B68C3"/>
    <w:rsid w:val="008B7457"/>
    <w:rsid w:val="008B75B1"/>
    <w:rsid w:val="008B7A22"/>
    <w:rsid w:val="008C0617"/>
    <w:rsid w:val="008C10A8"/>
    <w:rsid w:val="008C10AF"/>
    <w:rsid w:val="008C1779"/>
    <w:rsid w:val="008C222F"/>
    <w:rsid w:val="008C2B91"/>
    <w:rsid w:val="008C2DA5"/>
    <w:rsid w:val="008C31D0"/>
    <w:rsid w:val="008C32A7"/>
    <w:rsid w:val="008C330D"/>
    <w:rsid w:val="008C37FC"/>
    <w:rsid w:val="008C38B6"/>
    <w:rsid w:val="008C4048"/>
    <w:rsid w:val="008C47BE"/>
    <w:rsid w:val="008C5297"/>
    <w:rsid w:val="008C52E9"/>
    <w:rsid w:val="008C5883"/>
    <w:rsid w:val="008C6207"/>
    <w:rsid w:val="008C6608"/>
    <w:rsid w:val="008C6CD8"/>
    <w:rsid w:val="008C6EC2"/>
    <w:rsid w:val="008C6FE1"/>
    <w:rsid w:val="008C7545"/>
    <w:rsid w:val="008C7B87"/>
    <w:rsid w:val="008D04B3"/>
    <w:rsid w:val="008D09CA"/>
    <w:rsid w:val="008D0A89"/>
    <w:rsid w:val="008D0C69"/>
    <w:rsid w:val="008D1551"/>
    <w:rsid w:val="008D16AA"/>
    <w:rsid w:val="008D16D5"/>
    <w:rsid w:val="008D1F85"/>
    <w:rsid w:val="008D1F9A"/>
    <w:rsid w:val="008D20D6"/>
    <w:rsid w:val="008D23AD"/>
    <w:rsid w:val="008D266C"/>
    <w:rsid w:val="008D3036"/>
    <w:rsid w:val="008D3146"/>
    <w:rsid w:val="008D3A1A"/>
    <w:rsid w:val="008D405E"/>
    <w:rsid w:val="008D4AA9"/>
    <w:rsid w:val="008D4DF3"/>
    <w:rsid w:val="008D4FBE"/>
    <w:rsid w:val="008D546B"/>
    <w:rsid w:val="008D54DF"/>
    <w:rsid w:val="008D5550"/>
    <w:rsid w:val="008D62A5"/>
    <w:rsid w:val="008D65BE"/>
    <w:rsid w:val="008D7A29"/>
    <w:rsid w:val="008D7F68"/>
    <w:rsid w:val="008E0134"/>
    <w:rsid w:val="008E014F"/>
    <w:rsid w:val="008E04BC"/>
    <w:rsid w:val="008E063A"/>
    <w:rsid w:val="008E1FD6"/>
    <w:rsid w:val="008E20FD"/>
    <w:rsid w:val="008E233A"/>
    <w:rsid w:val="008E289E"/>
    <w:rsid w:val="008E378A"/>
    <w:rsid w:val="008E3EFE"/>
    <w:rsid w:val="008E3FC7"/>
    <w:rsid w:val="008E4128"/>
    <w:rsid w:val="008E425F"/>
    <w:rsid w:val="008E4304"/>
    <w:rsid w:val="008E445E"/>
    <w:rsid w:val="008E4A22"/>
    <w:rsid w:val="008E4FF8"/>
    <w:rsid w:val="008E587F"/>
    <w:rsid w:val="008E5B97"/>
    <w:rsid w:val="008E69A9"/>
    <w:rsid w:val="008E70E8"/>
    <w:rsid w:val="008E72DC"/>
    <w:rsid w:val="008E7EBB"/>
    <w:rsid w:val="008F0833"/>
    <w:rsid w:val="008F0F94"/>
    <w:rsid w:val="008F12FF"/>
    <w:rsid w:val="008F1923"/>
    <w:rsid w:val="008F1F5E"/>
    <w:rsid w:val="008F2C86"/>
    <w:rsid w:val="008F30A0"/>
    <w:rsid w:val="008F3429"/>
    <w:rsid w:val="008F36A0"/>
    <w:rsid w:val="008F39E4"/>
    <w:rsid w:val="008F3B5E"/>
    <w:rsid w:val="008F4916"/>
    <w:rsid w:val="008F51E3"/>
    <w:rsid w:val="008F5564"/>
    <w:rsid w:val="008F55DA"/>
    <w:rsid w:val="008F5999"/>
    <w:rsid w:val="008F6843"/>
    <w:rsid w:val="008F6D88"/>
    <w:rsid w:val="008F7B7E"/>
    <w:rsid w:val="009005F2"/>
    <w:rsid w:val="009006B4"/>
    <w:rsid w:val="00900A42"/>
    <w:rsid w:val="00901C31"/>
    <w:rsid w:val="00901F06"/>
    <w:rsid w:val="00901F1B"/>
    <w:rsid w:val="00902349"/>
    <w:rsid w:val="00902C24"/>
    <w:rsid w:val="009036A1"/>
    <w:rsid w:val="00903EAF"/>
    <w:rsid w:val="009040C1"/>
    <w:rsid w:val="0090439F"/>
    <w:rsid w:val="00904CD9"/>
    <w:rsid w:val="00905099"/>
    <w:rsid w:val="009050AC"/>
    <w:rsid w:val="009053AF"/>
    <w:rsid w:val="00905598"/>
    <w:rsid w:val="009059F9"/>
    <w:rsid w:val="00905FA7"/>
    <w:rsid w:val="009063F6"/>
    <w:rsid w:val="00906857"/>
    <w:rsid w:val="00907450"/>
    <w:rsid w:val="00907581"/>
    <w:rsid w:val="00907828"/>
    <w:rsid w:val="00907F4B"/>
    <w:rsid w:val="009102BC"/>
    <w:rsid w:val="00910343"/>
    <w:rsid w:val="009104E1"/>
    <w:rsid w:val="00910BF0"/>
    <w:rsid w:val="00910D52"/>
    <w:rsid w:val="00910E29"/>
    <w:rsid w:val="00911259"/>
    <w:rsid w:val="00911311"/>
    <w:rsid w:val="0091292D"/>
    <w:rsid w:val="0091295B"/>
    <w:rsid w:val="00912E10"/>
    <w:rsid w:val="0091351D"/>
    <w:rsid w:val="00913781"/>
    <w:rsid w:val="00913A0D"/>
    <w:rsid w:val="00913A34"/>
    <w:rsid w:val="00913D05"/>
    <w:rsid w:val="00913EF6"/>
    <w:rsid w:val="009143EF"/>
    <w:rsid w:val="009144DB"/>
    <w:rsid w:val="00914871"/>
    <w:rsid w:val="00914A9A"/>
    <w:rsid w:val="00914D5C"/>
    <w:rsid w:val="00915354"/>
    <w:rsid w:val="0091546B"/>
    <w:rsid w:val="009154F9"/>
    <w:rsid w:val="0091572F"/>
    <w:rsid w:val="0091590A"/>
    <w:rsid w:val="009159DB"/>
    <w:rsid w:val="00915A16"/>
    <w:rsid w:val="00915E51"/>
    <w:rsid w:val="009161F0"/>
    <w:rsid w:val="009165D4"/>
    <w:rsid w:val="0091671F"/>
    <w:rsid w:val="0091682A"/>
    <w:rsid w:val="00916A9C"/>
    <w:rsid w:val="00916EEC"/>
    <w:rsid w:val="00917988"/>
    <w:rsid w:val="00917D45"/>
    <w:rsid w:val="00920357"/>
    <w:rsid w:val="00921469"/>
    <w:rsid w:val="009214E4"/>
    <w:rsid w:val="009216CC"/>
    <w:rsid w:val="00921C23"/>
    <w:rsid w:val="00921DCE"/>
    <w:rsid w:val="00921F5B"/>
    <w:rsid w:val="00921F81"/>
    <w:rsid w:val="00922325"/>
    <w:rsid w:val="009224A3"/>
    <w:rsid w:val="00922A0A"/>
    <w:rsid w:val="0092304D"/>
    <w:rsid w:val="00923284"/>
    <w:rsid w:val="00923CB1"/>
    <w:rsid w:val="00923D44"/>
    <w:rsid w:val="00923F00"/>
    <w:rsid w:val="00924564"/>
    <w:rsid w:val="0092461F"/>
    <w:rsid w:val="00924660"/>
    <w:rsid w:val="00924C81"/>
    <w:rsid w:val="00924D09"/>
    <w:rsid w:val="00924D8A"/>
    <w:rsid w:val="009252D8"/>
    <w:rsid w:val="009253F4"/>
    <w:rsid w:val="00925597"/>
    <w:rsid w:val="00925F91"/>
    <w:rsid w:val="00926326"/>
    <w:rsid w:val="00926955"/>
    <w:rsid w:val="00926DF5"/>
    <w:rsid w:val="00926F58"/>
    <w:rsid w:val="00927179"/>
    <w:rsid w:val="00930490"/>
    <w:rsid w:val="00930504"/>
    <w:rsid w:val="0093066B"/>
    <w:rsid w:val="00930673"/>
    <w:rsid w:val="00930736"/>
    <w:rsid w:val="00930861"/>
    <w:rsid w:val="00930D72"/>
    <w:rsid w:val="00930EBE"/>
    <w:rsid w:val="009318A0"/>
    <w:rsid w:val="009318B3"/>
    <w:rsid w:val="00931D69"/>
    <w:rsid w:val="00932044"/>
    <w:rsid w:val="009327E4"/>
    <w:rsid w:val="009332D5"/>
    <w:rsid w:val="00933490"/>
    <w:rsid w:val="00933AC9"/>
    <w:rsid w:val="009348AB"/>
    <w:rsid w:val="00935965"/>
    <w:rsid w:val="00935FBE"/>
    <w:rsid w:val="009364AC"/>
    <w:rsid w:val="009366E0"/>
    <w:rsid w:val="00936F9F"/>
    <w:rsid w:val="00937213"/>
    <w:rsid w:val="0093730E"/>
    <w:rsid w:val="00937900"/>
    <w:rsid w:val="0093798F"/>
    <w:rsid w:val="00937B46"/>
    <w:rsid w:val="009404D4"/>
    <w:rsid w:val="009404FA"/>
    <w:rsid w:val="009406D5"/>
    <w:rsid w:val="00940740"/>
    <w:rsid w:val="0094084B"/>
    <w:rsid w:val="0094116C"/>
    <w:rsid w:val="00941EB1"/>
    <w:rsid w:val="0094233C"/>
    <w:rsid w:val="00942626"/>
    <w:rsid w:val="00943038"/>
    <w:rsid w:val="00943326"/>
    <w:rsid w:val="00943630"/>
    <w:rsid w:val="009436E7"/>
    <w:rsid w:val="009439E4"/>
    <w:rsid w:val="00943A1B"/>
    <w:rsid w:val="00943AEF"/>
    <w:rsid w:val="0094443F"/>
    <w:rsid w:val="00944B7C"/>
    <w:rsid w:val="00944C4C"/>
    <w:rsid w:val="0094522A"/>
    <w:rsid w:val="009464B0"/>
    <w:rsid w:val="00946DF2"/>
    <w:rsid w:val="00947447"/>
    <w:rsid w:val="0094775D"/>
    <w:rsid w:val="00947BF3"/>
    <w:rsid w:val="00950312"/>
    <w:rsid w:val="00950D31"/>
    <w:rsid w:val="00951343"/>
    <w:rsid w:val="009517B3"/>
    <w:rsid w:val="009519AE"/>
    <w:rsid w:val="00951F1B"/>
    <w:rsid w:val="00952139"/>
    <w:rsid w:val="009521C2"/>
    <w:rsid w:val="00952D64"/>
    <w:rsid w:val="0095376F"/>
    <w:rsid w:val="00953898"/>
    <w:rsid w:val="00953B01"/>
    <w:rsid w:val="00953B54"/>
    <w:rsid w:val="00953F9D"/>
    <w:rsid w:val="00953FCD"/>
    <w:rsid w:val="00953FED"/>
    <w:rsid w:val="00954099"/>
    <w:rsid w:val="00954202"/>
    <w:rsid w:val="00954924"/>
    <w:rsid w:val="00954B79"/>
    <w:rsid w:val="00954E08"/>
    <w:rsid w:val="00954E0C"/>
    <w:rsid w:val="00954E6C"/>
    <w:rsid w:val="00955255"/>
    <w:rsid w:val="00955BC5"/>
    <w:rsid w:val="009569AE"/>
    <w:rsid w:val="009569F5"/>
    <w:rsid w:val="00956A67"/>
    <w:rsid w:val="00956DC7"/>
    <w:rsid w:val="00956FB0"/>
    <w:rsid w:val="00957ADD"/>
    <w:rsid w:val="009609E2"/>
    <w:rsid w:val="00960BDE"/>
    <w:rsid w:val="00960E28"/>
    <w:rsid w:val="00960EC8"/>
    <w:rsid w:val="00961219"/>
    <w:rsid w:val="009613F0"/>
    <w:rsid w:val="0096195E"/>
    <w:rsid w:val="00961C00"/>
    <w:rsid w:val="009638CA"/>
    <w:rsid w:val="00963D3B"/>
    <w:rsid w:val="009641C3"/>
    <w:rsid w:val="00964A54"/>
    <w:rsid w:val="00964DA6"/>
    <w:rsid w:val="009652DA"/>
    <w:rsid w:val="009653A9"/>
    <w:rsid w:val="00965570"/>
    <w:rsid w:val="00965AF0"/>
    <w:rsid w:val="00965B7C"/>
    <w:rsid w:val="00965E25"/>
    <w:rsid w:val="00966B5F"/>
    <w:rsid w:val="00966DD9"/>
    <w:rsid w:val="00966E51"/>
    <w:rsid w:val="00967041"/>
    <w:rsid w:val="00967D80"/>
    <w:rsid w:val="009700E3"/>
    <w:rsid w:val="009708C2"/>
    <w:rsid w:val="00970F2E"/>
    <w:rsid w:val="009712B7"/>
    <w:rsid w:val="00971E95"/>
    <w:rsid w:val="00971F6C"/>
    <w:rsid w:val="009722B3"/>
    <w:rsid w:val="009728FA"/>
    <w:rsid w:val="00973530"/>
    <w:rsid w:val="00973637"/>
    <w:rsid w:val="00973929"/>
    <w:rsid w:val="00973EA1"/>
    <w:rsid w:val="00973F13"/>
    <w:rsid w:val="00973FB1"/>
    <w:rsid w:val="00974009"/>
    <w:rsid w:val="009740CC"/>
    <w:rsid w:val="00974FD8"/>
    <w:rsid w:val="009751F2"/>
    <w:rsid w:val="009759BC"/>
    <w:rsid w:val="00975C88"/>
    <w:rsid w:val="00976C2E"/>
    <w:rsid w:val="009778F5"/>
    <w:rsid w:val="00977C45"/>
    <w:rsid w:val="00977ECB"/>
    <w:rsid w:val="00977ED8"/>
    <w:rsid w:val="00977F39"/>
    <w:rsid w:val="009800AF"/>
    <w:rsid w:val="0098049A"/>
    <w:rsid w:val="00980A22"/>
    <w:rsid w:val="009811C3"/>
    <w:rsid w:val="00981221"/>
    <w:rsid w:val="00981B97"/>
    <w:rsid w:val="00981EB4"/>
    <w:rsid w:val="00982318"/>
    <w:rsid w:val="0098297A"/>
    <w:rsid w:val="0098362C"/>
    <w:rsid w:val="00983E1C"/>
    <w:rsid w:val="0098506F"/>
    <w:rsid w:val="0098524E"/>
    <w:rsid w:val="009853BD"/>
    <w:rsid w:val="00985AC9"/>
    <w:rsid w:val="00985B27"/>
    <w:rsid w:val="00985E9D"/>
    <w:rsid w:val="00986461"/>
    <w:rsid w:val="00986C30"/>
    <w:rsid w:val="00986D3C"/>
    <w:rsid w:val="00986F6E"/>
    <w:rsid w:val="00987777"/>
    <w:rsid w:val="0099137D"/>
    <w:rsid w:val="00991417"/>
    <w:rsid w:val="0099200B"/>
    <w:rsid w:val="00992102"/>
    <w:rsid w:val="0099229A"/>
    <w:rsid w:val="00992E64"/>
    <w:rsid w:val="009933FA"/>
    <w:rsid w:val="0099348A"/>
    <w:rsid w:val="00993EFD"/>
    <w:rsid w:val="009940DF"/>
    <w:rsid w:val="00994851"/>
    <w:rsid w:val="00995166"/>
    <w:rsid w:val="00995394"/>
    <w:rsid w:val="00995574"/>
    <w:rsid w:val="00995985"/>
    <w:rsid w:val="00995AB1"/>
    <w:rsid w:val="009962D3"/>
    <w:rsid w:val="00996427"/>
    <w:rsid w:val="009964BB"/>
    <w:rsid w:val="009968F2"/>
    <w:rsid w:val="0099691F"/>
    <w:rsid w:val="00996B23"/>
    <w:rsid w:val="00996C80"/>
    <w:rsid w:val="00996D8B"/>
    <w:rsid w:val="009971CC"/>
    <w:rsid w:val="009977D8"/>
    <w:rsid w:val="00997A4F"/>
    <w:rsid w:val="00997C1E"/>
    <w:rsid w:val="00997C8A"/>
    <w:rsid w:val="00997CFA"/>
    <w:rsid w:val="00997D15"/>
    <w:rsid w:val="00997DD7"/>
    <w:rsid w:val="009A0828"/>
    <w:rsid w:val="009A0B39"/>
    <w:rsid w:val="009A1605"/>
    <w:rsid w:val="009A1719"/>
    <w:rsid w:val="009A181C"/>
    <w:rsid w:val="009A2732"/>
    <w:rsid w:val="009A3543"/>
    <w:rsid w:val="009A3734"/>
    <w:rsid w:val="009A438B"/>
    <w:rsid w:val="009A4BD5"/>
    <w:rsid w:val="009A4ECF"/>
    <w:rsid w:val="009A53D6"/>
    <w:rsid w:val="009A54E8"/>
    <w:rsid w:val="009A5526"/>
    <w:rsid w:val="009A562A"/>
    <w:rsid w:val="009A5679"/>
    <w:rsid w:val="009A56DE"/>
    <w:rsid w:val="009A5D6A"/>
    <w:rsid w:val="009A6181"/>
    <w:rsid w:val="009A6564"/>
    <w:rsid w:val="009A6585"/>
    <w:rsid w:val="009A6B63"/>
    <w:rsid w:val="009A6EEB"/>
    <w:rsid w:val="009A7202"/>
    <w:rsid w:val="009A77D9"/>
    <w:rsid w:val="009A7813"/>
    <w:rsid w:val="009A78E1"/>
    <w:rsid w:val="009A79E7"/>
    <w:rsid w:val="009B0155"/>
    <w:rsid w:val="009B0156"/>
    <w:rsid w:val="009B08E8"/>
    <w:rsid w:val="009B128E"/>
    <w:rsid w:val="009B164C"/>
    <w:rsid w:val="009B1A00"/>
    <w:rsid w:val="009B22AD"/>
    <w:rsid w:val="009B2C40"/>
    <w:rsid w:val="009B2D1D"/>
    <w:rsid w:val="009B2DCE"/>
    <w:rsid w:val="009B2E6A"/>
    <w:rsid w:val="009B32C7"/>
    <w:rsid w:val="009B34A0"/>
    <w:rsid w:val="009B3BD7"/>
    <w:rsid w:val="009B3EF1"/>
    <w:rsid w:val="009B4004"/>
    <w:rsid w:val="009B647D"/>
    <w:rsid w:val="009B6729"/>
    <w:rsid w:val="009B69C8"/>
    <w:rsid w:val="009B6E72"/>
    <w:rsid w:val="009B6F7F"/>
    <w:rsid w:val="009B7D8C"/>
    <w:rsid w:val="009B7DE1"/>
    <w:rsid w:val="009C029C"/>
    <w:rsid w:val="009C057F"/>
    <w:rsid w:val="009C0667"/>
    <w:rsid w:val="009C09F7"/>
    <w:rsid w:val="009C0A76"/>
    <w:rsid w:val="009C127D"/>
    <w:rsid w:val="009C1945"/>
    <w:rsid w:val="009C201A"/>
    <w:rsid w:val="009C3F4E"/>
    <w:rsid w:val="009C4A80"/>
    <w:rsid w:val="009C5311"/>
    <w:rsid w:val="009C5DAC"/>
    <w:rsid w:val="009C6661"/>
    <w:rsid w:val="009C6769"/>
    <w:rsid w:val="009C6B3E"/>
    <w:rsid w:val="009C748B"/>
    <w:rsid w:val="009C7DC5"/>
    <w:rsid w:val="009D0089"/>
    <w:rsid w:val="009D04A7"/>
    <w:rsid w:val="009D1F80"/>
    <w:rsid w:val="009D234E"/>
    <w:rsid w:val="009D3B62"/>
    <w:rsid w:val="009D3B91"/>
    <w:rsid w:val="009D441F"/>
    <w:rsid w:val="009D4644"/>
    <w:rsid w:val="009D4692"/>
    <w:rsid w:val="009D4787"/>
    <w:rsid w:val="009D51CC"/>
    <w:rsid w:val="009D51F0"/>
    <w:rsid w:val="009D5C84"/>
    <w:rsid w:val="009D60DC"/>
    <w:rsid w:val="009D61AA"/>
    <w:rsid w:val="009D6230"/>
    <w:rsid w:val="009D6346"/>
    <w:rsid w:val="009D682E"/>
    <w:rsid w:val="009D71EC"/>
    <w:rsid w:val="009D7E3C"/>
    <w:rsid w:val="009E02D9"/>
    <w:rsid w:val="009E0355"/>
    <w:rsid w:val="009E050A"/>
    <w:rsid w:val="009E0E38"/>
    <w:rsid w:val="009E1485"/>
    <w:rsid w:val="009E1D22"/>
    <w:rsid w:val="009E238E"/>
    <w:rsid w:val="009E2CE9"/>
    <w:rsid w:val="009E2F0B"/>
    <w:rsid w:val="009E377D"/>
    <w:rsid w:val="009E3F94"/>
    <w:rsid w:val="009E3FA4"/>
    <w:rsid w:val="009E4A99"/>
    <w:rsid w:val="009E56AF"/>
    <w:rsid w:val="009E5713"/>
    <w:rsid w:val="009E59FD"/>
    <w:rsid w:val="009E5B16"/>
    <w:rsid w:val="009E5C96"/>
    <w:rsid w:val="009E67E2"/>
    <w:rsid w:val="009E6882"/>
    <w:rsid w:val="009E6D14"/>
    <w:rsid w:val="009F04D7"/>
    <w:rsid w:val="009F0FF5"/>
    <w:rsid w:val="009F14C4"/>
    <w:rsid w:val="009F14C6"/>
    <w:rsid w:val="009F15CD"/>
    <w:rsid w:val="009F1983"/>
    <w:rsid w:val="009F1A1C"/>
    <w:rsid w:val="009F1AE1"/>
    <w:rsid w:val="009F1B8B"/>
    <w:rsid w:val="009F1D59"/>
    <w:rsid w:val="009F21C0"/>
    <w:rsid w:val="009F2B16"/>
    <w:rsid w:val="009F2CD0"/>
    <w:rsid w:val="009F33E4"/>
    <w:rsid w:val="009F356A"/>
    <w:rsid w:val="009F3C8D"/>
    <w:rsid w:val="009F3E64"/>
    <w:rsid w:val="009F4103"/>
    <w:rsid w:val="009F415D"/>
    <w:rsid w:val="009F438A"/>
    <w:rsid w:val="009F4739"/>
    <w:rsid w:val="009F490A"/>
    <w:rsid w:val="009F5CF8"/>
    <w:rsid w:val="009F6151"/>
    <w:rsid w:val="009F6317"/>
    <w:rsid w:val="009F6B18"/>
    <w:rsid w:val="009F6EB7"/>
    <w:rsid w:val="009F7D58"/>
    <w:rsid w:val="009F7D94"/>
    <w:rsid w:val="00A0013E"/>
    <w:rsid w:val="00A00452"/>
    <w:rsid w:val="00A02061"/>
    <w:rsid w:val="00A02504"/>
    <w:rsid w:val="00A026F3"/>
    <w:rsid w:val="00A02906"/>
    <w:rsid w:val="00A030D0"/>
    <w:rsid w:val="00A030E1"/>
    <w:rsid w:val="00A0400B"/>
    <w:rsid w:val="00A0452B"/>
    <w:rsid w:val="00A04DD8"/>
    <w:rsid w:val="00A05257"/>
    <w:rsid w:val="00A0533E"/>
    <w:rsid w:val="00A055E1"/>
    <w:rsid w:val="00A05659"/>
    <w:rsid w:val="00A05B21"/>
    <w:rsid w:val="00A05C39"/>
    <w:rsid w:val="00A05F0A"/>
    <w:rsid w:val="00A06146"/>
    <w:rsid w:val="00A062B2"/>
    <w:rsid w:val="00A06359"/>
    <w:rsid w:val="00A06A3E"/>
    <w:rsid w:val="00A06C22"/>
    <w:rsid w:val="00A06F3C"/>
    <w:rsid w:val="00A076F4"/>
    <w:rsid w:val="00A079EA"/>
    <w:rsid w:val="00A07B6F"/>
    <w:rsid w:val="00A101F7"/>
    <w:rsid w:val="00A10D91"/>
    <w:rsid w:val="00A111C0"/>
    <w:rsid w:val="00A1160C"/>
    <w:rsid w:val="00A11612"/>
    <w:rsid w:val="00A11EBD"/>
    <w:rsid w:val="00A12154"/>
    <w:rsid w:val="00A12D8E"/>
    <w:rsid w:val="00A13EE1"/>
    <w:rsid w:val="00A1401A"/>
    <w:rsid w:val="00A14277"/>
    <w:rsid w:val="00A15275"/>
    <w:rsid w:val="00A153FE"/>
    <w:rsid w:val="00A1588A"/>
    <w:rsid w:val="00A15CB1"/>
    <w:rsid w:val="00A16102"/>
    <w:rsid w:val="00A1689E"/>
    <w:rsid w:val="00A16C90"/>
    <w:rsid w:val="00A17147"/>
    <w:rsid w:val="00A17312"/>
    <w:rsid w:val="00A173A7"/>
    <w:rsid w:val="00A173F4"/>
    <w:rsid w:val="00A174F9"/>
    <w:rsid w:val="00A176BD"/>
    <w:rsid w:val="00A17936"/>
    <w:rsid w:val="00A202C1"/>
    <w:rsid w:val="00A209F6"/>
    <w:rsid w:val="00A20DF3"/>
    <w:rsid w:val="00A2109E"/>
    <w:rsid w:val="00A21450"/>
    <w:rsid w:val="00A21889"/>
    <w:rsid w:val="00A21A93"/>
    <w:rsid w:val="00A21DB9"/>
    <w:rsid w:val="00A21E43"/>
    <w:rsid w:val="00A2248C"/>
    <w:rsid w:val="00A22736"/>
    <w:rsid w:val="00A22916"/>
    <w:rsid w:val="00A2302C"/>
    <w:rsid w:val="00A23060"/>
    <w:rsid w:val="00A23598"/>
    <w:rsid w:val="00A23833"/>
    <w:rsid w:val="00A247F5"/>
    <w:rsid w:val="00A24B2F"/>
    <w:rsid w:val="00A24CA1"/>
    <w:rsid w:val="00A26304"/>
    <w:rsid w:val="00A2663C"/>
    <w:rsid w:val="00A26A6A"/>
    <w:rsid w:val="00A26C78"/>
    <w:rsid w:val="00A26CF2"/>
    <w:rsid w:val="00A270CC"/>
    <w:rsid w:val="00A27227"/>
    <w:rsid w:val="00A274F2"/>
    <w:rsid w:val="00A27F53"/>
    <w:rsid w:val="00A30D81"/>
    <w:rsid w:val="00A30EAB"/>
    <w:rsid w:val="00A3171F"/>
    <w:rsid w:val="00A31B13"/>
    <w:rsid w:val="00A31B2C"/>
    <w:rsid w:val="00A32A6C"/>
    <w:rsid w:val="00A337EE"/>
    <w:rsid w:val="00A338B0"/>
    <w:rsid w:val="00A33989"/>
    <w:rsid w:val="00A33D15"/>
    <w:rsid w:val="00A34074"/>
    <w:rsid w:val="00A346D7"/>
    <w:rsid w:val="00A34935"/>
    <w:rsid w:val="00A35DEC"/>
    <w:rsid w:val="00A3621C"/>
    <w:rsid w:val="00A36360"/>
    <w:rsid w:val="00A36627"/>
    <w:rsid w:val="00A367B3"/>
    <w:rsid w:val="00A374C7"/>
    <w:rsid w:val="00A375B0"/>
    <w:rsid w:val="00A375F9"/>
    <w:rsid w:val="00A37AFA"/>
    <w:rsid w:val="00A37B2A"/>
    <w:rsid w:val="00A37DEC"/>
    <w:rsid w:val="00A40A2B"/>
    <w:rsid w:val="00A40A81"/>
    <w:rsid w:val="00A40CCE"/>
    <w:rsid w:val="00A412B0"/>
    <w:rsid w:val="00A41698"/>
    <w:rsid w:val="00A41732"/>
    <w:rsid w:val="00A41800"/>
    <w:rsid w:val="00A41A0F"/>
    <w:rsid w:val="00A42964"/>
    <w:rsid w:val="00A430D5"/>
    <w:rsid w:val="00A44044"/>
    <w:rsid w:val="00A447AA"/>
    <w:rsid w:val="00A44ABA"/>
    <w:rsid w:val="00A44CEB"/>
    <w:rsid w:val="00A44EDD"/>
    <w:rsid w:val="00A44F2A"/>
    <w:rsid w:val="00A45647"/>
    <w:rsid w:val="00A459B1"/>
    <w:rsid w:val="00A4624C"/>
    <w:rsid w:val="00A465FB"/>
    <w:rsid w:val="00A474F7"/>
    <w:rsid w:val="00A50106"/>
    <w:rsid w:val="00A50119"/>
    <w:rsid w:val="00A503C4"/>
    <w:rsid w:val="00A50415"/>
    <w:rsid w:val="00A5066E"/>
    <w:rsid w:val="00A50966"/>
    <w:rsid w:val="00A51257"/>
    <w:rsid w:val="00A53258"/>
    <w:rsid w:val="00A53458"/>
    <w:rsid w:val="00A5389F"/>
    <w:rsid w:val="00A544E6"/>
    <w:rsid w:val="00A54980"/>
    <w:rsid w:val="00A550D0"/>
    <w:rsid w:val="00A553EA"/>
    <w:rsid w:val="00A556B7"/>
    <w:rsid w:val="00A558AE"/>
    <w:rsid w:val="00A55907"/>
    <w:rsid w:val="00A55CA6"/>
    <w:rsid w:val="00A56183"/>
    <w:rsid w:val="00A5631C"/>
    <w:rsid w:val="00A568A1"/>
    <w:rsid w:val="00A56A29"/>
    <w:rsid w:val="00A573F3"/>
    <w:rsid w:val="00A57AFE"/>
    <w:rsid w:val="00A57DDA"/>
    <w:rsid w:val="00A602BF"/>
    <w:rsid w:val="00A60E77"/>
    <w:rsid w:val="00A60EBE"/>
    <w:rsid w:val="00A61CF3"/>
    <w:rsid w:val="00A6226D"/>
    <w:rsid w:val="00A6238A"/>
    <w:rsid w:val="00A62D3F"/>
    <w:rsid w:val="00A62E60"/>
    <w:rsid w:val="00A63305"/>
    <w:rsid w:val="00A63448"/>
    <w:rsid w:val="00A63897"/>
    <w:rsid w:val="00A6445E"/>
    <w:rsid w:val="00A64EFB"/>
    <w:rsid w:val="00A660BF"/>
    <w:rsid w:val="00A666C2"/>
    <w:rsid w:val="00A6698B"/>
    <w:rsid w:val="00A66C47"/>
    <w:rsid w:val="00A6787D"/>
    <w:rsid w:val="00A70A7C"/>
    <w:rsid w:val="00A70E57"/>
    <w:rsid w:val="00A71129"/>
    <w:rsid w:val="00A71281"/>
    <w:rsid w:val="00A71710"/>
    <w:rsid w:val="00A71ADD"/>
    <w:rsid w:val="00A71C16"/>
    <w:rsid w:val="00A7223D"/>
    <w:rsid w:val="00A7293E"/>
    <w:rsid w:val="00A72C05"/>
    <w:rsid w:val="00A72DB3"/>
    <w:rsid w:val="00A73423"/>
    <w:rsid w:val="00A7399D"/>
    <w:rsid w:val="00A742BB"/>
    <w:rsid w:val="00A7466B"/>
    <w:rsid w:val="00A74969"/>
    <w:rsid w:val="00A74DF1"/>
    <w:rsid w:val="00A75F2B"/>
    <w:rsid w:val="00A75F2E"/>
    <w:rsid w:val="00A76EBF"/>
    <w:rsid w:val="00A776E7"/>
    <w:rsid w:val="00A77B83"/>
    <w:rsid w:val="00A80572"/>
    <w:rsid w:val="00A80714"/>
    <w:rsid w:val="00A8256F"/>
    <w:rsid w:val="00A82933"/>
    <w:rsid w:val="00A82EBE"/>
    <w:rsid w:val="00A830C1"/>
    <w:rsid w:val="00A83304"/>
    <w:rsid w:val="00A839F5"/>
    <w:rsid w:val="00A840BC"/>
    <w:rsid w:val="00A840F2"/>
    <w:rsid w:val="00A84453"/>
    <w:rsid w:val="00A85F4F"/>
    <w:rsid w:val="00A861A6"/>
    <w:rsid w:val="00A861B3"/>
    <w:rsid w:val="00A8680D"/>
    <w:rsid w:val="00A86D57"/>
    <w:rsid w:val="00A8727E"/>
    <w:rsid w:val="00A872FD"/>
    <w:rsid w:val="00A904A1"/>
    <w:rsid w:val="00A907E0"/>
    <w:rsid w:val="00A908A3"/>
    <w:rsid w:val="00A917B9"/>
    <w:rsid w:val="00A91F7E"/>
    <w:rsid w:val="00A927D8"/>
    <w:rsid w:val="00A929E0"/>
    <w:rsid w:val="00A92DBA"/>
    <w:rsid w:val="00A92FDE"/>
    <w:rsid w:val="00A93177"/>
    <w:rsid w:val="00A931C1"/>
    <w:rsid w:val="00A938FA"/>
    <w:rsid w:val="00A93B75"/>
    <w:rsid w:val="00A93C1F"/>
    <w:rsid w:val="00A93FF8"/>
    <w:rsid w:val="00A940FC"/>
    <w:rsid w:val="00A94499"/>
    <w:rsid w:val="00A94BE4"/>
    <w:rsid w:val="00A95752"/>
    <w:rsid w:val="00A95967"/>
    <w:rsid w:val="00A95AF4"/>
    <w:rsid w:val="00A95BBA"/>
    <w:rsid w:val="00A95CE8"/>
    <w:rsid w:val="00A961E6"/>
    <w:rsid w:val="00A96251"/>
    <w:rsid w:val="00A9685D"/>
    <w:rsid w:val="00A9705A"/>
    <w:rsid w:val="00A972A0"/>
    <w:rsid w:val="00A97CC6"/>
    <w:rsid w:val="00A97DA6"/>
    <w:rsid w:val="00A97F4B"/>
    <w:rsid w:val="00AA0442"/>
    <w:rsid w:val="00AA0490"/>
    <w:rsid w:val="00AA06A1"/>
    <w:rsid w:val="00AA0F36"/>
    <w:rsid w:val="00AA10E7"/>
    <w:rsid w:val="00AA1A25"/>
    <w:rsid w:val="00AA1A31"/>
    <w:rsid w:val="00AA1B0B"/>
    <w:rsid w:val="00AA1CB0"/>
    <w:rsid w:val="00AA1EE5"/>
    <w:rsid w:val="00AA2268"/>
    <w:rsid w:val="00AA2A9E"/>
    <w:rsid w:val="00AA2BC5"/>
    <w:rsid w:val="00AA2EAC"/>
    <w:rsid w:val="00AA2F8A"/>
    <w:rsid w:val="00AA30D8"/>
    <w:rsid w:val="00AA34E8"/>
    <w:rsid w:val="00AA3670"/>
    <w:rsid w:val="00AA38A9"/>
    <w:rsid w:val="00AA38B0"/>
    <w:rsid w:val="00AA3F80"/>
    <w:rsid w:val="00AA406D"/>
    <w:rsid w:val="00AA4864"/>
    <w:rsid w:val="00AA486F"/>
    <w:rsid w:val="00AA4A4E"/>
    <w:rsid w:val="00AA4B82"/>
    <w:rsid w:val="00AA4BAA"/>
    <w:rsid w:val="00AA5059"/>
    <w:rsid w:val="00AA5230"/>
    <w:rsid w:val="00AA56F6"/>
    <w:rsid w:val="00AA5BAA"/>
    <w:rsid w:val="00AA5C66"/>
    <w:rsid w:val="00AA5E09"/>
    <w:rsid w:val="00AA6C7D"/>
    <w:rsid w:val="00AA6E86"/>
    <w:rsid w:val="00AA704A"/>
    <w:rsid w:val="00AA79E2"/>
    <w:rsid w:val="00AA7AC7"/>
    <w:rsid w:val="00AA7B1A"/>
    <w:rsid w:val="00AB0156"/>
    <w:rsid w:val="00AB0628"/>
    <w:rsid w:val="00AB0BA3"/>
    <w:rsid w:val="00AB0ED6"/>
    <w:rsid w:val="00AB1A79"/>
    <w:rsid w:val="00AB1AD1"/>
    <w:rsid w:val="00AB1C8F"/>
    <w:rsid w:val="00AB4425"/>
    <w:rsid w:val="00AB461B"/>
    <w:rsid w:val="00AB5A21"/>
    <w:rsid w:val="00AB5C38"/>
    <w:rsid w:val="00AB5C99"/>
    <w:rsid w:val="00AB6073"/>
    <w:rsid w:val="00AB61BC"/>
    <w:rsid w:val="00AB6424"/>
    <w:rsid w:val="00AB6B8A"/>
    <w:rsid w:val="00AB79FD"/>
    <w:rsid w:val="00AB7C37"/>
    <w:rsid w:val="00AC00A5"/>
    <w:rsid w:val="00AC0D16"/>
    <w:rsid w:val="00AC1244"/>
    <w:rsid w:val="00AC1941"/>
    <w:rsid w:val="00AC1DDF"/>
    <w:rsid w:val="00AC26A0"/>
    <w:rsid w:val="00AC2749"/>
    <w:rsid w:val="00AC302E"/>
    <w:rsid w:val="00AC33D4"/>
    <w:rsid w:val="00AC3514"/>
    <w:rsid w:val="00AC4281"/>
    <w:rsid w:val="00AC4D14"/>
    <w:rsid w:val="00AC4F1E"/>
    <w:rsid w:val="00AC5006"/>
    <w:rsid w:val="00AC5514"/>
    <w:rsid w:val="00AC5D2F"/>
    <w:rsid w:val="00AC6E3E"/>
    <w:rsid w:val="00AC7890"/>
    <w:rsid w:val="00AD02CC"/>
    <w:rsid w:val="00AD04C7"/>
    <w:rsid w:val="00AD0895"/>
    <w:rsid w:val="00AD22DA"/>
    <w:rsid w:val="00AD29A7"/>
    <w:rsid w:val="00AD3152"/>
    <w:rsid w:val="00AD38E0"/>
    <w:rsid w:val="00AD4033"/>
    <w:rsid w:val="00AD4096"/>
    <w:rsid w:val="00AD42E5"/>
    <w:rsid w:val="00AD46C7"/>
    <w:rsid w:val="00AD47A8"/>
    <w:rsid w:val="00AD4F9C"/>
    <w:rsid w:val="00AD51AC"/>
    <w:rsid w:val="00AD5E39"/>
    <w:rsid w:val="00AD5F24"/>
    <w:rsid w:val="00AD609E"/>
    <w:rsid w:val="00AD6549"/>
    <w:rsid w:val="00AD75FB"/>
    <w:rsid w:val="00AD7F7F"/>
    <w:rsid w:val="00AD7FCF"/>
    <w:rsid w:val="00AE0287"/>
    <w:rsid w:val="00AE0C14"/>
    <w:rsid w:val="00AE0ED7"/>
    <w:rsid w:val="00AE12D1"/>
    <w:rsid w:val="00AE164C"/>
    <w:rsid w:val="00AE1C94"/>
    <w:rsid w:val="00AE232A"/>
    <w:rsid w:val="00AE2D6B"/>
    <w:rsid w:val="00AE2E7D"/>
    <w:rsid w:val="00AE33E0"/>
    <w:rsid w:val="00AE46D4"/>
    <w:rsid w:val="00AE4899"/>
    <w:rsid w:val="00AE496E"/>
    <w:rsid w:val="00AE4A20"/>
    <w:rsid w:val="00AE4D70"/>
    <w:rsid w:val="00AE51AF"/>
    <w:rsid w:val="00AE5706"/>
    <w:rsid w:val="00AE611A"/>
    <w:rsid w:val="00AE6D03"/>
    <w:rsid w:val="00AF03AF"/>
    <w:rsid w:val="00AF0411"/>
    <w:rsid w:val="00AF0611"/>
    <w:rsid w:val="00AF0A14"/>
    <w:rsid w:val="00AF0B30"/>
    <w:rsid w:val="00AF0D4D"/>
    <w:rsid w:val="00AF1751"/>
    <w:rsid w:val="00AF19A5"/>
    <w:rsid w:val="00AF2DFB"/>
    <w:rsid w:val="00AF2F4B"/>
    <w:rsid w:val="00AF3167"/>
    <w:rsid w:val="00AF417A"/>
    <w:rsid w:val="00AF4DDE"/>
    <w:rsid w:val="00AF53EB"/>
    <w:rsid w:val="00AF5487"/>
    <w:rsid w:val="00AF5691"/>
    <w:rsid w:val="00AF6065"/>
    <w:rsid w:val="00AF6265"/>
    <w:rsid w:val="00AF65A0"/>
    <w:rsid w:val="00AF6928"/>
    <w:rsid w:val="00AF72F5"/>
    <w:rsid w:val="00AF73D4"/>
    <w:rsid w:val="00AF78E1"/>
    <w:rsid w:val="00AF7A39"/>
    <w:rsid w:val="00AF7DA0"/>
    <w:rsid w:val="00AF7FDE"/>
    <w:rsid w:val="00B0019A"/>
    <w:rsid w:val="00B00204"/>
    <w:rsid w:val="00B007C5"/>
    <w:rsid w:val="00B00A42"/>
    <w:rsid w:val="00B00A6E"/>
    <w:rsid w:val="00B00B34"/>
    <w:rsid w:val="00B00B46"/>
    <w:rsid w:val="00B00EC5"/>
    <w:rsid w:val="00B0158E"/>
    <w:rsid w:val="00B01EB0"/>
    <w:rsid w:val="00B02220"/>
    <w:rsid w:val="00B02227"/>
    <w:rsid w:val="00B02438"/>
    <w:rsid w:val="00B02B00"/>
    <w:rsid w:val="00B02ED9"/>
    <w:rsid w:val="00B032C4"/>
    <w:rsid w:val="00B033C6"/>
    <w:rsid w:val="00B03983"/>
    <w:rsid w:val="00B039E5"/>
    <w:rsid w:val="00B03C86"/>
    <w:rsid w:val="00B04941"/>
    <w:rsid w:val="00B04CA3"/>
    <w:rsid w:val="00B05103"/>
    <w:rsid w:val="00B05566"/>
    <w:rsid w:val="00B056E6"/>
    <w:rsid w:val="00B05BEF"/>
    <w:rsid w:val="00B05DFA"/>
    <w:rsid w:val="00B06078"/>
    <w:rsid w:val="00B0618D"/>
    <w:rsid w:val="00B06216"/>
    <w:rsid w:val="00B06282"/>
    <w:rsid w:val="00B06290"/>
    <w:rsid w:val="00B06BD0"/>
    <w:rsid w:val="00B06F43"/>
    <w:rsid w:val="00B0764F"/>
    <w:rsid w:val="00B07F02"/>
    <w:rsid w:val="00B101A1"/>
    <w:rsid w:val="00B10336"/>
    <w:rsid w:val="00B108D3"/>
    <w:rsid w:val="00B115B6"/>
    <w:rsid w:val="00B121E1"/>
    <w:rsid w:val="00B125CF"/>
    <w:rsid w:val="00B12EDD"/>
    <w:rsid w:val="00B13116"/>
    <w:rsid w:val="00B13421"/>
    <w:rsid w:val="00B137ED"/>
    <w:rsid w:val="00B13D6A"/>
    <w:rsid w:val="00B14172"/>
    <w:rsid w:val="00B153DC"/>
    <w:rsid w:val="00B15760"/>
    <w:rsid w:val="00B1578F"/>
    <w:rsid w:val="00B15C4F"/>
    <w:rsid w:val="00B15DCC"/>
    <w:rsid w:val="00B16066"/>
    <w:rsid w:val="00B160F4"/>
    <w:rsid w:val="00B1615D"/>
    <w:rsid w:val="00B1631A"/>
    <w:rsid w:val="00B173BC"/>
    <w:rsid w:val="00B17E52"/>
    <w:rsid w:val="00B206E5"/>
    <w:rsid w:val="00B20779"/>
    <w:rsid w:val="00B2086E"/>
    <w:rsid w:val="00B20C9B"/>
    <w:rsid w:val="00B20E18"/>
    <w:rsid w:val="00B21126"/>
    <w:rsid w:val="00B21834"/>
    <w:rsid w:val="00B21F39"/>
    <w:rsid w:val="00B22202"/>
    <w:rsid w:val="00B2296E"/>
    <w:rsid w:val="00B22B6B"/>
    <w:rsid w:val="00B2326B"/>
    <w:rsid w:val="00B236AD"/>
    <w:rsid w:val="00B23A91"/>
    <w:rsid w:val="00B23ABF"/>
    <w:rsid w:val="00B23FBC"/>
    <w:rsid w:val="00B24497"/>
    <w:rsid w:val="00B24C2F"/>
    <w:rsid w:val="00B253DF"/>
    <w:rsid w:val="00B25E16"/>
    <w:rsid w:val="00B261C3"/>
    <w:rsid w:val="00B26388"/>
    <w:rsid w:val="00B26B6C"/>
    <w:rsid w:val="00B26E18"/>
    <w:rsid w:val="00B273B3"/>
    <w:rsid w:val="00B302E0"/>
    <w:rsid w:val="00B30DC9"/>
    <w:rsid w:val="00B30EBA"/>
    <w:rsid w:val="00B310BF"/>
    <w:rsid w:val="00B317A7"/>
    <w:rsid w:val="00B31C66"/>
    <w:rsid w:val="00B323E1"/>
    <w:rsid w:val="00B32EC6"/>
    <w:rsid w:val="00B330D2"/>
    <w:rsid w:val="00B335CA"/>
    <w:rsid w:val="00B33A3A"/>
    <w:rsid w:val="00B34C95"/>
    <w:rsid w:val="00B34F86"/>
    <w:rsid w:val="00B35FE3"/>
    <w:rsid w:val="00B36263"/>
    <w:rsid w:val="00B40450"/>
    <w:rsid w:val="00B4119F"/>
    <w:rsid w:val="00B41918"/>
    <w:rsid w:val="00B41E6A"/>
    <w:rsid w:val="00B430A7"/>
    <w:rsid w:val="00B43197"/>
    <w:rsid w:val="00B4365B"/>
    <w:rsid w:val="00B436E5"/>
    <w:rsid w:val="00B43D73"/>
    <w:rsid w:val="00B43FCF"/>
    <w:rsid w:val="00B4405E"/>
    <w:rsid w:val="00B4414E"/>
    <w:rsid w:val="00B46082"/>
    <w:rsid w:val="00B460D4"/>
    <w:rsid w:val="00B462C7"/>
    <w:rsid w:val="00B476E2"/>
    <w:rsid w:val="00B47D9B"/>
    <w:rsid w:val="00B50B7B"/>
    <w:rsid w:val="00B50B8F"/>
    <w:rsid w:val="00B50DD7"/>
    <w:rsid w:val="00B50E0D"/>
    <w:rsid w:val="00B51479"/>
    <w:rsid w:val="00B51E8E"/>
    <w:rsid w:val="00B52721"/>
    <w:rsid w:val="00B52CA8"/>
    <w:rsid w:val="00B53045"/>
    <w:rsid w:val="00B53795"/>
    <w:rsid w:val="00B5420D"/>
    <w:rsid w:val="00B54283"/>
    <w:rsid w:val="00B544E0"/>
    <w:rsid w:val="00B54FE1"/>
    <w:rsid w:val="00B55280"/>
    <w:rsid w:val="00B559C1"/>
    <w:rsid w:val="00B55CD6"/>
    <w:rsid w:val="00B56A44"/>
    <w:rsid w:val="00B57754"/>
    <w:rsid w:val="00B57B3C"/>
    <w:rsid w:val="00B57E63"/>
    <w:rsid w:val="00B608A2"/>
    <w:rsid w:val="00B61317"/>
    <w:rsid w:val="00B614F2"/>
    <w:rsid w:val="00B618DC"/>
    <w:rsid w:val="00B620A2"/>
    <w:rsid w:val="00B62155"/>
    <w:rsid w:val="00B623DC"/>
    <w:rsid w:val="00B62E8B"/>
    <w:rsid w:val="00B633F1"/>
    <w:rsid w:val="00B635F2"/>
    <w:rsid w:val="00B63A92"/>
    <w:rsid w:val="00B63D7E"/>
    <w:rsid w:val="00B64513"/>
    <w:rsid w:val="00B6486D"/>
    <w:rsid w:val="00B64AF0"/>
    <w:rsid w:val="00B64CFF"/>
    <w:rsid w:val="00B65924"/>
    <w:rsid w:val="00B65D26"/>
    <w:rsid w:val="00B65ED3"/>
    <w:rsid w:val="00B66552"/>
    <w:rsid w:val="00B66743"/>
    <w:rsid w:val="00B66AA7"/>
    <w:rsid w:val="00B670B7"/>
    <w:rsid w:val="00B67B55"/>
    <w:rsid w:val="00B70373"/>
    <w:rsid w:val="00B708C6"/>
    <w:rsid w:val="00B7099A"/>
    <w:rsid w:val="00B70B2A"/>
    <w:rsid w:val="00B70B4A"/>
    <w:rsid w:val="00B70F0B"/>
    <w:rsid w:val="00B7114B"/>
    <w:rsid w:val="00B71C3C"/>
    <w:rsid w:val="00B720A2"/>
    <w:rsid w:val="00B72366"/>
    <w:rsid w:val="00B729DC"/>
    <w:rsid w:val="00B743AF"/>
    <w:rsid w:val="00B75280"/>
    <w:rsid w:val="00B75DF4"/>
    <w:rsid w:val="00B75F0C"/>
    <w:rsid w:val="00B76025"/>
    <w:rsid w:val="00B761C3"/>
    <w:rsid w:val="00B76B27"/>
    <w:rsid w:val="00B76DAF"/>
    <w:rsid w:val="00B813C5"/>
    <w:rsid w:val="00B8183F"/>
    <w:rsid w:val="00B81CCE"/>
    <w:rsid w:val="00B82095"/>
    <w:rsid w:val="00B8252E"/>
    <w:rsid w:val="00B82848"/>
    <w:rsid w:val="00B82A79"/>
    <w:rsid w:val="00B8351E"/>
    <w:rsid w:val="00B8352D"/>
    <w:rsid w:val="00B839D8"/>
    <w:rsid w:val="00B83EC6"/>
    <w:rsid w:val="00B83F48"/>
    <w:rsid w:val="00B83FE1"/>
    <w:rsid w:val="00B84A2E"/>
    <w:rsid w:val="00B84EE6"/>
    <w:rsid w:val="00B84F9B"/>
    <w:rsid w:val="00B85632"/>
    <w:rsid w:val="00B857EA"/>
    <w:rsid w:val="00B85CDD"/>
    <w:rsid w:val="00B86720"/>
    <w:rsid w:val="00B873C2"/>
    <w:rsid w:val="00B87AE6"/>
    <w:rsid w:val="00B87D27"/>
    <w:rsid w:val="00B87E64"/>
    <w:rsid w:val="00B9035F"/>
    <w:rsid w:val="00B907AE"/>
    <w:rsid w:val="00B90EF2"/>
    <w:rsid w:val="00B91453"/>
    <w:rsid w:val="00B918DC"/>
    <w:rsid w:val="00B91BEF"/>
    <w:rsid w:val="00B91C13"/>
    <w:rsid w:val="00B91FD0"/>
    <w:rsid w:val="00B921EB"/>
    <w:rsid w:val="00B92542"/>
    <w:rsid w:val="00B92846"/>
    <w:rsid w:val="00B92B59"/>
    <w:rsid w:val="00B92F2E"/>
    <w:rsid w:val="00B93179"/>
    <w:rsid w:val="00B93CE2"/>
    <w:rsid w:val="00B943E7"/>
    <w:rsid w:val="00B95CA9"/>
    <w:rsid w:val="00B973F3"/>
    <w:rsid w:val="00B97545"/>
    <w:rsid w:val="00B977FE"/>
    <w:rsid w:val="00B978FA"/>
    <w:rsid w:val="00B97952"/>
    <w:rsid w:val="00B97978"/>
    <w:rsid w:val="00B979E0"/>
    <w:rsid w:val="00B97B0E"/>
    <w:rsid w:val="00BA03C3"/>
    <w:rsid w:val="00BA05CD"/>
    <w:rsid w:val="00BA0CE0"/>
    <w:rsid w:val="00BA153D"/>
    <w:rsid w:val="00BA181C"/>
    <w:rsid w:val="00BA18D9"/>
    <w:rsid w:val="00BA1A6E"/>
    <w:rsid w:val="00BA20BE"/>
    <w:rsid w:val="00BA2102"/>
    <w:rsid w:val="00BA21F6"/>
    <w:rsid w:val="00BA22EC"/>
    <w:rsid w:val="00BA2423"/>
    <w:rsid w:val="00BA24D2"/>
    <w:rsid w:val="00BA25B6"/>
    <w:rsid w:val="00BA290B"/>
    <w:rsid w:val="00BA2EC4"/>
    <w:rsid w:val="00BA2EF7"/>
    <w:rsid w:val="00BA3232"/>
    <w:rsid w:val="00BA3307"/>
    <w:rsid w:val="00BA3A13"/>
    <w:rsid w:val="00BA4028"/>
    <w:rsid w:val="00BA4562"/>
    <w:rsid w:val="00BA576C"/>
    <w:rsid w:val="00BA5AF3"/>
    <w:rsid w:val="00BA5CAF"/>
    <w:rsid w:val="00BA5EF2"/>
    <w:rsid w:val="00BA6EC5"/>
    <w:rsid w:val="00BA7D5F"/>
    <w:rsid w:val="00BB0333"/>
    <w:rsid w:val="00BB03E4"/>
    <w:rsid w:val="00BB0D1F"/>
    <w:rsid w:val="00BB0DD8"/>
    <w:rsid w:val="00BB11AA"/>
    <w:rsid w:val="00BB143A"/>
    <w:rsid w:val="00BB1751"/>
    <w:rsid w:val="00BB2827"/>
    <w:rsid w:val="00BB3036"/>
    <w:rsid w:val="00BB47B1"/>
    <w:rsid w:val="00BB57AB"/>
    <w:rsid w:val="00BB59CC"/>
    <w:rsid w:val="00BB5C6E"/>
    <w:rsid w:val="00BB6F14"/>
    <w:rsid w:val="00BB6F58"/>
    <w:rsid w:val="00BB7815"/>
    <w:rsid w:val="00BB785C"/>
    <w:rsid w:val="00BB7926"/>
    <w:rsid w:val="00BC02AE"/>
    <w:rsid w:val="00BC05FD"/>
    <w:rsid w:val="00BC066C"/>
    <w:rsid w:val="00BC0842"/>
    <w:rsid w:val="00BC10AD"/>
    <w:rsid w:val="00BC10BA"/>
    <w:rsid w:val="00BC120C"/>
    <w:rsid w:val="00BC1584"/>
    <w:rsid w:val="00BC1914"/>
    <w:rsid w:val="00BC1A9A"/>
    <w:rsid w:val="00BC2839"/>
    <w:rsid w:val="00BC3E3A"/>
    <w:rsid w:val="00BC4894"/>
    <w:rsid w:val="00BC4F4E"/>
    <w:rsid w:val="00BC504C"/>
    <w:rsid w:val="00BC5228"/>
    <w:rsid w:val="00BC5719"/>
    <w:rsid w:val="00BC58B5"/>
    <w:rsid w:val="00BC5B0F"/>
    <w:rsid w:val="00BC65B4"/>
    <w:rsid w:val="00BC6BA0"/>
    <w:rsid w:val="00BC7306"/>
    <w:rsid w:val="00BC76C1"/>
    <w:rsid w:val="00BC781F"/>
    <w:rsid w:val="00BD14A0"/>
    <w:rsid w:val="00BD2190"/>
    <w:rsid w:val="00BD21BE"/>
    <w:rsid w:val="00BD259B"/>
    <w:rsid w:val="00BD27C5"/>
    <w:rsid w:val="00BD293D"/>
    <w:rsid w:val="00BD2E91"/>
    <w:rsid w:val="00BD3088"/>
    <w:rsid w:val="00BD346F"/>
    <w:rsid w:val="00BD44C8"/>
    <w:rsid w:val="00BD4BF5"/>
    <w:rsid w:val="00BD5802"/>
    <w:rsid w:val="00BD5956"/>
    <w:rsid w:val="00BD5CF3"/>
    <w:rsid w:val="00BD6B9D"/>
    <w:rsid w:val="00BD6DA5"/>
    <w:rsid w:val="00BD70E4"/>
    <w:rsid w:val="00BD7997"/>
    <w:rsid w:val="00BE0AEB"/>
    <w:rsid w:val="00BE16D6"/>
    <w:rsid w:val="00BE1FE8"/>
    <w:rsid w:val="00BE2B15"/>
    <w:rsid w:val="00BE2DF8"/>
    <w:rsid w:val="00BE2F03"/>
    <w:rsid w:val="00BE3789"/>
    <w:rsid w:val="00BE40BD"/>
    <w:rsid w:val="00BE426B"/>
    <w:rsid w:val="00BE48FC"/>
    <w:rsid w:val="00BE53F0"/>
    <w:rsid w:val="00BE5DFC"/>
    <w:rsid w:val="00BE60D5"/>
    <w:rsid w:val="00BE6211"/>
    <w:rsid w:val="00BE6ED2"/>
    <w:rsid w:val="00BE6FEB"/>
    <w:rsid w:val="00BE711F"/>
    <w:rsid w:val="00BE763F"/>
    <w:rsid w:val="00BE7A19"/>
    <w:rsid w:val="00BF084A"/>
    <w:rsid w:val="00BF1091"/>
    <w:rsid w:val="00BF125E"/>
    <w:rsid w:val="00BF1B84"/>
    <w:rsid w:val="00BF305A"/>
    <w:rsid w:val="00BF4811"/>
    <w:rsid w:val="00BF4F55"/>
    <w:rsid w:val="00BF509A"/>
    <w:rsid w:val="00BF53F7"/>
    <w:rsid w:val="00BF5701"/>
    <w:rsid w:val="00BF5C74"/>
    <w:rsid w:val="00BF5DC2"/>
    <w:rsid w:val="00BF62D0"/>
    <w:rsid w:val="00BF63A9"/>
    <w:rsid w:val="00BF6446"/>
    <w:rsid w:val="00BF6457"/>
    <w:rsid w:val="00BF6FF8"/>
    <w:rsid w:val="00BF7183"/>
    <w:rsid w:val="00BF72BE"/>
    <w:rsid w:val="00BF739E"/>
    <w:rsid w:val="00BF773D"/>
    <w:rsid w:val="00BF7850"/>
    <w:rsid w:val="00BF78FC"/>
    <w:rsid w:val="00BF797B"/>
    <w:rsid w:val="00C00586"/>
    <w:rsid w:val="00C00BF0"/>
    <w:rsid w:val="00C00C31"/>
    <w:rsid w:val="00C00D6D"/>
    <w:rsid w:val="00C00EE7"/>
    <w:rsid w:val="00C011C1"/>
    <w:rsid w:val="00C01480"/>
    <w:rsid w:val="00C01546"/>
    <w:rsid w:val="00C016B0"/>
    <w:rsid w:val="00C016E0"/>
    <w:rsid w:val="00C01C5F"/>
    <w:rsid w:val="00C01FED"/>
    <w:rsid w:val="00C02E90"/>
    <w:rsid w:val="00C03233"/>
    <w:rsid w:val="00C03248"/>
    <w:rsid w:val="00C03B8C"/>
    <w:rsid w:val="00C04217"/>
    <w:rsid w:val="00C04A35"/>
    <w:rsid w:val="00C04B69"/>
    <w:rsid w:val="00C052A7"/>
    <w:rsid w:val="00C05CEA"/>
    <w:rsid w:val="00C06375"/>
    <w:rsid w:val="00C069EF"/>
    <w:rsid w:val="00C06F11"/>
    <w:rsid w:val="00C0750E"/>
    <w:rsid w:val="00C078FF"/>
    <w:rsid w:val="00C07FCF"/>
    <w:rsid w:val="00C10286"/>
    <w:rsid w:val="00C105F0"/>
    <w:rsid w:val="00C109E8"/>
    <w:rsid w:val="00C10F79"/>
    <w:rsid w:val="00C11194"/>
    <w:rsid w:val="00C11258"/>
    <w:rsid w:val="00C11B85"/>
    <w:rsid w:val="00C128AE"/>
    <w:rsid w:val="00C128D7"/>
    <w:rsid w:val="00C12AEE"/>
    <w:rsid w:val="00C13105"/>
    <w:rsid w:val="00C134E9"/>
    <w:rsid w:val="00C14F7E"/>
    <w:rsid w:val="00C15AE3"/>
    <w:rsid w:val="00C15BDD"/>
    <w:rsid w:val="00C15CA1"/>
    <w:rsid w:val="00C15D18"/>
    <w:rsid w:val="00C16014"/>
    <w:rsid w:val="00C16C8F"/>
    <w:rsid w:val="00C16ECE"/>
    <w:rsid w:val="00C170AE"/>
    <w:rsid w:val="00C173D4"/>
    <w:rsid w:val="00C175A2"/>
    <w:rsid w:val="00C204D6"/>
    <w:rsid w:val="00C20BB3"/>
    <w:rsid w:val="00C20BF2"/>
    <w:rsid w:val="00C21393"/>
    <w:rsid w:val="00C2161E"/>
    <w:rsid w:val="00C21EF5"/>
    <w:rsid w:val="00C22563"/>
    <w:rsid w:val="00C22CE9"/>
    <w:rsid w:val="00C2360C"/>
    <w:rsid w:val="00C2445D"/>
    <w:rsid w:val="00C249A0"/>
    <w:rsid w:val="00C24A62"/>
    <w:rsid w:val="00C24ECB"/>
    <w:rsid w:val="00C24F16"/>
    <w:rsid w:val="00C256E0"/>
    <w:rsid w:val="00C25B15"/>
    <w:rsid w:val="00C26508"/>
    <w:rsid w:val="00C26F0C"/>
    <w:rsid w:val="00C276BC"/>
    <w:rsid w:val="00C308CA"/>
    <w:rsid w:val="00C313B4"/>
    <w:rsid w:val="00C31BDB"/>
    <w:rsid w:val="00C32B00"/>
    <w:rsid w:val="00C32F9C"/>
    <w:rsid w:val="00C3372C"/>
    <w:rsid w:val="00C33798"/>
    <w:rsid w:val="00C33F41"/>
    <w:rsid w:val="00C34A72"/>
    <w:rsid w:val="00C353FE"/>
    <w:rsid w:val="00C354A5"/>
    <w:rsid w:val="00C354D4"/>
    <w:rsid w:val="00C3571B"/>
    <w:rsid w:val="00C35781"/>
    <w:rsid w:val="00C36336"/>
    <w:rsid w:val="00C3709D"/>
    <w:rsid w:val="00C4030D"/>
    <w:rsid w:val="00C403D0"/>
    <w:rsid w:val="00C40638"/>
    <w:rsid w:val="00C40938"/>
    <w:rsid w:val="00C40B4B"/>
    <w:rsid w:val="00C40DF2"/>
    <w:rsid w:val="00C40EAA"/>
    <w:rsid w:val="00C41549"/>
    <w:rsid w:val="00C42026"/>
    <w:rsid w:val="00C429FE"/>
    <w:rsid w:val="00C43587"/>
    <w:rsid w:val="00C4389A"/>
    <w:rsid w:val="00C44992"/>
    <w:rsid w:val="00C452EF"/>
    <w:rsid w:val="00C45345"/>
    <w:rsid w:val="00C45A90"/>
    <w:rsid w:val="00C45C9D"/>
    <w:rsid w:val="00C45FE5"/>
    <w:rsid w:val="00C4632D"/>
    <w:rsid w:val="00C463EA"/>
    <w:rsid w:val="00C46427"/>
    <w:rsid w:val="00C46CCC"/>
    <w:rsid w:val="00C46E4F"/>
    <w:rsid w:val="00C471AD"/>
    <w:rsid w:val="00C5000F"/>
    <w:rsid w:val="00C50602"/>
    <w:rsid w:val="00C50DAC"/>
    <w:rsid w:val="00C512B9"/>
    <w:rsid w:val="00C514EF"/>
    <w:rsid w:val="00C521D6"/>
    <w:rsid w:val="00C52208"/>
    <w:rsid w:val="00C52666"/>
    <w:rsid w:val="00C5289E"/>
    <w:rsid w:val="00C53385"/>
    <w:rsid w:val="00C54771"/>
    <w:rsid w:val="00C54EFC"/>
    <w:rsid w:val="00C558DB"/>
    <w:rsid w:val="00C561A2"/>
    <w:rsid w:val="00C57084"/>
    <w:rsid w:val="00C572FD"/>
    <w:rsid w:val="00C575F7"/>
    <w:rsid w:val="00C57C2A"/>
    <w:rsid w:val="00C6016D"/>
    <w:rsid w:val="00C608E9"/>
    <w:rsid w:val="00C611EA"/>
    <w:rsid w:val="00C61468"/>
    <w:rsid w:val="00C61578"/>
    <w:rsid w:val="00C61882"/>
    <w:rsid w:val="00C61BA0"/>
    <w:rsid w:val="00C61BAA"/>
    <w:rsid w:val="00C61D28"/>
    <w:rsid w:val="00C6203F"/>
    <w:rsid w:val="00C62211"/>
    <w:rsid w:val="00C62486"/>
    <w:rsid w:val="00C626F5"/>
    <w:rsid w:val="00C62F21"/>
    <w:rsid w:val="00C64073"/>
    <w:rsid w:val="00C64408"/>
    <w:rsid w:val="00C650F4"/>
    <w:rsid w:val="00C65307"/>
    <w:rsid w:val="00C6556D"/>
    <w:rsid w:val="00C66E5C"/>
    <w:rsid w:val="00C6724A"/>
    <w:rsid w:val="00C677DE"/>
    <w:rsid w:val="00C67FF7"/>
    <w:rsid w:val="00C7030A"/>
    <w:rsid w:val="00C70424"/>
    <w:rsid w:val="00C70600"/>
    <w:rsid w:val="00C70EE4"/>
    <w:rsid w:val="00C7169C"/>
    <w:rsid w:val="00C71B8E"/>
    <w:rsid w:val="00C71CF8"/>
    <w:rsid w:val="00C71EA8"/>
    <w:rsid w:val="00C71EE8"/>
    <w:rsid w:val="00C723DC"/>
    <w:rsid w:val="00C72F4B"/>
    <w:rsid w:val="00C74D3B"/>
    <w:rsid w:val="00C7604F"/>
    <w:rsid w:val="00C763C8"/>
    <w:rsid w:val="00C7669B"/>
    <w:rsid w:val="00C76892"/>
    <w:rsid w:val="00C77345"/>
    <w:rsid w:val="00C7752E"/>
    <w:rsid w:val="00C80846"/>
    <w:rsid w:val="00C80DD5"/>
    <w:rsid w:val="00C81807"/>
    <w:rsid w:val="00C81B54"/>
    <w:rsid w:val="00C81F66"/>
    <w:rsid w:val="00C820C8"/>
    <w:rsid w:val="00C821D1"/>
    <w:rsid w:val="00C82892"/>
    <w:rsid w:val="00C82BBE"/>
    <w:rsid w:val="00C83D47"/>
    <w:rsid w:val="00C84117"/>
    <w:rsid w:val="00C860E4"/>
    <w:rsid w:val="00C86712"/>
    <w:rsid w:val="00C86793"/>
    <w:rsid w:val="00C86ADF"/>
    <w:rsid w:val="00C87048"/>
    <w:rsid w:val="00C871E6"/>
    <w:rsid w:val="00C873A5"/>
    <w:rsid w:val="00C875B6"/>
    <w:rsid w:val="00C87C9F"/>
    <w:rsid w:val="00C9039C"/>
    <w:rsid w:val="00C905F0"/>
    <w:rsid w:val="00C90D97"/>
    <w:rsid w:val="00C90EBA"/>
    <w:rsid w:val="00C914AD"/>
    <w:rsid w:val="00C91C99"/>
    <w:rsid w:val="00C91D16"/>
    <w:rsid w:val="00C91E1A"/>
    <w:rsid w:val="00C92506"/>
    <w:rsid w:val="00C92A2F"/>
    <w:rsid w:val="00C92A7E"/>
    <w:rsid w:val="00C92C32"/>
    <w:rsid w:val="00C92E03"/>
    <w:rsid w:val="00C93016"/>
    <w:rsid w:val="00C93032"/>
    <w:rsid w:val="00C93240"/>
    <w:rsid w:val="00C9399C"/>
    <w:rsid w:val="00C94479"/>
    <w:rsid w:val="00C94B07"/>
    <w:rsid w:val="00C95796"/>
    <w:rsid w:val="00C95BBF"/>
    <w:rsid w:val="00C95EF0"/>
    <w:rsid w:val="00C96445"/>
    <w:rsid w:val="00C96FD8"/>
    <w:rsid w:val="00C9755A"/>
    <w:rsid w:val="00C97733"/>
    <w:rsid w:val="00CA055F"/>
    <w:rsid w:val="00CA15A8"/>
    <w:rsid w:val="00CA1679"/>
    <w:rsid w:val="00CA17E6"/>
    <w:rsid w:val="00CA20F6"/>
    <w:rsid w:val="00CA29BD"/>
    <w:rsid w:val="00CA29FB"/>
    <w:rsid w:val="00CA3358"/>
    <w:rsid w:val="00CA34B9"/>
    <w:rsid w:val="00CA3D3A"/>
    <w:rsid w:val="00CA3F81"/>
    <w:rsid w:val="00CA4285"/>
    <w:rsid w:val="00CA440A"/>
    <w:rsid w:val="00CA443F"/>
    <w:rsid w:val="00CA4A30"/>
    <w:rsid w:val="00CA59DB"/>
    <w:rsid w:val="00CA5CD2"/>
    <w:rsid w:val="00CA5DAE"/>
    <w:rsid w:val="00CA5F11"/>
    <w:rsid w:val="00CA63E9"/>
    <w:rsid w:val="00CA6808"/>
    <w:rsid w:val="00CA6B22"/>
    <w:rsid w:val="00CA6D31"/>
    <w:rsid w:val="00CA6F1B"/>
    <w:rsid w:val="00CA774E"/>
    <w:rsid w:val="00CA782C"/>
    <w:rsid w:val="00CA7FE1"/>
    <w:rsid w:val="00CB02CC"/>
    <w:rsid w:val="00CB039A"/>
    <w:rsid w:val="00CB0B21"/>
    <w:rsid w:val="00CB100C"/>
    <w:rsid w:val="00CB1678"/>
    <w:rsid w:val="00CB17E5"/>
    <w:rsid w:val="00CB1DF8"/>
    <w:rsid w:val="00CB1E73"/>
    <w:rsid w:val="00CB21E1"/>
    <w:rsid w:val="00CB225A"/>
    <w:rsid w:val="00CB2714"/>
    <w:rsid w:val="00CB3869"/>
    <w:rsid w:val="00CB39D9"/>
    <w:rsid w:val="00CB3CB4"/>
    <w:rsid w:val="00CB3D1B"/>
    <w:rsid w:val="00CB3D22"/>
    <w:rsid w:val="00CB4047"/>
    <w:rsid w:val="00CB4714"/>
    <w:rsid w:val="00CB4BB6"/>
    <w:rsid w:val="00CB55EE"/>
    <w:rsid w:val="00CB5ACD"/>
    <w:rsid w:val="00CB5C0C"/>
    <w:rsid w:val="00CB601D"/>
    <w:rsid w:val="00CB6349"/>
    <w:rsid w:val="00CB6520"/>
    <w:rsid w:val="00CB65F2"/>
    <w:rsid w:val="00CB65FD"/>
    <w:rsid w:val="00CB680D"/>
    <w:rsid w:val="00CB68B2"/>
    <w:rsid w:val="00CB68F9"/>
    <w:rsid w:val="00CB6C57"/>
    <w:rsid w:val="00CB7113"/>
    <w:rsid w:val="00CB7253"/>
    <w:rsid w:val="00CB798D"/>
    <w:rsid w:val="00CB7B22"/>
    <w:rsid w:val="00CC09EB"/>
    <w:rsid w:val="00CC269D"/>
    <w:rsid w:val="00CC338C"/>
    <w:rsid w:val="00CC385E"/>
    <w:rsid w:val="00CC471D"/>
    <w:rsid w:val="00CC524D"/>
    <w:rsid w:val="00CC5A14"/>
    <w:rsid w:val="00CC5FD9"/>
    <w:rsid w:val="00CC6604"/>
    <w:rsid w:val="00CC674C"/>
    <w:rsid w:val="00CC6F2B"/>
    <w:rsid w:val="00CC6FD7"/>
    <w:rsid w:val="00CC7A9F"/>
    <w:rsid w:val="00CC7B0B"/>
    <w:rsid w:val="00CD013D"/>
    <w:rsid w:val="00CD0528"/>
    <w:rsid w:val="00CD0CB4"/>
    <w:rsid w:val="00CD196D"/>
    <w:rsid w:val="00CD1D4F"/>
    <w:rsid w:val="00CD20C2"/>
    <w:rsid w:val="00CD28AB"/>
    <w:rsid w:val="00CD2D0D"/>
    <w:rsid w:val="00CD3048"/>
    <w:rsid w:val="00CD313D"/>
    <w:rsid w:val="00CD39B2"/>
    <w:rsid w:val="00CD4966"/>
    <w:rsid w:val="00CD4C84"/>
    <w:rsid w:val="00CD4E1B"/>
    <w:rsid w:val="00CD4E6F"/>
    <w:rsid w:val="00CD5464"/>
    <w:rsid w:val="00CD5506"/>
    <w:rsid w:val="00CD5597"/>
    <w:rsid w:val="00CD564D"/>
    <w:rsid w:val="00CD582B"/>
    <w:rsid w:val="00CD5955"/>
    <w:rsid w:val="00CD5C2D"/>
    <w:rsid w:val="00CD5F50"/>
    <w:rsid w:val="00CD60C5"/>
    <w:rsid w:val="00CD73FA"/>
    <w:rsid w:val="00CD79FD"/>
    <w:rsid w:val="00CE0982"/>
    <w:rsid w:val="00CE0A0B"/>
    <w:rsid w:val="00CE19BD"/>
    <w:rsid w:val="00CE1C79"/>
    <w:rsid w:val="00CE1E0D"/>
    <w:rsid w:val="00CE1F18"/>
    <w:rsid w:val="00CE206C"/>
    <w:rsid w:val="00CE2648"/>
    <w:rsid w:val="00CE3384"/>
    <w:rsid w:val="00CE387E"/>
    <w:rsid w:val="00CE470C"/>
    <w:rsid w:val="00CE5263"/>
    <w:rsid w:val="00CE553B"/>
    <w:rsid w:val="00CE644B"/>
    <w:rsid w:val="00CE6570"/>
    <w:rsid w:val="00CE6A12"/>
    <w:rsid w:val="00CE6AD8"/>
    <w:rsid w:val="00CE7099"/>
    <w:rsid w:val="00CE7388"/>
    <w:rsid w:val="00CE77B0"/>
    <w:rsid w:val="00CF026D"/>
    <w:rsid w:val="00CF04BA"/>
    <w:rsid w:val="00CF04FF"/>
    <w:rsid w:val="00CF0BF2"/>
    <w:rsid w:val="00CF0CB1"/>
    <w:rsid w:val="00CF0CE5"/>
    <w:rsid w:val="00CF0FD8"/>
    <w:rsid w:val="00CF110F"/>
    <w:rsid w:val="00CF285B"/>
    <w:rsid w:val="00CF2D82"/>
    <w:rsid w:val="00CF420B"/>
    <w:rsid w:val="00CF4449"/>
    <w:rsid w:val="00CF445F"/>
    <w:rsid w:val="00CF4774"/>
    <w:rsid w:val="00CF49A5"/>
    <w:rsid w:val="00CF51DA"/>
    <w:rsid w:val="00CF5396"/>
    <w:rsid w:val="00CF5B1F"/>
    <w:rsid w:val="00CF5E31"/>
    <w:rsid w:val="00CF6EEF"/>
    <w:rsid w:val="00CF7308"/>
    <w:rsid w:val="00CF74A5"/>
    <w:rsid w:val="00CF790D"/>
    <w:rsid w:val="00CF793C"/>
    <w:rsid w:val="00CF7954"/>
    <w:rsid w:val="00CF7F1D"/>
    <w:rsid w:val="00D00489"/>
    <w:rsid w:val="00D0080F"/>
    <w:rsid w:val="00D00C7D"/>
    <w:rsid w:val="00D00FB1"/>
    <w:rsid w:val="00D01C54"/>
    <w:rsid w:val="00D01EE6"/>
    <w:rsid w:val="00D02862"/>
    <w:rsid w:val="00D02FE7"/>
    <w:rsid w:val="00D03381"/>
    <w:rsid w:val="00D03523"/>
    <w:rsid w:val="00D03AB6"/>
    <w:rsid w:val="00D03B60"/>
    <w:rsid w:val="00D03E41"/>
    <w:rsid w:val="00D0406E"/>
    <w:rsid w:val="00D0410A"/>
    <w:rsid w:val="00D0429C"/>
    <w:rsid w:val="00D0435D"/>
    <w:rsid w:val="00D0440D"/>
    <w:rsid w:val="00D04893"/>
    <w:rsid w:val="00D04CCE"/>
    <w:rsid w:val="00D05426"/>
    <w:rsid w:val="00D05BC8"/>
    <w:rsid w:val="00D061BE"/>
    <w:rsid w:val="00D06545"/>
    <w:rsid w:val="00D066CB"/>
    <w:rsid w:val="00D067D5"/>
    <w:rsid w:val="00D06930"/>
    <w:rsid w:val="00D06B5F"/>
    <w:rsid w:val="00D06FEE"/>
    <w:rsid w:val="00D073EA"/>
    <w:rsid w:val="00D076CA"/>
    <w:rsid w:val="00D07C46"/>
    <w:rsid w:val="00D10526"/>
    <w:rsid w:val="00D105AA"/>
    <w:rsid w:val="00D10747"/>
    <w:rsid w:val="00D11654"/>
    <w:rsid w:val="00D11C13"/>
    <w:rsid w:val="00D11E7B"/>
    <w:rsid w:val="00D11FD7"/>
    <w:rsid w:val="00D125FC"/>
    <w:rsid w:val="00D127A4"/>
    <w:rsid w:val="00D12DFF"/>
    <w:rsid w:val="00D1313D"/>
    <w:rsid w:val="00D13DA1"/>
    <w:rsid w:val="00D1492C"/>
    <w:rsid w:val="00D151D9"/>
    <w:rsid w:val="00D15821"/>
    <w:rsid w:val="00D158EE"/>
    <w:rsid w:val="00D15BF2"/>
    <w:rsid w:val="00D15DA1"/>
    <w:rsid w:val="00D15E10"/>
    <w:rsid w:val="00D163E5"/>
    <w:rsid w:val="00D17BF6"/>
    <w:rsid w:val="00D200E1"/>
    <w:rsid w:val="00D206F9"/>
    <w:rsid w:val="00D20A1B"/>
    <w:rsid w:val="00D21D42"/>
    <w:rsid w:val="00D22B9B"/>
    <w:rsid w:val="00D22D2E"/>
    <w:rsid w:val="00D22DFB"/>
    <w:rsid w:val="00D23094"/>
    <w:rsid w:val="00D23801"/>
    <w:rsid w:val="00D24C99"/>
    <w:rsid w:val="00D26375"/>
    <w:rsid w:val="00D264C0"/>
    <w:rsid w:val="00D27454"/>
    <w:rsid w:val="00D277D8"/>
    <w:rsid w:val="00D27D41"/>
    <w:rsid w:val="00D27F36"/>
    <w:rsid w:val="00D3047B"/>
    <w:rsid w:val="00D30E83"/>
    <w:rsid w:val="00D3164C"/>
    <w:rsid w:val="00D32868"/>
    <w:rsid w:val="00D32AB2"/>
    <w:rsid w:val="00D32CE1"/>
    <w:rsid w:val="00D33561"/>
    <w:rsid w:val="00D33676"/>
    <w:rsid w:val="00D337C8"/>
    <w:rsid w:val="00D33CE8"/>
    <w:rsid w:val="00D341A1"/>
    <w:rsid w:val="00D34A39"/>
    <w:rsid w:val="00D34FCC"/>
    <w:rsid w:val="00D35421"/>
    <w:rsid w:val="00D359B8"/>
    <w:rsid w:val="00D36684"/>
    <w:rsid w:val="00D36C54"/>
    <w:rsid w:val="00D3709C"/>
    <w:rsid w:val="00D37473"/>
    <w:rsid w:val="00D37494"/>
    <w:rsid w:val="00D37B89"/>
    <w:rsid w:val="00D37FCE"/>
    <w:rsid w:val="00D4023E"/>
    <w:rsid w:val="00D4037C"/>
    <w:rsid w:val="00D406DC"/>
    <w:rsid w:val="00D40B41"/>
    <w:rsid w:val="00D410BE"/>
    <w:rsid w:val="00D4183F"/>
    <w:rsid w:val="00D421AB"/>
    <w:rsid w:val="00D42341"/>
    <w:rsid w:val="00D4244C"/>
    <w:rsid w:val="00D42A7D"/>
    <w:rsid w:val="00D42A89"/>
    <w:rsid w:val="00D42F6C"/>
    <w:rsid w:val="00D43415"/>
    <w:rsid w:val="00D43593"/>
    <w:rsid w:val="00D435DA"/>
    <w:rsid w:val="00D4459C"/>
    <w:rsid w:val="00D449EF"/>
    <w:rsid w:val="00D44E36"/>
    <w:rsid w:val="00D45075"/>
    <w:rsid w:val="00D4571E"/>
    <w:rsid w:val="00D457C1"/>
    <w:rsid w:val="00D45B70"/>
    <w:rsid w:val="00D45F63"/>
    <w:rsid w:val="00D46319"/>
    <w:rsid w:val="00D46949"/>
    <w:rsid w:val="00D46D14"/>
    <w:rsid w:val="00D4779F"/>
    <w:rsid w:val="00D477FB"/>
    <w:rsid w:val="00D500B7"/>
    <w:rsid w:val="00D5037E"/>
    <w:rsid w:val="00D503F9"/>
    <w:rsid w:val="00D505E7"/>
    <w:rsid w:val="00D509D6"/>
    <w:rsid w:val="00D50D8F"/>
    <w:rsid w:val="00D51B14"/>
    <w:rsid w:val="00D51C0C"/>
    <w:rsid w:val="00D52558"/>
    <w:rsid w:val="00D527F2"/>
    <w:rsid w:val="00D53117"/>
    <w:rsid w:val="00D5379C"/>
    <w:rsid w:val="00D53F57"/>
    <w:rsid w:val="00D54625"/>
    <w:rsid w:val="00D548B1"/>
    <w:rsid w:val="00D54CCE"/>
    <w:rsid w:val="00D54CE9"/>
    <w:rsid w:val="00D556EA"/>
    <w:rsid w:val="00D55B7A"/>
    <w:rsid w:val="00D5659B"/>
    <w:rsid w:val="00D568F4"/>
    <w:rsid w:val="00D56C13"/>
    <w:rsid w:val="00D57276"/>
    <w:rsid w:val="00D6051B"/>
    <w:rsid w:val="00D6085B"/>
    <w:rsid w:val="00D60ADE"/>
    <w:rsid w:val="00D60E94"/>
    <w:rsid w:val="00D6141E"/>
    <w:rsid w:val="00D61845"/>
    <w:rsid w:val="00D61CF1"/>
    <w:rsid w:val="00D626EA"/>
    <w:rsid w:val="00D62F9F"/>
    <w:rsid w:val="00D631BE"/>
    <w:rsid w:val="00D63C1E"/>
    <w:rsid w:val="00D648AD"/>
    <w:rsid w:val="00D6511E"/>
    <w:rsid w:val="00D66016"/>
    <w:rsid w:val="00D66899"/>
    <w:rsid w:val="00D66EF3"/>
    <w:rsid w:val="00D706B9"/>
    <w:rsid w:val="00D7089D"/>
    <w:rsid w:val="00D71103"/>
    <w:rsid w:val="00D71482"/>
    <w:rsid w:val="00D71574"/>
    <w:rsid w:val="00D718F9"/>
    <w:rsid w:val="00D71AC1"/>
    <w:rsid w:val="00D72B0A"/>
    <w:rsid w:val="00D730BE"/>
    <w:rsid w:val="00D732CA"/>
    <w:rsid w:val="00D7357C"/>
    <w:rsid w:val="00D74216"/>
    <w:rsid w:val="00D74501"/>
    <w:rsid w:val="00D748A2"/>
    <w:rsid w:val="00D749B5"/>
    <w:rsid w:val="00D7506F"/>
    <w:rsid w:val="00D75B43"/>
    <w:rsid w:val="00D763B4"/>
    <w:rsid w:val="00D76787"/>
    <w:rsid w:val="00D76AB9"/>
    <w:rsid w:val="00D76C3E"/>
    <w:rsid w:val="00D76C69"/>
    <w:rsid w:val="00D76F5B"/>
    <w:rsid w:val="00D770BC"/>
    <w:rsid w:val="00D77782"/>
    <w:rsid w:val="00D77CEC"/>
    <w:rsid w:val="00D80055"/>
    <w:rsid w:val="00D805CD"/>
    <w:rsid w:val="00D8111C"/>
    <w:rsid w:val="00D81414"/>
    <w:rsid w:val="00D81621"/>
    <w:rsid w:val="00D816C5"/>
    <w:rsid w:val="00D81DD6"/>
    <w:rsid w:val="00D81EE3"/>
    <w:rsid w:val="00D82009"/>
    <w:rsid w:val="00D82705"/>
    <w:rsid w:val="00D82D1F"/>
    <w:rsid w:val="00D83A52"/>
    <w:rsid w:val="00D83A9C"/>
    <w:rsid w:val="00D83E17"/>
    <w:rsid w:val="00D8422F"/>
    <w:rsid w:val="00D843AC"/>
    <w:rsid w:val="00D84962"/>
    <w:rsid w:val="00D855AB"/>
    <w:rsid w:val="00D85776"/>
    <w:rsid w:val="00D85900"/>
    <w:rsid w:val="00D861CC"/>
    <w:rsid w:val="00D866F1"/>
    <w:rsid w:val="00D879E4"/>
    <w:rsid w:val="00D87CE8"/>
    <w:rsid w:val="00D90087"/>
    <w:rsid w:val="00D90522"/>
    <w:rsid w:val="00D90901"/>
    <w:rsid w:val="00D909FF"/>
    <w:rsid w:val="00D90B39"/>
    <w:rsid w:val="00D90DB4"/>
    <w:rsid w:val="00D90F7E"/>
    <w:rsid w:val="00D91499"/>
    <w:rsid w:val="00D91717"/>
    <w:rsid w:val="00D92318"/>
    <w:rsid w:val="00D92886"/>
    <w:rsid w:val="00D92B94"/>
    <w:rsid w:val="00D93206"/>
    <w:rsid w:val="00D93527"/>
    <w:rsid w:val="00D939DD"/>
    <w:rsid w:val="00D93F37"/>
    <w:rsid w:val="00D942A7"/>
    <w:rsid w:val="00D945C6"/>
    <w:rsid w:val="00D9487D"/>
    <w:rsid w:val="00D94C33"/>
    <w:rsid w:val="00D94C85"/>
    <w:rsid w:val="00D94FF2"/>
    <w:rsid w:val="00D95664"/>
    <w:rsid w:val="00D958EA"/>
    <w:rsid w:val="00D9610C"/>
    <w:rsid w:val="00D96890"/>
    <w:rsid w:val="00D97290"/>
    <w:rsid w:val="00D976CA"/>
    <w:rsid w:val="00D976FD"/>
    <w:rsid w:val="00D977A6"/>
    <w:rsid w:val="00D97BCA"/>
    <w:rsid w:val="00DA00A6"/>
    <w:rsid w:val="00DA020A"/>
    <w:rsid w:val="00DA0A5E"/>
    <w:rsid w:val="00DA1450"/>
    <w:rsid w:val="00DA1602"/>
    <w:rsid w:val="00DA170E"/>
    <w:rsid w:val="00DA1CA3"/>
    <w:rsid w:val="00DA25A6"/>
    <w:rsid w:val="00DA2716"/>
    <w:rsid w:val="00DA29B7"/>
    <w:rsid w:val="00DA2DCC"/>
    <w:rsid w:val="00DA38AD"/>
    <w:rsid w:val="00DA3FB1"/>
    <w:rsid w:val="00DA47F1"/>
    <w:rsid w:val="00DA499D"/>
    <w:rsid w:val="00DA5117"/>
    <w:rsid w:val="00DA5843"/>
    <w:rsid w:val="00DA5A48"/>
    <w:rsid w:val="00DA6990"/>
    <w:rsid w:val="00DA6FFF"/>
    <w:rsid w:val="00DA707D"/>
    <w:rsid w:val="00DA7AC0"/>
    <w:rsid w:val="00DB077A"/>
    <w:rsid w:val="00DB0908"/>
    <w:rsid w:val="00DB0A78"/>
    <w:rsid w:val="00DB0FCD"/>
    <w:rsid w:val="00DB12F5"/>
    <w:rsid w:val="00DB182B"/>
    <w:rsid w:val="00DB195A"/>
    <w:rsid w:val="00DB220B"/>
    <w:rsid w:val="00DB262B"/>
    <w:rsid w:val="00DB2869"/>
    <w:rsid w:val="00DB34C0"/>
    <w:rsid w:val="00DB3578"/>
    <w:rsid w:val="00DB380D"/>
    <w:rsid w:val="00DB3FE0"/>
    <w:rsid w:val="00DB409B"/>
    <w:rsid w:val="00DB42F1"/>
    <w:rsid w:val="00DB4452"/>
    <w:rsid w:val="00DB511A"/>
    <w:rsid w:val="00DB516F"/>
    <w:rsid w:val="00DB55DB"/>
    <w:rsid w:val="00DB5830"/>
    <w:rsid w:val="00DB5B8B"/>
    <w:rsid w:val="00DB60A1"/>
    <w:rsid w:val="00DB64E4"/>
    <w:rsid w:val="00DB6E5D"/>
    <w:rsid w:val="00DB6F84"/>
    <w:rsid w:val="00DB6FF7"/>
    <w:rsid w:val="00DB7207"/>
    <w:rsid w:val="00DB7492"/>
    <w:rsid w:val="00DB7C0B"/>
    <w:rsid w:val="00DC039A"/>
    <w:rsid w:val="00DC0480"/>
    <w:rsid w:val="00DC09DD"/>
    <w:rsid w:val="00DC0B24"/>
    <w:rsid w:val="00DC1002"/>
    <w:rsid w:val="00DC13F8"/>
    <w:rsid w:val="00DC1AC1"/>
    <w:rsid w:val="00DC29E8"/>
    <w:rsid w:val="00DC3F71"/>
    <w:rsid w:val="00DC4397"/>
    <w:rsid w:val="00DC451F"/>
    <w:rsid w:val="00DC4726"/>
    <w:rsid w:val="00DC4C87"/>
    <w:rsid w:val="00DC4E0B"/>
    <w:rsid w:val="00DC4E38"/>
    <w:rsid w:val="00DC50CA"/>
    <w:rsid w:val="00DC5444"/>
    <w:rsid w:val="00DC63F4"/>
    <w:rsid w:val="00DC65E5"/>
    <w:rsid w:val="00DC6AA7"/>
    <w:rsid w:val="00DC6D8D"/>
    <w:rsid w:val="00DC6F80"/>
    <w:rsid w:val="00DC7EC9"/>
    <w:rsid w:val="00DD03FE"/>
    <w:rsid w:val="00DD09A3"/>
    <w:rsid w:val="00DD0E85"/>
    <w:rsid w:val="00DD0F92"/>
    <w:rsid w:val="00DD1402"/>
    <w:rsid w:val="00DD1B07"/>
    <w:rsid w:val="00DD1CEA"/>
    <w:rsid w:val="00DD24F7"/>
    <w:rsid w:val="00DD2B2D"/>
    <w:rsid w:val="00DD2FE9"/>
    <w:rsid w:val="00DD33E2"/>
    <w:rsid w:val="00DD345E"/>
    <w:rsid w:val="00DD3505"/>
    <w:rsid w:val="00DD3E04"/>
    <w:rsid w:val="00DD484B"/>
    <w:rsid w:val="00DD4CF8"/>
    <w:rsid w:val="00DD4E33"/>
    <w:rsid w:val="00DD591D"/>
    <w:rsid w:val="00DD6121"/>
    <w:rsid w:val="00DD6312"/>
    <w:rsid w:val="00DD6712"/>
    <w:rsid w:val="00DD6AD4"/>
    <w:rsid w:val="00DD78C6"/>
    <w:rsid w:val="00DD7F6D"/>
    <w:rsid w:val="00DE001D"/>
    <w:rsid w:val="00DE0752"/>
    <w:rsid w:val="00DE092A"/>
    <w:rsid w:val="00DE0C85"/>
    <w:rsid w:val="00DE0E73"/>
    <w:rsid w:val="00DE0FFB"/>
    <w:rsid w:val="00DE15AD"/>
    <w:rsid w:val="00DE170D"/>
    <w:rsid w:val="00DE19F2"/>
    <w:rsid w:val="00DE2211"/>
    <w:rsid w:val="00DE221A"/>
    <w:rsid w:val="00DE2609"/>
    <w:rsid w:val="00DE302C"/>
    <w:rsid w:val="00DE3331"/>
    <w:rsid w:val="00DE3EFA"/>
    <w:rsid w:val="00DE4CDC"/>
    <w:rsid w:val="00DE50D0"/>
    <w:rsid w:val="00DE5279"/>
    <w:rsid w:val="00DE5406"/>
    <w:rsid w:val="00DE5734"/>
    <w:rsid w:val="00DE5BA6"/>
    <w:rsid w:val="00DE654B"/>
    <w:rsid w:val="00DE670F"/>
    <w:rsid w:val="00DE6AE1"/>
    <w:rsid w:val="00DE6C1C"/>
    <w:rsid w:val="00DE6D1C"/>
    <w:rsid w:val="00DE71C9"/>
    <w:rsid w:val="00DE73DA"/>
    <w:rsid w:val="00DE74DF"/>
    <w:rsid w:val="00DE7513"/>
    <w:rsid w:val="00DE7C52"/>
    <w:rsid w:val="00DE7CE9"/>
    <w:rsid w:val="00DF0D5E"/>
    <w:rsid w:val="00DF0E44"/>
    <w:rsid w:val="00DF18BB"/>
    <w:rsid w:val="00DF19C4"/>
    <w:rsid w:val="00DF1AB8"/>
    <w:rsid w:val="00DF1D8B"/>
    <w:rsid w:val="00DF24BB"/>
    <w:rsid w:val="00DF2B07"/>
    <w:rsid w:val="00DF35C0"/>
    <w:rsid w:val="00DF369C"/>
    <w:rsid w:val="00DF38B3"/>
    <w:rsid w:val="00DF4189"/>
    <w:rsid w:val="00DF449C"/>
    <w:rsid w:val="00DF534F"/>
    <w:rsid w:val="00DF56A1"/>
    <w:rsid w:val="00DF5766"/>
    <w:rsid w:val="00DF5F7B"/>
    <w:rsid w:val="00DF62C7"/>
    <w:rsid w:val="00DF6433"/>
    <w:rsid w:val="00DF6925"/>
    <w:rsid w:val="00DF6E4E"/>
    <w:rsid w:val="00DF70D6"/>
    <w:rsid w:val="00DF74EA"/>
    <w:rsid w:val="00DF7D81"/>
    <w:rsid w:val="00DF7F94"/>
    <w:rsid w:val="00E005B9"/>
    <w:rsid w:val="00E0079B"/>
    <w:rsid w:val="00E00D84"/>
    <w:rsid w:val="00E01A5F"/>
    <w:rsid w:val="00E01C38"/>
    <w:rsid w:val="00E01FDB"/>
    <w:rsid w:val="00E024DF"/>
    <w:rsid w:val="00E02C7F"/>
    <w:rsid w:val="00E02DCE"/>
    <w:rsid w:val="00E0358C"/>
    <w:rsid w:val="00E03CCB"/>
    <w:rsid w:val="00E04614"/>
    <w:rsid w:val="00E04A0D"/>
    <w:rsid w:val="00E04B0C"/>
    <w:rsid w:val="00E05288"/>
    <w:rsid w:val="00E065C3"/>
    <w:rsid w:val="00E06987"/>
    <w:rsid w:val="00E06F82"/>
    <w:rsid w:val="00E07453"/>
    <w:rsid w:val="00E075EC"/>
    <w:rsid w:val="00E07B66"/>
    <w:rsid w:val="00E11CF1"/>
    <w:rsid w:val="00E12142"/>
    <w:rsid w:val="00E122EB"/>
    <w:rsid w:val="00E1250C"/>
    <w:rsid w:val="00E129CF"/>
    <w:rsid w:val="00E12D36"/>
    <w:rsid w:val="00E12DA9"/>
    <w:rsid w:val="00E12FED"/>
    <w:rsid w:val="00E131AB"/>
    <w:rsid w:val="00E13495"/>
    <w:rsid w:val="00E13A42"/>
    <w:rsid w:val="00E13F59"/>
    <w:rsid w:val="00E142E2"/>
    <w:rsid w:val="00E14C5F"/>
    <w:rsid w:val="00E150CB"/>
    <w:rsid w:val="00E15939"/>
    <w:rsid w:val="00E16118"/>
    <w:rsid w:val="00E16959"/>
    <w:rsid w:val="00E16F2C"/>
    <w:rsid w:val="00E173C7"/>
    <w:rsid w:val="00E17573"/>
    <w:rsid w:val="00E17ED9"/>
    <w:rsid w:val="00E20294"/>
    <w:rsid w:val="00E20366"/>
    <w:rsid w:val="00E20D7C"/>
    <w:rsid w:val="00E21617"/>
    <w:rsid w:val="00E221B8"/>
    <w:rsid w:val="00E22CAD"/>
    <w:rsid w:val="00E23178"/>
    <w:rsid w:val="00E233A9"/>
    <w:rsid w:val="00E2379B"/>
    <w:rsid w:val="00E2484B"/>
    <w:rsid w:val="00E24A8B"/>
    <w:rsid w:val="00E25321"/>
    <w:rsid w:val="00E25780"/>
    <w:rsid w:val="00E2580C"/>
    <w:rsid w:val="00E25910"/>
    <w:rsid w:val="00E25B58"/>
    <w:rsid w:val="00E25C5E"/>
    <w:rsid w:val="00E2779F"/>
    <w:rsid w:val="00E3002E"/>
    <w:rsid w:val="00E30326"/>
    <w:rsid w:val="00E30ADA"/>
    <w:rsid w:val="00E30EED"/>
    <w:rsid w:val="00E31802"/>
    <w:rsid w:val="00E32368"/>
    <w:rsid w:val="00E32613"/>
    <w:rsid w:val="00E333B8"/>
    <w:rsid w:val="00E33714"/>
    <w:rsid w:val="00E34260"/>
    <w:rsid w:val="00E34D61"/>
    <w:rsid w:val="00E3565A"/>
    <w:rsid w:val="00E35772"/>
    <w:rsid w:val="00E36257"/>
    <w:rsid w:val="00E3628C"/>
    <w:rsid w:val="00E3670B"/>
    <w:rsid w:val="00E3693C"/>
    <w:rsid w:val="00E401E8"/>
    <w:rsid w:val="00E401F0"/>
    <w:rsid w:val="00E41843"/>
    <w:rsid w:val="00E41CF8"/>
    <w:rsid w:val="00E420C5"/>
    <w:rsid w:val="00E425BC"/>
    <w:rsid w:val="00E42FCA"/>
    <w:rsid w:val="00E437F9"/>
    <w:rsid w:val="00E44C02"/>
    <w:rsid w:val="00E44E14"/>
    <w:rsid w:val="00E45CD0"/>
    <w:rsid w:val="00E45D83"/>
    <w:rsid w:val="00E46051"/>
    <w:rsid w:val="00E4617F"/>
    <w:rsid w:val="00E46518"/>
    <w:rsid w:val="00E46549"/>
    <w:rsid w:val="00E466D3"/>
    <w:rsid w:val="00E46B25"/>
    <w:rsid w:val="00E4727C"/>
    <w:rsid w:val="00E47ABF"/>
    <w:rsid w:val="00E50147"/>
    <w:rsid w:val="00E501AD"/>
    <w:rsid w:val="00E505B0"/>
    <w:rsid w:val="00E505B2"/>
    <w:rsid w:val="00E508D9"/>
    <w:rsid w:val="00E50D76"/>
    <w:rsid w:val="00E51876"/>
    <w:rsid w:val="00E51A14"/>
    <w:rsid w:val="00E51B2D"/>
    <w:rsid w:val="00E51DEE"/>
    <w:rsid w:val="00E5241C"/>
    <w:rsid w:val="00E52523"/>
    <w:rsid w:val="00E53372"/>
    <w:rsid w:val="00E53D99"/>
    <w:rsid w:val="00E545E8"/>
    <w:rsid w:val="00E54E25"/>
    <w:rsid w:val="00E55D75"/>
    <w:rsid w:val="00E560D1"/>
    <w:rsid w:val="00E5689D"/>
    <w:rsid w:val="00E56D31"/>
    <w:rsid w:val="00E56E79"/>
    <w:rsid w:val="00E56E87"/>
    <w:rsid w:val="00E57037"/>
    <w:rsid w:val="00E57074"/>
    <w:rsid w:val="00E57181"/>
    <w:rsid w:val="00E57423"/>
    <w:rsid w:val="00E57BBB"/>
    <w:rsid w:val="00E57F67"/>
    <w:rsid w:val="00E6023D"/>
    <w:rsid w:val="00E60B02"/>
    <w:rsid w:val="00E6198D"/>
    <w:rsid w:val="00E6219D"/>
    <w:rsid w:val="00E62E5C"/>
    <w:rsid w:val="00E631E6"/>
    <w:rsid w:val="00E64179"/>
    <w:rsid w:val="00E644CA"/>
    <w:rsid w:val="00E6472E"/>
    <w:rsid w:val="00E64799"/>
    <w:rsid w:val="00E64B3B"/>
    <w:rsid w:val="00E64F32"/>
    <w:rsid w:val="00E6582B"/>
    <w:rsid w:val="00E65EE1"/>
    <w:rsid w:val="00E65FA5"/>
    <w:rsid w:val="00E66D0D"/>
    <w:rsid w:val="00E67050"/>
    <w:rsid w:val="00E67234"/>
    <w:rsid w:val="00E67F05"/>
    <w:rsid w:val="00E70723"/>
    <w:rsid w:val="00E70B31"/>
    <w:rsid w:val="00E71E17"/>
    <w:rsid w:val="00E72338"/>
    <w:rsid w:val="00E7241F"/>
    <w:rsid w:val="00E725A8"/>
    <w:rsid w:val="00E72769"/>
    <w:rsid w:val="00E732A2"/>
    <w:rsid w:val="00E7401A"/>
    <w:rsid w:val="00E740CD"/>
    <w:rsid w:val="00E7410F"/>
    <w:rsid w:val="00E74299"/>
    <w:rsid w:val="00E742A2"/>
    <w:rsid w:val="00E745E9"/>
    <w:rsid w:val="00E747AA"/>
    <w:rsid w:val="00E75C6B"/>
    <w:rsid w:val="00E76201"/>
    <w:rsid w:val="00E77022"/>
    <w:rsid w:val="00E77CD7"/>
    <w:rsid w:val="00E77E08"/>
    <w:rsid w:val="00E77E43"/>
    <w:rsid w:val="00E77F62"/>
    <w:rsid w:val="00E81661"/>
    <w:rsid w:val="00E82C28"/>
    <w:rsid w:val="00E82C3B"/>
    <w:rsid w:val="00E837E9"/>
    <w:rsid w:val="00E844D7"/>
    <w:rsid w:val="00E84870"/>
    <w:rsid w:val="00E8496B"/>
    <w:rsid w:val="00E849CB"/>
    <w:rsid w:val="00E84C1F"/>
    <w:rsid w:val="00E85088"/>
    <w:rsid w:val="00E85762"/>
    <w:rsid w:val="00E85EF2"/>
    <w:rsid w:val="00E85F84"/>
    <w:rsid w:val="00E86296"/>
    <w:rsid w:val="00E867BE"/>
    <w:rsid w:val="00E868D3"/>
    <w:rsid w:val="00E875A9"/>
    <w:rsid w:val="00E87D94"/>
    <w:rsid w:val="00E87E64"/>
    <w:rsid w:val="00E87E85"/>
    <w:rsid w:val="00E900AE"/>
    <w:rsid w:val="00E91073"/>
    <w:rsid w:val="00E913B2"/>
    <w:rsid w:val="00E91495"/>
    <w:rsid w:val="00E91ADF"/>
    <w:rsid w:val="00E930CD"/>
    <w:rsid w:val="00E936D3"/>
    <w:rsid w:val="00E93A5D"/>
    <w:rsid w:val="00E93B0B"/>
    <w:rsid w:val="00E9424B"/>
    <w:rsid w:val="00E94499"/>
    <w:rsid w:val="00E945FD"/>
    <w:rsid w:val="00E9506E"/>
    <w:rsid w:val="00E95297"/>
    <w:rsid w:val="00E95708"/>
    <w:rsid w:val="00E95892"/>
    <w:rsid w:val="00E95E76"/>
    <w:rsid w:val="00E95F93"/>
    <w:rsid w:val="00E963C8"/>
    <w:rsid w:val="00E97265"/>
    <w:rsid w:val="00E97365"/>
    <w:rsid w:val="00E97AC9"/>
    <w:rsid w:val="00E97C3F"/>
    <w:rsid w:val="00E97F9C"/>
    <w:rsid w:val="00EA02BF"/>
    <w:rsid w:val="00EA0472"/>
    <w:rsid w:val="00EA074D"/>
    <w:rsid w:val="00EA10F0"/>
    <w:rsid w:val="00EA1708"/>
    <w:rsid w:val="00EA1AE8"/>
    <w:rsid w:val="00EA1E3D"/>
    <w:rsid w:val="00EA1EE2"/>
    <w:rsid w:val="00EA2CE7"/>
    <w:rsid w:val="00EA2F53"/>
    <w:rsid w:val="00EA3664"/>
    <w:rsid w:val="00EA4990"/>
    <w:rsid w:val="00EA4C87"/>
    <w:rsid w:val="00EA4E2A"/>
    <w:rsid w:val="00EA4EF3"/>
    <w:rsid w:val="00EA575C"/>
    <w:rsid w:val="00EA6BEA"/>
    <w:rsid w:val="00EA72C3"/>
    <w:rsid w:val="00EA7302"/>
    <w:rsid w:val="00EA764A"/>
    <w:rsid w:val="00EA7DA7"/>
    <w:rsid w:val="00EB0B65"/>
    <w:rsid w:val="00EB1584"/>
    <w:rsid w:val="00EB1753"/>
    <w:rsid w:val="00EB18BF"/>
    <w:rsid w:val="00EB25B5"/>
    <w:rsid w:val="00EB29ED"/>
    <w:rsid w:val="00EB2C28"/>
    <w:rsid w:val="00EB2C79"/>
    <w:rsid w:val="00EB33C0"/>
    <w:rsid w:val="00EB33E8"/>
    <w:rsid w:val="00EB44FC"/>
    <w:rsid w:val="00EB4F60"/>
    <w:rsid w:val="00EB5013"/>
    <w:rsid w:val="00EB57E2"/>
    <w:rsid w:val="00EB5A53"/>
    <w:rsid w:val="00EB64A9"/>
    <w:rsid w:val="00EB6E6A"/>
    <w:rsid w:val="00EB704E"/>
    <w:rsid w:val="00EB75EB"/>
    <w:rsid w:val="00EB7B5C"/>
    <w:rsid w:val="00EB7CA8"/>
    <w:rsid w:val="00EC0C80"/>
    <w:rsid w:val="00EC0FB6"/>
    <w:rsid w:val="00EC19F5"/>
    <w:rsid w:val="00EC1A86"/>
    <w:rsid w:val="00EC1A9B"/>
    <w:rsid w:val="00EC27B9"/>
    <w:rsid w:val="00EC2C51"/>
    <w:rsid w:val="00EC31F7"/>
    <w:rsid w:val="00EC348F"/>
    <w:rsid w:val="00EC3706"/>
    <w:rsid w:val="00EC3BEC"/>
    <w:rsid w:val="00EC403A"/>
    <w:rsid w:val="00EC44BC"/>
    <w:rsid w:val="00EC451D"/>
    <w:rsid w:val="00EC4B0E"/>
    <w:rsid w:val="00EC5484"/>
    <w:rsid w:val="00EC5DC1"/>
    <w:rsid w:val="00EC6112"/>
    <w:rsid w:val="00EC617A"/>
    <w:rsid w:val="00EC63D9"/>
    <w:rsid w:val="00EC653B"/>
    <w:rsid w:val="00EC68E4"/>
    <w:rsid w:val="00EC6A8D"/>
    <w:rsid w:val="00EC7C58"/>
    <w:rsid w:val="00EC7E4D"/>
    <w:rsid w:val="00EC7F58"/>
    <w:rsid w:val="00ED0149"/>
    <w:rsid w:val="00ED05FE"/>
    <w:rsid w:val="00ED142C"/>
    <w:rsid w:val="00ED149E"/>
    <w:rsid w:val="00ED169B"/>
    <w:rsid w:val="00ED1816"/>
    <w:rsid w:val="00ED1982"/>
    <w:rsid w:val="00ED1B70"/>
    <w:rsid w:val="00ED1C0D"/>
    <w:rsid w:val="00ED206C"/>
    <w:rsid w:val="00ED25E7"/>
    <w:rsid w:val="00ED29C4"/>
    <w:rsid w:val="00ED343D"/>
    <w:rsid w:val="00ED349F"/>
    <w:rsid w:val="00ED4D0E"/>
    <w:rsid w:val="00ED4D73"/>
    <w:rsid w:val="00ED4ED4"/>
    <w:rsid w:val="00ED52D7"/>
    <w:rsid w:val="00ED57B1"/>
    <w:rsid w:val="00ED6109"/>
    <w:rsid w:val="00ED6144"/>
    <w:rsid w:val="00ED62B7"/>
    <w:rsid w:val="00ED6F95"/>
    <w:rsid w:val="00ED72C2"/>
    <w:rsid w:val="00ED7470"/>
    <w:rsid w:val="00ED764A"/>
    <w:rsid w:val="00ED76E9"/>
    <w:rsid w:val="00ED795B"/>
    <w:rsid w:val="00ED7C84"/>
    <w:rsid w:val="00EE0601"/>
    <w:rsid w:val="00EE105F"/>
    <w:rsid w:val="00EE1245"/>
    <w:rsid w:val="00EE17D5"/>
    <w:rsid w:val="00EE2040"/>
    <w:rsid w:val="00EE254E"/>
    <w:rsid w:val="00EE3233"/>
    <w:rsid w:val="00EE3445"/>
    <w:rsid w:val="00EE3466"/>
    <w:rsid w:val="00EE34D7"/>
    <w:rsid w:val="00EE36F9"/>
    <w:rsid w:val="00EE37F9"/>
    <w:rsid w:val="00EE3C8F"/>
    <w:rsid w:val="00EE3D6D"/>
    <w:rsid w:val="00EE4A39"/>
    <w:rsid w:val="00EE54EA"/>
    <w:rsid w:val="00EE5509"/>
    <w:rsid w:val="00EE5AD0"/>
    <w:rsid w:val="00EE6014"/>
    <w:rsid w:val="00EE633E"/>
    <w:rsid w:val="00EE6374"/>
    <w:rsid w:val="00EE6B1F"/>
    <w:rsid w:val="00EE6D88"/>
    <w:rsid w:val="00EE6FC7"/>
    <w:rsid w:val="00EE7121"/>
    <w:rsid w:val="00EE71F6"/>
    <w:rsid w:val="00EF0012"/>
    <w:rsid w:val="00EF006B"/>
    <w:rsid w:val="00EF04FB"/>
    <w:rsid w:val="00EF0616"/>
    <w:rsid w:val="00EF0A5A"/>
    <w:rsid w:val="00EF0CB4"/>
    <w:rsid w:val="00EF12BF"/>
    <w:rsid w:val="00EF17C1"/>
    <w:rsid w:val="00EF21A3"/>
    <w:rsid w:val="00EF2D50"/>
    <w:rsid w:val="00EF2EF8"/>
    <w:rsid w:val="00EF33DF"/>
    <w:rsid w:val="00EF3CF9"/>
    <w:rsid w:val="00EF43E9"/>
    <w:rsid w:val="00EF4CBE"/>
    <w:rsid w:val="00EF5164"/>
    <w:rsid w:val="00EF5643"/>
    <w:rsid w:val="00EF56E9"/>
    <w:rsid w:val="00EF58BF"/>
    <w:rsid w:val="00EF604D"/>
    <w:rsid w:val="00EF60AB"/>
    <w:rsid w:val="00EF7301"/>
    <w:rsid w:val="00F00944"/>
    <w:rsid w:val="00F00AD1"/>
    <w:rsid w:val="00F01041"/>
    <w:rsid w:val="00F02660"/>
    <w:rsid w:val="00F02B68"/>
    <w:rsid w:val="00F02E72"/>
    <w:rsid w:val="00F0329C"/>
    <w:rsid w:val="00F03504"/>
    <w:rsid w:val="00F03A9F"/>
    <w:rsid w:val="00F03E35"/>
    <w:rsid w:val="00F04281"/>
    <w:rsid w:val="00F044B8"/>
    <w:rsid w:val="00F04681"/>
    <w:rsid w:val="00F047CC"/>
    <w:rsid w:val="00F04F78"/>
    <w:rsid w:val="00F05203"/>
    <w:rsid w:val="00F05C57"/>
    <w:rsid w:val="00F073AC"/>
    <w:rsid w:val="00F0757B"/>
    <w:rsid w:val="00F102E7"/>
    <w:rsid w:val="00F10384"/>
    <w:rsid w:val="00F1073F"/>
    <w:rsid w:val="00F10866"/>
    <w:rsid w:val="00F11F6B"/>
    <w:rsid w:val="00F1289D"/>
    <w:rsid w:val="00F13256"/>
    <w:rsid w:val="00F133D0"/>
    <w:rsid w:val="00F13801"/>
    <w:rsid w:val="00F13A66"/>
    <w:rsid w:val="00F13A77"/>
    <w:rsid w:val="00F13D71"/>
    <w:rsid w:val="00F1497E"/>
    <w:rsid w:val="00F16322"/>
    <w:rsid w:val="00F177A5"/>
    <w:rsid w:val="00F17966"/>
    <w:rsid w:val="00F17F69"/>
    <w:rsid w:val="00F20ED6"/>
    <w:rsid w:val="00F2133F"/>
    <w:rsid w:val="00F21812"/>
    <w:rsid w:val="00F21CC4"/>
    <w:rsid w:val="00F21FBB"/>
    <w:rsid w:val="00F23284"/>
    <w:rsid w:val="00F23A15"/>
    <w:rsid w:val="00F23D12"/>
    <w:rsid w:val="00F24F0A"/>
    <w:rsid w:val="00F256D2"/>
    <w:rsid w:val="00F25806"/>
    <w:rsid w:val="00F25D8C"/>
    <w:rsid w:val="00F264CA"/>
    <w:rsid w:val="00F264D1"/>
    <w:rsid w:val="00F268D8"/>
    <w:rsid w:val="00F26F8B"/>
    <w:rsid w:val="00F27083"/>
    <w:rsid w:val="00F27564"/>
    <w:rsid w:val="00F304F3"/>
    <w:rsid w:val="00F30B13"/>
    <w:rsid w:val="00F311EF"/>
    <w:rsid w:val="00F31416"/>
    <w:rsid w:val="00F31523"/>
    <w:rsid w:val="00F31732"/>
    <w:rsid w:val="00F317F8"/>
    <w:rsid w:val="00F31FE1"/>
    <w:rsid w:val="00F3224B"/>
    <w:rsid w:val="00F3231C"/>
    <w:rsid w:val="00F3251B"/>
    <w:rsid w:val="00F33016"/>
    <w:rsid w:val="00F331DF"/>
    <w:rsid w:val="00F33285"/>
    <w:rsid w:val="00F3361D"/>
    <w:rsid w:val="00F33855"/>
    <w:rsid w:val="00F33E6A"/>
    <w:rsid w:val="00F345BD"/>
    <w:rsid w:val="00F34D00"/>
    <w:rsid w:val="00F35013"/>
    <w:rsid w:val="00F35087"/>
    <w:rsid w:val="00F35842"/>
    <w:rsid w:val="00F35854"/>
    <w:rsid w:val="00F35F6C"/>
    <w:rsid w:val="00F365DA"/>
    <w:rsid w:val="00F36CD2"/>
    <w:rsid w:val="00F37226"/>
    <w:rsid w:val="00F37A77"/>
    <w:rsid w:val="00F37E39"/>
    <w:rsid w:val="00F404FC"/>
    <w:rsid w:val="00F40568"/>
    <w:rsid w:val="00F40B7C"/>
    <w:rsid w:val="00F4102B"/>
    <w:rsid w:val="00F41069"/>
    <w:rsid w:val="00F41447"/>
    <w:rsid w:val="00F42476"/>
    <w:rsid w:val="00F42F6E"/>
    <w:rsid w:val="00F431A4"/>
    <w:rsid w:val="00F43830"/>
    <w:rsid w:val="00F43935"/>
    <w:rsid w:val="00F4415E"/>
    <w:rsid w:val="00F44536"/>
    <w:rsid w:val="00F445BF"/>
    <w:rsid w:val="00F4524E"/>
    <w:rsid w:val="00F453A1"/>
    <w:rsid w:val="00F45467"/>
    <w:rsid w:val="00F45826"/>
    <w:rsid w:val="00F45B37"/>
    <w:rsid w:val="00F45B86"/>
    <w:rsid w:val="00F45F32"/>
    <w:rsid w:val="00F4609C"/>
    <w:rsid w:val="00F46B05"/>
    <w:rsid w:val="00F47A2E"/>
    <w:rsid w:val="00F47F7E"/>
    <w:rsid w:val="00F47F8F"/>
    <w:rsid w:val="00F50183"/>
    <w:rsid w:val="00F507B6"/>
    <w:rsid w:val="00F50A71"/>
    <w:rsid w:val="00F50AF7"/>
    <w:rsid w:val="00F511AE"/>
    <w:rsid w:val="00F51282"/>
    <w:rsid w:val="00F51FC0"/>
    <w:rsid w:val="00F52521"/>
    <w:rsid w:val="00F52690"/>
    <w:rsid w:val="00F52D34"/>
    <w:rsid w:val="00F53236"/>
    <w:rsid w:val="00F5338F"/>
    <w:rsid w:val="00F53990"/>
    <w:rsid w:val="00F53AC2"/>
    <w:rsid w:val="00F54273"/>
    <w:rsid w:val="00F54977"/>
    <w:rsid w:val="00F54A2C"/>
    <w:rsid w:val="00F54D00"/>
    <w:rsid w:val="00F55946"/>
    <w:rsid w:val="00F560A1"/>
    <w:rsid w:val="00F56BC7"/>
    <w:rsid w:val="00F5701C"/>
    <w:rsid w:val="00F5733A"/>
    <w:rsid w:val="00F577E9"/>
    <w:rsid w:val="00F60733"/>
    <w:rsid w:val="00F608ED"/>
    <w:rsid w:val="00F60E2F"/>
    <w:rsid w:val="00F61FC2"/>
    <w:rsid w:val="00F62479"/>
    <w:rsid w:val="00F62B2E"/>
    <w:rsid w:val="00F6308B"/>
    <w:rsid w:val="00F6340E"/>
    <w:rsid w:val="00F638D4"/>
    <w:rsid w:val="00F645CE"/>
    <w:rsid w:val="00F64742"/>
    <w:rsid w:val="00F64920"/>
    <w:rsid w:val="00F64924"/>
    <w:rsid w:val="00F65852"/>
    <w:rsid w:val="00F6592B"/>
    <w:rsid w:val="00F65A5D"/>
    <w:rsid w:val="00F6645F"/>
    <w:rsid w:val="00F664AC"/>
    <w:rsid w:val="00F66883"/>
    <w:rsid w:val="00F674C7"/>
    <w:rsid w:val="00F674CE"/>
    <w:rsid w:val="00F7003B"/>
    <w:rsid w:val="00F70545"/>
    <w:rsid w:val="00F70F78"/>
    <w:rsid w:val="00F70F8F"/>
    <w:rsid w:val="00F716F8"/>
    <w:rsid w:val="00F719B3"/>
    <w:rsid w:val="00F71BCC"/>
    <w:rsid w:val="00F7208E"/>
    <w:rsid w:val="00F728DD"/>
    <w:rsid w:val="00F729FE"/>
    <w:rsid w:val="00F72FEA"/>
    <w:rsid w:val="00F73240"/>
    <w:rsid w:val="00F73B00"/>
    <w:rsid w:val="00F73DB4"/>
    <w:rsid w:val="00F74DC7"/>
    <w:rsid w:val="00F75198"/>
    <w:rsid w:val="00F75DFD"/>
    <w:rsid w:val="00F76991"/>
    <w:rsid w:val="00F76FA2"/>
    <w:rsid w:val="00F809EC"/>
    <w:rsid w:val="00F812FC"/>
    <w:rsid w:val="00F8193E"/>
    <w:rsid w:val="00F81F5B"/>
    <w:rsid w:val="00F82106"/>
    <w:rsid w:val="00F8219D"/>
    <w:rsid w:val="00F824FB"/>
    <w:rsid w:val="00F826C0"/>
    <w:rsid w:val="00F826E6"/>
    <w:rsid w:val="00F83DD5"/>
    <w:rsid w:val="00F83DD6"/>
    <w:rsid w:val="00F842AB"/>
    <w:rsid w:val="00F851FE"/>
    <w:rsid w:val="00F85A3A"/>
    <w:rsid w:val="00F85F0C"/>
    <w:rsid w:val="00F85F32"/>
    <w:rsid w:val="00F8650D"/>
    <w:rsid w:val="00F8684A"/>
    <w:rsid w:val="00F86DB2"/>
    <w:rsid w:val="00F877A6"/>
    <w:rsid w:val="00F877BB"/>
    <w:rsid w:val="00F87DB4"/>
    <w:rsid w:val="00F90EA8"/>
    <w:rsid w:val="00F9185B"/>
    <w:rsid w:val="00F918D3"/>
    <w:rsid w:val="00F919D6"/>
    <w:rsid w:val="00F92180"/>
    <w:rsid w:val="00F924A8"/>
    <w:rsid w:val="00F92A15"/>
    <w:rsid w:val="00F92FAB"/>
    <w:rsid w:val="00F93059"/>
    <w:rsid w:val="00F93285"/>
    <w:rsid w:val="00F933E0"/>
    <w:rsid w:val="00F93DB7"/>
    <w:rsid w:val="00F94A17"/>
    <w:rsid w:val="00F94BE5"/>
    <w:rsid w:val="00F94DE7"/>
    <w:rsid w:val="00F9607D"/>
    <w:rsid w:val="00F9631B"/>
    <w:rsid w:val="00F965EE"/>
    <w:rsid w:val="00F96A2E"/>
    <w:rsid w:val="00F971BD"/>
    <w:rsid w:val="00F976D4"/>
    <w:rsid w:val="00F97DE0"/>
    <w:rsid w:val="00F97F08"/>
    <w:rsid w:val="00FA09F8"/>
    <w:rsid w:val="00FA0E1C"/>
    <w:rsid w:val="00FA1298"/>
    <w:rsid w:val="00FA13A2"/>
    <w:rsid w:val="00FA1B58"/>
    <w:rsid w:val="00FA2CAE"/>
    <w:rsid w:val="00FA2F8D"/>
    <w:rsid w:val="00FA395D"/>
    <w:rsid w:val="00FA42C1"/>
    <w:rsid w:val="00FA48D8"/>
    <w:rsid w:val="00FA56D1"/>
    <w:rsid w:val="00FA59F2"/>
    <w:rsid w:val="00FA5FD4"/>
    <w:rsid w:val="00FA60D6"/>
    <w:rsid w:val="00FA639C"/>
    <w:rsid w:val="00FA78D2"/>
    <w:rsid w:val="00FA7A0A"/>
    <w:rsid w:val="00FA7BF1"/>
    <w:rsid w:val="00FB07D8"/>
    <w:rsid w:val="00FB0E1E"/>
    <w:rsid w:val="00FB100D"/>
    <w:rsid w:val="00FB10FC"/>
    <w:rsid w:val="00FB1BAC"/>
    <w:rsid w:val="00FB1F7F"/>
    <w:rsid w:val="00FB20F5"/>
    <w:rsid w:val="00FB2546"/>
    <w:rsid w:val="00FB4284"/>
    <w:rsid w:val="00FB473B"/>
    <w:rsid w:val="00FB4740"/>
    <w:rsid w:val="00FB5518"/>
    <w:rsid w:val="00FB57BE"/>
    <w:rsid w:val="00FB591D"/>
    <w:rsid w:val="00FB5DA5"/>
    <w:rsid w:val="00FB6102"/>
    <w:rsid w:val="00FB6447"/>
    <w:rsid w:val="00FB6477"/>
    <w:rsid w:val="00FB6512"/>
    <w:rsid w:val="00FB6E18"/>
    <w:rsid w:val="00FB7631"/>
    <w:rsid w:val="00FB76E7"/>
    <w:rsid w:val="00FB77D2"/>
    <w:rsid w:val="00FB7981"/>
    <w:rsid w:val="00FB7BD6"/>
    <w:rsid w:val="00FB7E9E"/>
    <w:rsid w:val="00FC00D7"/>
    <w:rsid w:val="00FC036D"/>
    <w:rsid w:val="00FC1D2F"/>
    <w:rsid w:val="00FC2727"/>
    <w:rsid w:val="00FC444A"/>
    <w:rsid w:val="00FC49E5"/>
    <w:rsid w:val="00FC4C1B"/>
    <w:rsid w:val="00FC5068"/>
    <w:rsid w:val="00FC6672"/>
    <w:rsid w:val="00FC680E"/>
    <w:rsid w:val="00FC6DF2"/>
    <w:rsid w:val="00FC7E7C"/>
    <w:rsid w:val="00FC7F63"/>
    <w:rsid w:val="00FC7F88"/>
    <w:rsid w:val="00FD08BD"/>
    <w:rsid w:val="00FD0ED2"/>
    <w:rsid w:val="00FD12D9"/>
    <w:rsid w:val="00FD12F7"/>
    <w:rsid w:val="00FD12FA"/>
    <w:rsid w:val="00FD1FC1"/>
    <w:rsid w:val="00FD23F3"/>
    <w:rsid w:val="00FD26F6"/>
    <w:rsid w:val="00FD2721"/>
    <w:rsid w:val="00FD2C69"/>
    <w:rsid w:val="00FD31E7"/>
    <w:rsid w:val="00FD3602"/>
    <w:rsid w:val="00FD38BE"/>
    <w:rsid w:val="00FD3D4F"/>
    <w:rsid w:val="00FD4571"/>
    <w:rsid w:val="00FD47B4"/>
    <w:rsid w:val="00FD49A9"/>
    <w:rsid w:val="00FD52F8"/>
    <w:rsid w:val="00FD563B"/>
    <w:rsid w:val="00FD564A"/>
    <w:rsid w:val="00FD5714"/>
    <w:rsid w:val="00FD6203"/>
    <w:rsid w:val="00FD63EB"/>
    <w:rsid w:val="00FD6B75"/>
    <w:rsid w:val="00FD7B2E"/>
    <w:rsid w:val="00FE0490"/>
    <w:rsid w:val="00FE093C"/>
    <w:rsid w:val="00FE0C34"/>
    <w:rsid w:val="00FE0CE8"/>
    <w:rsid w:val="00FE0DD5"/>
    <w:rsid w:val="00FE1200"/>
    <w:rsid w:val="00FE1BA8"/>
    <w:rsid w:val="00FE24BA"/>
    <w:rsid w:val="00FE2BDC"/>
    <w:rsid w:val="00FE3483"/>
    <w:rsid w:val="00FE3F9F"/>
    <w:rsid w:val="00FE42D0"/>
    <w:rsid w:val="00FE4483"/>
    <w:rsid w:val="00FE4836"/>
    <w:rsid w:val="00FE5398"/>
    <w:rsid w:val="00FE555A"/>
    <w:rsid w:val="00FE5C35"/>
    <w:rsid w:val="00FE69CA"/>
    <w:rsid w:val="00FE6BF0"/>
    <w:rsid w:val="00FE71A8"/>
    <w:rsid w:val="00FE7485"/>
    <w:rsid w:val="00FE77E9"/>
    <w:rsid w:val="00FE7B40"/>
    <w:rsid w:val="00FE7C7A"/>
    <w:rsid w:val="00FF031F"/>
    <w:rsid w:val="00FF05AA"/>
    <w:rsid w:val="00FF067D"/>
    <w:rsid w:val="00FF163B"/>
    <w:rsid w:val="00FF2339"/>
    <w:rsid w:val="00FF27B2"/>
    <w:rsid w:val="00FF31D9"/>
    <w:rsid w:val="00FF3257"/>
    <w:rsid w:val="00FF36E2"/>
    <w:rsid w:val="00FF3824"/>
    <w:rsid w:val="00FF3D24"/>
    <w:rsid w:val="00FF415D"/>
    <w:rsid w:val="00FF5103"/>
    <w:rsid w:val="00FF5187"/>
    <w:rsid w:val="00FF535E"/>
    <w:rsid w:val="00FF59F1"/>
    <w:rsid w:val="00FF5C24"/>
    <w:rsid w:val="00FF6169"/>
    <w:rsid w:val="00FF61C1"/>
    <w:rsid w:val="00FF6B4D"/>
    <w:rsid w:val="00FF6D1E"/>
    <w:rsid w:val="00FF703F"/>
    <w:rsid w:val="00FF73DC"/>
    <w:rsid w:val="00FF76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61D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54B"/>
    <w:pPr>
      <w:jc w:val="both"/>
    </w:pPr>
    <w:rPr>
      <w:sz w:val="24"/>
    </w:rPr>
  </w:style>
  <w:style w:type="paragraph" w:styleId="Nadpis1">
    <w:name w:val="heading 1"/>
    <w:basedOn w:val="Normln"/>
    <w:next w:val="Normln"/>
    <w:autoRedefine/>
    <w:qFormat/>
    <w:rsid w:val="000B6C20"/>
    <w:pPr>
      <w:keepNext/>
      <w:numPr>
        <w:numId w:val="27"/>
      </w:numPr>
      <w:tabs>
        <w:tab w:val="left" w:pos="567"/>
      </w:tabs>
      <w:outlineLvl w:val="0"/>
    </w:pPr>
    <w:rPr>
      <w:b/>
      <w:sz w:val="32"/>
      <w:szCs w:val="32"/>
      <w:lang w:eastAsia="en-US"/>
    </w:rPr>
  </w:style>
  <w:style w:type="paragraph" w:styleId="Nadpis2">
    <w:name w:val="heading 2"/>
    <w:basedOn w:val="Normln"/>
    <w:next w:val="Normln"/>
    <w:link w:val="Nadpis2Char"/>
    <w:qFormat/>
    <w:rsid w:val="00063D9C"/>
    <w:pPr>
      <w:keepNext/>
      <w:numPr>
        <w:ilvl w:val="1"/>
        <w:numId w:val="27"/>
      </w:numPr>
      <w:outlineLvl w:val="1"/>
    </w:pPr>
    <w:rPr>
      <w:b/>
      <w:sz w:val="28"/>
      <w:lang w:eastAsia="en-US"/>
    </w:rPr>
  </w:style>
  <w:style w:type="paragraph" w:styleId="Nadpis3">
    <w:name w:val="heading 3"/>
    <w:basedOn w:val="Normln"/>
    <w:next w:val="Normln"/>
    <w:link w:val="Nadpis3Char"/>
    <w:autoRedefine/>
    <w:qFormat/>
    <w:rsid w:val="00B26388"/>
    <w:pPr>
      <w:keepNext/>
      <w:numPr>
        <w:ilvl w:val="2"/>
        <w:numId w:val="27"/>
      </w:numPr>
      <w:outlineLvl w:val="2"/>
    </w:pPr>
    <w:rPr>
      <w:b/>
      <w:szCs w:val="24"/>
      <w:lang w:eastAsia="en-US"/>
    </w:rPr>
  </w:style>
  <w:style w:type="paragraph" w:styleId="Nadpis4">
    <w:name w:val="heading 4"/>
    <w:basedOn w:val="Normln"/>
    <w:next w:val="Normln"/>
    <w:link w:val="Nadpis4Char"/>
    <w:autoRedefine/>
    <w:qFormat/>
    <w:rsid w:val="0031482F"/>
    <w:pPr>
      <w:keepNext/>
      <w:numPr>
        <w:ilvl w:val="3"/>
        <w:numId w:val="27"/>
      </w:numPr>
      <w:ind w:left="862" w:hanging="862"/>
      <w:outlineLvl w:val="3"/>
    </w:pPr>
    <w:rPr>
      <w:b/>
      <w:i/>
      <w:szCs w:val="28"/>
      <w:lang w:eastAsia="en-US"/>
    </w:rPr>
  </w:style>
  <w:style w:type="paragraph" w:styleId="Nadpis5">
    <w:name w:val="heading 5"/>
    <w:basedOn w:val="Normln"/>
    <w:next w:val="Normln"/>
    <w:link w:val="Nadpis5Char"/>
    <w:qFormat/>
    <w:rsid w:val="00586CD9"/>
    <w:pPr>
      <w:keepNext/>
      <w:numPr>
        <w:ilvl w:val="4"/>
        <w:numId w:val="27"/>
      </w:numPr>
      <w:outlineLvl w:val="4"/>
    </w:pPr>
  </w:style>
  <w:style w:type="paragraph" w:styleId="Nadpis6">
    <w:name w:val="heading 6"/>
    <w:basedOn w:val="Normln"/>
    <w:next w:val="Normln"/>
    <w:qFormat/>
    <w:pPr>
      <w:keepNext/>
      <w:numPr>
        <w:ilvl w:val="5"/>
        <w:numId w:val="27"/>
      </w:numPr>
      <w:outlineLvl w:val="5"/>
    </w:pPr>
    <w:rPr>
      <w:b/>
    </w:rPr>
  </w:style>
  <w:style w:type="paragraph" w:styleId="Nadpis7">
    <w:name w:val="heading 7"/>
    <w:basedOn w:val="Normln"/>
    <w:next w:val="Normln"/>
    <w:qFormat/>
    <w:pPr>
      <w:keepNext/>
      <w:numPr>
        <w:ilvl w:val="6"/>
        <w:numId w:val="27"/>
      </w:numPr>
      <w:outlineLvl w:val="6"/>
    </w:pPr>
  </w:style>
  <w:style w:type="paragraph" w:styleId="Nadpis8">
    <w:name w:val="heading 8"/>
    <w:basedOn w:val="Normln"/>
    <w:next w:val="Normln"/>
    <w:qFormat/>
    <w:pPr>
      <w:keepNext/>
      <w:numPr>
        <w:ilvl w:val="7"/>
        <w:numId w:val="27"/>
      </w:numPr>
      <w:outlineLvl w:val="7"/>
    </w:pPr>
    <w:rPr>
      <w:b/>
    </w:rPr>
  </w:style>
  <w:style w:type="paragraph" w:styleId="Nadpis9">
    <w:name w:val="heading 9"/>
    <w:basedOn w:val="Normln"/>
    <w:next w:val="Normln"/>
    <w:qFormat/>
    <w:pPr>
      <w:keepNext/>
      <w:numPr>
        <w:ilvl w:val="8"/>
        <w:numId w:val="27"/>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360"/>
    </w:pPr>
  </w:style>
  <w:style w:type="paragraph" w:styleId="Zkladntextodsazen2">
    <w:name w:val="Body Text Indent 2"/>
    <w:basedOn w:val="Normln"/>
    <w:link w:val="Zkladntextodsazen2Char"/>
    <w:pPr>
      <w:ind w:left="993" w:hanging="993"/>
    </w:pPr>
    <w:rPr>
      <w:b/>
    </w:rPr>
  </w:style>
  <w:style w:type="paragraph" w:styleId="Zkladntextodsazen3">
    <w:name w:val="Body Text Indent 3"/>
    <w:basedOn w:val="Normln"/>
    <w:link w:val="Zkladntextodsazen3Char"/>
    <w:pPr>
      <w:ind w:firstLine="360"/>
    </w:pPr>
    <w:rPr>
      <w:b/>
    </w:rPr>
  </w:style>
  <w:style w:type="paragraph" w:styleId="Zkladntext2">
    <w:name w:val="Body Text 2"/>
    <w:basedOn w:val="Normln"/>
    <w:link w:val="Zkladntext2Char"/>
  </w:style>
  <w:style w:type="paragraph" w:styleId="Zkladntext3">
    <w:name w:val="Body Text 3"/>
    <w:basedOn w:val="Normln"/>
  </w:style>
  <w:style w:type="paragraph" w:styleId="Zkladntext">
    <w:name w:val="Body Text"/>
    <w:basedOn w:val="Normln"/>
    <w:link w:val="ZkladntextChar"/>
    <w:pPr>
      <w:spacing w:after="120"/>
    </w:pPr>
  </w:style>
  <w:style w:type="paragraph" w:customStyle="1" w:styleId="Zkladntext21">
    <w:name w:val="Základní text 21"/>
    <w:basedOn w:val="Normln"/>
  </w:style>
  <w:style w:type="paragraph" w:styleId="Zpat">
    <w:name w:val="footer"/>
    <w:basedOn w:val="Normln"/>
    <w:link w:val="ZpatChar"/>
    <w:uiPriority w:val="99"/>
    <w:pPr>
      <w:tabs>
        <w:tab w:val="center" w:pos="4536"/>
        <w:tab w:val="right" w:pos="9072"/>
      </w:tabs>
    </w:pPr>
  </w:style>
  <w:style w:type="character" w:customStyle="1" w:styleId="Nzevzhlavzprvy">
    <w:name w:val="Název záhlaví zprávy"/>
    <w:rPr>
      <w:b/>
      <w:noProof w:val="0"/>
      <w:sz w:val="18"/>
      <w:lang w:val="cs-CZ"/>
    </w:rPr>
  </w:style>
  <w:style w:type="paragraph" w:customStyle="1" w:styleId="KS1">
    <w:name w:val="KS 1"/>
    <w:basedOn w:val="Nadpis1"/>
    <w:autoRedefine/>
    <w:rsid w:val="00D6141E"/>
    <w:pPr>
      <w:numPr>
        <w:numId w:val="0"/>
      </w:numPr>
      <w:pBdr>
        <w:top w:val="single" w:sz="4" w:space="1" w:color="auto"/>
        <w:left w:val="single" w:sz="4" w:space="4" w:color="auto"/>
        <w:bottom w:val="single" w:sz="4" w:space="1" w:color="auto"/>
        <w:right w:val="single" w:sz="4" w:space="4" w:color="auto"/>
      </w:pBdr>
      <w:ind w:left="432" w:hanging="432"/>
      <w:jc w:val="center"/>
    </w:pPr>
  </w:style>
  <w:style w:type="paragraph" w:styleId="Textpoznpodarou">
    <w:name w:val="footnote text"/>
    <w:aliases w:val="Schriftart: 9 pt,Schriftart: 10 pt,Schriftart: 8 pt"/>
    <w:basedOn w:val="Normln"/>
    <w:link w:val="TextpoznpodarouChar"/>
    <w:uiPriority w:val="99"/>
    <w:rsid w:val="000C0D6D"/>
    <w:rPr>
      <w:sz w:val="18"/>
    </w:rPr>
  </w:style>
  <w:style w:type="character" w:styleId="Znakapoznpodarou">
    <w:name w:val="footnote reference"/>
    <w:uiPriority w:val="99"/>
    <w:rPr>
      <w:vertAlign w:val="superscript"/>
    </w:rPr>
  </w:style>
  <w:style w:type="paragraph" w:styleId="Prosttext">
    <w:name w:val="Plain Text"/>
    <w:basedOn w:val="Normln"/>
    <w:link w:val="ProsttextChar"/>
    <w:rPr>
      <w:rFonts w:ascii="Courier New" w:hAnsi="Courier New"/>
    </w:rPr>
  </w:style>
  <w:style w:type="paragraph" w:customStyle="1" w:styleId="KS2">
    <w:name w:val="KS 2"/>
    <w:basedOn w:val="Nadpis2"/>
    <w:autoRedefine/>
    <w:rsid w:val="006F0591"/>
    <w:pPr>
      <w:spacing w:before="360" w:after="120"/>
      <w:ind w:left="426" w:hanging="426"/>
    </w:pPr>
    <w:rPr>
      <w:szCs w:val="28"/>
    </w:rPr>
  </w:style>
  <w:style w:type="paragraph" w:customStyle="1" w:styleId="KS3">
    <w:name w:val="KS 3"/>
    <w:basedOn w:val="Nadpis3"/>
    <w:autoRedefine/>
    <w:rsid w:val="00405E06"/>
    <w:pPr>
      <w:tabs>
        <w:tab w:val="left" w:pos="709"/>
        <w:tab w:val="left" w:pos="1134"/>
      </w:tabs>
      <w:ind w:left="709" w:hanging="709"/>
      <w:outlineLvl w:val="9"/>
    </w:pPr>
  </w:style>
  <w:style w:type="paragraph" w:customStyle="1" w:styleId="KS4">
    <w:name w:val="KS 4"/>
    <w:basedOn w:val="Nadpis4"/>
    <w:autoRedefine/>
    <w:rsid w:val="00401DAD"/>
    <w:pPr>
      <w:numPr>
        <w:ilvl w:val="0"/>
        <w:numId w:val="0"/>
      </w:numPr>
      <w:tabs>
        <w:tab w:val="left" w:pos="1276"/>
      </w:tabs>
      <w:jc w:val="left"/>
      <w:outlineLvl w:val="9"/>
    </w:pPr>
    <w:rPr>
      <w:b w:val="0"/>
    </w:rPr>
  </w:style>
  <w:style w:type="character" w:styleId="slostrnky">
    <w:name w:val="page number"/>
    <w:basedOn w:val="Standardnpsmoodstavce"/>
  </w:style>
  <w:style w:type="paragraph" w:styleId="Obsah1">
    <w:name w:val="toc 1"/>
    <w:basedOn w:val="Nadpis1"/>
    <w:next w:val="Normln"/>
    <w:autoRedefine/>
    <w:uiPriority w:val="39"/>
    <w:qFormat/>
    <w:rsid w:val="00CE1F18"/>
    <w:pPr>
      <w:keepNext w:val="0"/>
      <w:numPr>
        <w:numId w:val="0"/>
      </w:numPr>
      <w:tabs>
        <w:tab w:val="right" w:pos="9072"/>
      </w:tabs>
      <w:spacing w:before="120"/>
      <w:ind w:left="567" w:right="-2" w:hanging="737"/>
      <w:outlineLvl w:val="9"/>
    </w:pPr>
    <w:rPr>
      <w:bCs/>
      <w:caps/>
      <w:sz w:val="24"/>
      <w:szCs w:val="24"/>
      <w:lang w:eastAsia="cs-CZ"/>
    </w:rPr>
  </w:style>
  <w:style w:type="paragraph" w:styleId="Obsah2">
    <w:name w:val="toc 2"/>
    <w:basedOn w:val="KS2"/>
    <w:next w:val="Normln"/>
    <w:autoRedefine/>
    <w:uiPriority w:val="39"/>
    <w:qFormat/>
    <w:rsid w:val="00CE1F18"/>
    <w:pPr>
      <w:keepNext w:val="0"/>
      <w:numPr>
        <w:ilvl w:val="0"/>
        <w:numId w:val="0"/>
      </w:numPr>
      <w:tabs>
        <w:tab w:val="left" w:pos="1417"/>
        <w:tab w:val="right" w:pos="9072"/>
      </w:tabs>
      <w:spacing w:before="0" w:after="0"/>
      <w:ind w:left="1418" w:right="-2" w:hanging="1418"/>
      <w:outlineLvl w:val="9"/>
    </w:pPr>
    <w:rPr>
      <w:bCs/>
      <w:sz w:val="22"/>
      <w:szCs w:val="20"/>
      <w:lang w:eastAsia="cs-CZ"/>
    </w:rPr>
  </w:style>
  <w:style w:type="paragraph" w:styleId="Obsah3">
    <w:name w:val="toc 3"/>
    <w:basedOn w:val="KS3"/>
    <w:next w:val="Normln"/>
    <w:autoRedefine/>
    <w:uiPriority w:val="39"/>
    <w:qFormat/>
    <w:rsid w:val="00737E82"/>
    <w:pPr>
      <w:keepNext w:val="0"/>
      <w:numPr>
        <w:ilvl w:val="0"/>
        <w:numId w:val="0"/>
      </w:numPr>
      <w:tabs>
        <w:tab w:val="clear" w:pos="709"/>
        <w:tab w:val="clear" w:pos="1134"/>
        <w:tab w:val="left" w:pos="1418"/>
        <w:tab w:val="right" w:pos="9062"/>
      </w:tabs>
      <w:ind w:left="1417" w:hanging="1219"/>
      <w:jc w:val="left"/>
    </w:pPr>
    <w:rPr>
      <w:sz w:val="20"/>
      <w:szCs w:val="20"/>
      <w:lang w:eastAsia="cs-CZ"/>
    </w:rPr>
  </w:style>
  <w:style w:type="paragraph" w:styleId="Obsah4">
    <w:name w:val="toc 4"/>
    <w:basedOn w:val="KS4"/>
    <w:next w:val="Normln"/>
    <w:autoRedefine/>
    <w:uiPriority w:val="39"/>
    <w:rsid w:val="00D42341"/>
    <w:pPr>
      <w:keepNext w:val="0"/>
      <w:tabs>
        <w:tab w:val="clear" w:pos="1276"/>
        <w:tab w:val="left" w:pos="1418"/>
        <w:tab w:val="right" w:pos="9062"/>
      </w:tabs>
      <w:ind w:left="1424" w:hanging="1021"/>
    </w:pPr>
    <w:rPr>
      <w:b/>
      <w:sz w:val="20"/>
      <w:szCs w:val="20"/>
      <w:lang w:eastAsia="cs-CZ"/>
    </w:rPr>
  </w:style>
  <w:style w:type="paragraph" w:styleId="Zhlav">
    <w:name w:val="header"/>
    <w:basedOn w:val="Normln"/>
    <w:link w:val="ZhlavChar"/>
    <w:uiPriority w:val="99"/>
    <w:pPr>
      <w:tabs>
        <w:tab w:val="center" w:pos="4536"/>
        <w:tab w:val="right" w:pos="9072"/>
      </w:tabs>
    </w:pPr>
  </w:style>
  <w:style w:type="paragraph" w:customStyle="1" w:styleId="KS5">
    <w:name w:val="KS 5"/>
    <w:basedOn w:val="Nadpis5"/>
    <w:autoRedefine/>
    <w:rsid w:val="000F4FE3"/>
    <w:pPr>
      <w:tabs>
        <w:tab w:val="left" w:pos="284"/>
        <w:tab w:val="left" w:pos="426"/>
        <w:tab w:val="left" w:pos="1276"/>
        <w:tab w:val="left" w:pos="1418"/>
      </w:tabs>
      <w:ind w:left="1134" w:hanging="1134"/>
    </w:pPr>
    <w:rPr>
      <w:b/>
      <w:i/>
      <w:szCs w:val="24"/>
    </w:rPr>
  </w:style>
  <w:style w:type="paragraph" w:customStyle="1" w:styleId="Styl14b">
    <w:name w:val="Styl 14 b."/>
    <w:basedOn w:val="Normln"/>
    <w:next w:val="Normln"/>
    <w:rPr>
      <w:szCs w:val="24"/>
    </w:rPr>
  </w:style>
  <w:style w:type="paragraph" w:styleId="Obsah5">
    <w:name w:val="toc 5"/>
    <w:basedOn w:val="KS5"/>
    <w:next w:val="Normln"/>
    <w:autoRedefine/>
    <w:uiPriority w:val="39"/>
    <w:rsid w:val="00665B72"/>
    <w:pPr>
      <w:keepNext w:val="0"/>
      <w:numPr>
        <w:ilvl w:val="0"/>
        <w:numId w:val="0"/>
      </w:numPr>
      <w:tabs>
        <w:tab w:val="clear" w:pos="284"/>
        <w:tab w:val="clear" w:pos="426"/>
        <w:tab w:val="clear" w:pos="1276"/>
        <w:tab w:val="clear" w:pos="1418"/>
        <w:tab w:val="left" w:pos="1586"/>
        <w:tab w:val="right" w:pos="9062"/>
      </w:tabs>
      <w:ind w:left="1560" w:hanging="960"/>
      <w:jc w:val="left"/>
      <w:outlineLvl w:val="9"/>
    </w:pPr>
    <w:rPr>
      <w:b w:val="0"/>
      <w:sz w:val="20"/>
      <w:szCs w:val="20"/>
    </w:rPr>
  </w:style>
  <w:style w:type="table" w:styleId="Mkatabulky">
    <w:name w:val="Table Grid"/>
    <w:basedOn w:val="Normlntabulka"/>
    <w:uiPriority w:val="39"/>
    <w:rsid w:val="005765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customStyle="1" w:styleId="odr1">
    <w:name w:val="odr1"/>
    <w:basedOn w:val="Normln"/>
    <w:rsid w:val="00167FF7"/>
    <w:pPr>
      <w:numPr>
        <w:numId w:val="2"/>
      </w:numPr>
      <w:spacing w:after="120"/>
    </w:pPr>
    <w:rPr>
      <w:szCs w:val="24"/>
    </w:rPr>
  </w:style>
  <w:style w:type="paragraph" w:styleId="Normlnweb">
    <w:name w:val="Normal (Web)"/>
    <w:basedOn w:val="Normln"/>
    <w:uiPriority w:val="99"/>
    <w:rsid w:val="00AC5514"/>
    <w:pPr>
      <w:spacing w:before="100" w:beforeAutospacing="1" w:after="100" w:afterAutospacing="1"/>
    </w:pPr>
    <w:rPr>
      <w:szCs w:val="24"/>
    </w:rPr>
  </w:style>
  <w:style w:type="paragraph" w:styleId="Odstavecseseznamem">
    <w:name w:val="List Paragraph"/>
    <w:aliases w:val="List Paragraph,Odstavec cíl se seznamem,Odstavec se seznamem1,nad 1,Nad,Odstavec_muj,Název grafu"/>
    <w:basedOn w:val="Normln"/>
    <w:link w:val="OdstavecseseznamemChar"/>
    <w:uiPriority w:val="34"/>
    <w:qFormat/>
    <w:rsid w:val="001E7273"/>
    <w:pPr>
      <w:ind w:left="708"/>
    </w:pPr>
  </w:style>
  <w:style w:type="character" w:customStyle="1" w:styleId="ZkladntextodsazenChar">
    <w:name w:val="Základní text odsazený Char"/>
    <w:link w:val="Zkladntextodsazen"/>
    <w:rsid w:val="00536E0E"/>
    <w:rPr>
      <w:sz w:val="24"/>
    </w:rPr>
  </w:style>
  <w:style w:type="character" w:customStyle="1" w:styleId="Zkladntext2Char">
    <w:name w:val="Základní text 2 Char"/>
    <w:link w:val="Zkladntext2"/>
    <w:rsid w:val="00536E0E"/>
    <w:rPr>
      <w:sz w:val="24"/>
    </w:rPr>
  </w:style>
  <w:style w:type="character" w:customStyle="1" w:styleId="ZkladntextChar">
    <w:name w:val="Základní text Char"/>
    <w:basedOn w:val="Standardnpsmoodstavce"/>
    <w:link w:val="Zkladntext"/>
    <w:rsid w:val="00536E0E"/>
  </w:style>
  <w:style w:type="character" w:customStyle="1" w:styleId="Zkladntextodsazen2Char">
    <w:name w:val="Základní text odsazený 2 Char"/>
    <w:link w:val="Zkladntextodsazen2"/>
    <w:uiPriority w:val="99"/>
    <w:rsid w:val="0093730E"/>
    <w:rPr>
      <w:b/>
      <w:sz w:val="24"/>
    </w:rPr>
  </w:style>
  <w:style w:type="character" w:customStyle="1" w:styleId="ProsttextChar">
    <w:name w:val="Prostý text Char"/>
    <w:link w:val="Prosttext"/>
    <w:rsid w:val="00052A61"/>
    <w:rPr>
      <w:rFonts w:ascii="Courier New" w:hAnsi="Courier New"/>
    </w:rPr>
  </w:style>
  <w:style w:type="paragraph" w:customStyle="1" w:styleId="Text">
    <w:name w:val="Text"/>
    <w:basedOn w:val="Normln"/>
    <w:link w:val="TextChar"/>
    <w:autoRedefine/>
    <w:qFormat/>
    <w:rsid w:val="0018274C"/>
    <w:pPr>
      <w:tabs>
        <w:tab w:val="left" w:pos="284"/>
        <w:tab w:val="left" w:pos="426"/>
        <w:tab w:val="left" w:pos="1276"/>
        <w:tab w:val="right" w:pos="9072"/>
      </w:tabs>
      <w:spacing w:before="60" w:after="60"/>
      <w:ind w:firstLine="567"/>
    </w:pPr>
    <w:rPr>
      <w:rFonts w:cs="Calibri"/>
      <w:szCs w:val="24"/>
    </w:rPr>
  </w:style>
  <w:style w:type="character" w:customStyle="1" w:styleId="ZpatChar">
    <w:name w:val="Zápatí Char"/>
    <w:link w:val="Zpat"/>
    <w:uiPriority w:val="99"/>
    <w:rsid w:val="008D4AA9"/>
    <w:rPr>
      <w:sz w:val="24"/>
    </w:rPr>
  </w:style>
  <w:style w:type="character" w:customStyle="1" w:styleId="TextpoznpodarouChar">
    <w:name w:val="Text pozn. pod čarou Char"/>
    <w:aliases w:val="Schriftart: 9 pt Char,Schriftart: 10 pt Char,Schriftart: 8 pt Char"/>
    <w:link w:val="Textpoznpodarou"/>
    <w:uiPriority w:val="99"/>
    <w:rsid w:val="000C0D6D"/>
    <w:rPr>
      <w:sz w:val="18"/>
    </w:rPr>
  </w:style>
  <w:style w:type="paragraph" w:styleId="Textkomente">
    <w:name w:val="annotation text"/>
    <w:basedOn w:val="Normln"/>
    <w:link w:val="TextkomenteChar"/>
    <w:uiPriority w:val="99"/>
    <w:semiHidden/>
    <w:unhideWhenUsed/>
    <w:rsid w:val="00AE6D03"/>
  </w:style>
  <w:style w:type="character" w:customStyle="1" w:styleId="TextkomenteChar">
    <w:name w:val="Text komentáře Char"/>
    <w:basedOn w:val="Standardnpsmoodstavce"/>
    <w:link w:val="Textkomente"/>
    <w:uiPriority w:val="99"/>
    <w:semiHidden/>
    <w:rsid w:val="00AE6D03"/>
  </w:style>
  <w:style w:type="character" w:styleId="Odkaznakoment">
    <w:name w:val="annotation reference"/>
    <w:uiPriority w:val="99"/>
    <w:semiHidden/>
    <w:unhideWhenUsed/>
    <w:rsid w:val="00894905"/>
    <w:rPr>
      <w:sz w:val="16"/>
      <w:szCs w:val="16"/>
    </w:rPr>
  </w:style>
  <w:style w:type="paragraph" w:styleId="Pedmtkomente">
    <w:name w:val="annotation subject"/>
    <w:basedOn w:val="Textkomente"/>
    <w:next w:val="Textkomente"/>
    <w:link w:val="PedmtkomenteChar"/>
    <w:uiPriority w:val="99"/>
    <w:semiHidden/>
    <w:unhideWhenUsed/>
    <w:rsid w:val="00D82D1F"/>
    <w:rPr>
      <w:b/>
      <w:bCs/>
    </w:rPr>
  </w:style>
  <w:style w:type="character" w:customStyle="1" w:styleId="PedmtkomenteChar">
    <w:name w:val="Předmět komentáře Char"/>
    <w:link w:val="Pedmtkomente"/>
    <w:uiPriority w:val="99"/>
    <w:semiHidden/>
    <w:rsid w:val="00D82D1F"/>
    <w:rPr>
      <w:b/>
      <w:bCs/>
    </w:rPr>
  </w:style>
  <w:style w:type="paragraph" w:styleId="Nadpisobsahu">
    <w:name w:val="TOC Heading"/>
    <w:basedOn w:val="Nadpis1"/>
    <w:next w:val="Normln"/>
    <w:uiPriority w:val="39"/>
    <w:semiHidden/>
    <w:unhideWhenUsed/>
    <w:qFormat/>
    <w:rsid w:val="00EE4A39"/>
    <w:pPr>
      <w:keepLines/>
      <w:numPr>
        <w:numId w:val="0"/>
      </w:numPr>
      <w:spacing w:before="480" w:line="276" w:lineRule="auto"/>
      <w:outlineLvl w:val="9"/>
    </w:pPr>
    <w:rPr>
      <w:rFonts w:ascii="Cambria" w:hAnsi="Cambria"/>
      <w:bCs/>
      <w:color w:val="365F91"/>
      <w:sz w:val="28"/>
      <w:szCs w:val="28"/>
      <w:lang w:eastAsia="cs-CZ"/>
    </w:rPr>
  </w:style>
  <w:style w:type="paragraph" w:styleId="Obsah6">
    <w:name w:val="toc 6"/>
    <w:basedOn w:val="Normln"/>
    <w:next w:val="Normln"/>
    <w:autoRedefine/>
    <w:uiPriority w:val="39"/>
    <w:unhideWhenUsed/>
    <w:rsid w:val="00EE4A39"/>
    <w:pPr>
      <w:ind w:left="800"/>
    </w:pPr>
    <w:rPr>
      <w:rFonts w:ascii="Calibri" w:hAnsi="Calibri"/>
    </w:rPr>
  </w:style>
  <w:style w:type="paragraph" w:styleId="Obsah7">
    <w:name w:val="toc 7"/>
    <w:basedOn w:val="Normln"/>
    <w:next w:val="Normln"/>
    <w:autoRedefine/>
    <w:uiPriority w:val="39"/>
    <w:unhideWhenUsed/>
    <w:rsid w:val="00EE4A39"/>
    <w:pPr>
      <w:ind w:left="1000"/>
    </w:pPr>
    <w:rPr>
      <w:rFonts w:ascii="Calibri" w:hAnsi="Calibri"/>
    </w:rPr>
  </w:style>
  <w:style w:type="paragraph" w:styleId="Obsah8">
    <w:name w:val="toc 8"/>
    <w:basedOn w:val="Normln"/>
    <w:next w:val="Normln"/>
    <w:autoRedefine/>
    <w:uiPriority w:val="39"/>
    <w:unhideWhenUsed/>
    <w:rsid w:val="00EE4A39"/>
    <w:pPr>
      <w:ind w:left="1200"/>
    </w:pPr>
    <w:rPr>
      <w:rFonts w:ascii="Calibri" w:hAnsi="Calibri"/>
    </w:rPr>
  </w:style>
  <w:style w:type="paragraph" w:styleId="Obsah9">
    <w:name w:val="toc 9"/>
    <w:basedOn w:val="Normln"/>
    <w:next w:val="Normln"/>
    <w:autoRedefine/>
    <w:uiPriority w:val="39"/>
    <w:unhideWhenUsed/>
    <w:rsid w:val="00EE4A39"/>
    <w:pPr>
      <w:ind w:left="1400"/>
    </w:pPr>
    <w:rPr>
      <w:rFonts w:ascii="Calibri" w:hAnsi="Calibri"/>
    </w:rPr>
  </w:style>
  <w:style w:type="paragraph" w:styleId="Titulek">
    <w:name w:val="caption"/>
    <w:basedOn w:val="Normln"/>
    <w:next w:val="Normln"/>
    <w:uiPriority w:val="35"/>
    <w:unhideWhenUsed/>
    <w:qFormat/>
    <w:rsid w:val="008D546B"/>
    <w:rPr>
      <w:b/>
      <w:bCs/>
    </w:rPr>
  </w:style>
  <w:style w:type="paragraph" w:styleId="Seznamobrzk">
    <w:name w:val="table of figures"/>
    <w:basedOn w:val="Normln"/>
    <w:next w:val="Normln"/>
    <w:uiPriority w:val="99"/>
    <w:unhideWhenUsed/>
    <w:rsid w:val="00B7114B"/>
  </w:style>
  <w:style w:type="character" w:customStyle="1" w:styleId="h1a1">
    <w:name w:val="h1a1"/>
    <w:rsid w:val="00BB1751"/>
  </w:style>
  <w:style w:type="character" w:customStyle="1" w:styleId="ZhlavChar">
    <w:name w:val="Záhlaví Char"/>
    <w:link w:val="Zhlav"/>
    <w:uiPriority w:val="99"/>
    <w:rsid w:val="00B30DC9"/>
  </w:style>
  <w:style w:type="paragraph" w:styleId="Bezmezer">
    <w:name w:val="No Spacing"/>
    <w:uiPriority w:val="1"/>
    <w:qFormat/>
    <w:rsid w:val="000564AC"/>
    <w:rPr>
      <w:rFonts w:ascii="Calibri" w:eastAsia="Calibri" w:hAnsi="Calibri"/>
      <w:sz w:val="22"/>
      <w:szCs w:val="22"/>
      <w:lang w:eastAsia="en-US"/>
    </w:rPr>
  </w:style>
  <w:style w:type="character" w:customStyle="1" w:styleId="Nadpis2Char">
    <w:name w:val="Nadpis 2 Char"/>
    <w:link w:val="Nadpis2"/>
    <w:rsid w:val="00B137ED"/>
    <w:rPr>
      <w:b/>
      <w:sz w:val="28"/>
      <w:lang w:eastAsia="en-US"/>
    </w:rPr>
  </w:style>
  <w:style w:type="paragraph" w:customStyle="1" w:styleId="NormlnTEXT">
    <w:name w:val="Normální TEXT"/>
    <w:basedOn w:val="Normln"/>
    <w:link w:val="NormlnTEXTChar"/>
    <w:rsid w:val="00B137ED"/>
    <w:pPr>
      <w:spacing w:after="120"/>
    </w:pPr>
    <w:rPr>
      <w:lang w:val="x-none" w:eastAsia="x-none"/>
    </w:rPr>
  </w:style>
  <w:style w:type="character" w:customStyle="1" w:styleId="NormlnTEXTChar">
    <w:name w:val="Normální TEXT Char"/>
    <w:link w:val="NormlnTEXT"/>
    <w:rsid w:val="00B137ED"/>
    <w:rPr>
      <w:sz w:val="24"/>
      <w:lang w:val="x-none" w:eastAsia="x-none"/>
    </w:rPr>
  </w:style>
  <w:style w:type="paragraph" w:customStyle="1" w:styleId="PoznmkapodarouCharChar">
    <w:name w:val="Poznámka pod čarou Char Char"/>
    <w:basedOn w:val="Textpoznpodarou"/>
    <w:link w:val="PoznmkapodarouCharCharChar"/>
    <w:autoRedefine/>
    <w:qFormat/>
    <w:rsid w:val="00053D22"/>
    <w:pPr>
      <w:keepNext/>
    </w:pPr>
    <w:rPr>
      <w:color w:val="000000"/>
      <w:lang w:val="x-none" w:eastAsia="x-none"/>
    </w:rPr>
  </w:style>
  <w:style w:type="character" w:customStyle="1" w:styleId="PoznmkapodarouCharCharChar">
    <w:name w:val="Poznámka pod čarou Char Char Char"/>
    <w:link w:val="PoznmkapodarouCharChar"/>
    <w:rsid w:val="00053D22"/>
    <w:rPr>
      <w:color w:val="000000"/>
      <w:sz w:val="18"/>
      <w:lang w:val="x-none" w:eastAsia="x-none"/>
    </w:rPr>
  </w:style>
  <w:style w:type="paragraph" w:customStyle="1" w:styleId="poznmkypodarou">
    <w:name w:val="poznámky pod čarou"/>
    <w:basedOn w:val="Textpoznpodarou"/>
    <w:link w:val="poznmkypodarouChar"/>
    <w:autoRedefine/>
    <w:qFormat/>
    <w:rsid w:val="007D2AEB"/>
  </w:style>
  <w:style w:type="character" w:customStyle="1" w:styleId="poznmkypodarouChar">
    <w:name w:val="poznámky pod čarou Char"/>
    <w:link w:val="poznmkypodarou"/>
    <w:rsid w:val="007D2AEB"/>
    <w:rPr>
      <w:sz w:val="18"/>
    </w:rPr>
  </w:style>
  <w:style w:type="paragraph" w:styleId="Nzev">
    <w:name w:val="Title"/>
    <w:basedOn w:val="Normln"/>
    <w:link w:val="NzevChar"/>
    <w:qFormat/>
    <w:rsid w:val="00595D9A"/>
    <w:pPr>
      <w:jc w:val="center"/>
    </w:pPr>
    <w:rPr>
      <w:b/>
      <w:sz w:val="32"/>
    </w:rPr>
  </w:style>
  <w:style w:type="character" w:customStyle="1" w:styleId="NzevChar">
    <w:name w:val="Název Char"/>
    <w:link w:val="Nzev"/>
    <w:rsid w:val="00595D9A"/>
    <w:rPr>
      <w:b/>
      <w:sz w:val="32"/>
    </w:rPr>
  </w:style>
  <w:style w:type="paragraph" w:styleId="Podtitul">
    <w:name w:val="Subtitle"/>
    <w:basedOn w:val="Normln"/>
    <w:link w:val="PodtitulChar"/>
    <w:qFormat/>
    <w:rsid w:val="00595D9A"/>
    <w:pPr>
      <w:jc w:val="center"/>
    </w:pPr>
    <w:rPr>
      <w:b/>
      <w:sz w:val="32"/>
    </w:rPr>
  </w:style>
  <w:style w:type="character" w:customStyle="1" w:styleId="PodtitulChar">
    <w:name w:val="Podtitul Char"/>
    <w:link w:val="Podtitul"/>
    <w:rsid w:val="00595D9A"/>
    <w:rPr>
      <w:b/>
      <w:sz w:val="32"/>
    </w:rPr>
  </w:style>
  <w:style w:type="paragraph" w:customStyle="1" w:styleId="Textpsmene">
    <w:name w:val="Text písmene"/>
    <w:basedOn w:val="Normln"/>
    <w:rsid w:val="00AD4096"/>
    <w:pPr>
      <w:numPr>
        <w:numId w:val="31"/>
      </w:numPr>
      <w:jc w:val="left"/>
    </w:pPr>
  </w:style>
  <w:style w:type="paragraph" w:customStyle="1" w:styleId="Zkladntext211">
    <w:name w:val="Základní text 211"/>
    <w:basedOn w:val="Normln"/>
    <w:rsid w:val="006843D5"/>
  </w:style>
  <w:style w:type="character" w:styleId="Zvraznn">
    <w:name w:val="Emphasis"/>
    <w:uiPriority w:val="20"/>
    <w:qFormat/>
    <w:rsid w:val="007F2318"/>
    <w:rPr>
      <w:i/>
      <w:iCs/>
    </w:rPr>
  </w:style>
  <w:style w:type="character" w:styleId="Siln">
    <w:name w:val="Strong"/>
    <w:uiPriority w:val="22"/>
    <w:qFormat/>
    <w:rsid w:val="002D05B0"/>
    <w:rPr>
      <w:b/>
      <w:bCs/>
    </w:rPr>
  </w:style>
  <w:style w:type="paragraph" w:customStyle="1" w:styleId="RPaDP">
    <w:name w:val="RP a DP"/>
    <w:basedOn w:val="Text"/>
    <w:link w:val="RPaDPChar"/>
    <w:qFormat/>
    <w:rsid w:val="00662CAE"/>
  </w:style>
  <w:style w:type="paragraph" w:styleId="Citt">
    <w:name w:val="Quote"/>
    <w:basedOn w:val="Normln"/>
    <w:next w:val="Normln"/>
    <w:link w:val="CittChar"/>
    <w:uiPriority w:val="29"/>
    <w:qFormat/>
    <w:rsid w:val="004061D9"/>
    <w:rPr>
      <w:i/>
      <w:iCs/>
      <w:color w:val="000000"/>
    </w:rPr>
  </w:style>
  <w:style w:type="character" w:customStyle="1" w:styleId="TextChar">
    <w:name w:val="Text Char"/>
    <w:link w:val="Text"/>
    <w:rsid w:val="0018274C"/>
    <w:rPr>
      <w:rFonts w:cs="Calibri"/>
      <w:sz w:val="24"/>
      <w:szCs w:val="24"/>
    </w:rPr>
  </w:style>
  <w:style w:type="character" w:customStyle="1" w:styleId="RPaDPChar">
    <w:name w:val="RP a DP Char"/>
    <w:basedOn w:val="TextChar"/>
    <w:link w:val="RPaDP"/>
    <w:rsid w:val="00662CAE"/>
    <w:rPr>
      <w:rFonts w:cs="Calibri"/>
      <w:sz w:val="24"/>
      <w:szCs w:val="24"/>
    </w:rPr>
  </w:style>
  <w:style w:type="character" w:customStyle="1" w:styleId="CittChar">
    <w:name w:val="Citát Char"/>
    <w:link w:val="Citt"/>
    <w:uiPriority w:val="29"/>
    <w:rsid w:val="004061D9"/>
    <w:rPr>
      <w:i/>
      <w:iCs/>
      <w:color w:val="000000"/>
      <w:sz w:val="24"/>
    </w:rPr>
  </w:style>
  <w:style w:type="character" w:styleId="Zdraznnintenzivn">
    <w:name w:val="Intense Emphasis"/>
    <w:uiPriority w:val="21"/>
    <w:qFormat/>
    <w:rsid w:val="003328A6"/>
    <w:rPr>
      <w:b/>
      <w:bCs/>
      <w:i/>
      <w:iCs/>
      <w:color w:val="4F81BD"/>
    </w:rPr>
  </w:style>
  <w:style w:type="paragraph" w:styleId="Textvysvtlivek">
    <w:name w:val="endnote text"/>
    <w:basedOn w:val="Normln"/>
    <w:link w:val="TextvysvtlivekChar"/>
    <w:uiPriority w:val="99"/>
    <w:semiHidden/>
    <w:unhideWhenUsed/>
    <w:rsid w:val="00316B9A"/>
    <w:rPr>
      <w:sz w:val="20"/>
    </w:rPr>
  </w:style>
  <w:style w:type="character" w:customStyle="1" w:styleId="TextvysvtlivekChar">
    <w:name w:val="Text vysvětlivek Char"/>
    <w:basedOn w:val="Standardnpsmoodstavce"/>
    <w:link w:val="Textvysvtlivek"/>
    <w:uiPriority w:val="99"/>
    <w:semiHidden/>
    <w:rsid w:val="00316B9A"/>
  </w:style>
  <w:style w:type="character" w:styleId="Odkaznavysvtlivky">
    <w:name w:val="endnote reference"/>
    <w:uiPriority w:val="99"/>
    <w:semiHidden/>
    <w:unhideWhenUsed/>
    <w:rsid w:val="00316B9A"/>
    <w:rPr>
      <w:vertAlign w:val="superscript"/>
    </w:rPr>
  </w:style>
  <w:style w:type="paragraph" w:customStyle="1" w:styleId="NadpisRPaDP">
    <w:name w:val="Nadpis RP a DP"/>
    <w:basedOn w:val="RPaDP"/>
    <w:link w:val="NadpisRPaDPChar"/>
    <w:qFormat/>
    <w:rsid w:val="002A37ED"/>
    <w:pPr>
      <w:spacing w:before="120"/>
    </w:pPr>
    <w:rPr>
      <w:i/>
    </w:rPr>
  </w:style>
  <w:style w:type="paragraph" w:customStyle="1" w:styleId="Zkladntext22">
    <w:name w:val="Základní text 22"/>
    <w:basedOn w:val="Normln"/>
    <w:rsid w:val="00604098"/>
    <w:pPr>
      <w:jc w:val="left"/>
    </w:pPr>
  </w:style>
  <w:style w:type="character" w:customStyle="1" w:styleId="NadpisRPaDPChar">
    <w:name w:val="Nadpis RP a DP Char"/>
    <w:link w:val="NadpisRPaDP"/>
    <w:rsid w:val="002A37ED"/>
    <w:rPr>
      <w:rFonts w:cs="Calibri"/>
      <w:i/>
      <w:sz w:val="24"/>
      <w:szCs w:val="24"/>
    </w:rPr>
  </w:style>
  <w:style w:type="paragraph" w:customStyle="1" w:styleId="nadpisRPaDP0">
    <w:name w:val="nadpis RP a DP"/>
    <w:basedOn w:val="RPaDP"/>
    <w:link w:val="nadpisRPaDPChar0"/>
    <w:rsid w:val="002A37ED"/>
    <w:pPr>
      <w:tabs>
        <w:tab w:val="clear" w:pos="1276"/>
        <w:tab w:val="left" w:pos="1134"/>
      </w:tabs>
      <w:spacing w:before="120"/>
    </w:pPr>
    <w:rPr>
      <w:i/>
    </w:rPr>
  </w:style>
  <w:style w:type="paragraph" w:customStyle="1" w:styleId="nadpis1proRPaDP">
    <w:name w:val="nadpis 1 pro RP a DP"/>
    <w:basedOn w:val="RPaDP"/>
    <w:link w:val="nadpis1proRPaDPChar"/>
    <w:qFormat/>
    <w:rsid w:val="00F55946"/>
    <w:rPr>
      <w:b/>
    </w:rPr>
  </w:style>
  <w:style w:type="character" w:customStyle="1" w:styleId="nadpisRPaDPChar0">
    <w:name w:val="nadpis RP a DP Char"/>
    <w:link w:val="nadpisRPaDP0"/>
    <w:rsid w:val="002A37ED"/>
    <w:rPr>
      <w:rFonts w:cs="Calibri"/>
      <w:i/>
      <w:sz w:val="24"/>
      <w:szCs w:val="24"/>
    </w:rPr>
  </w:style>
  <w:style w:type="character" w:styleId="Zdraznnjemn">
    <w:name w:val="Subtle Emphasis"/>
    <w:uiPriority w:val="19"/>
    <w:qFormat/>
    <w:rsid w:val="0050116E"/>
    <w:rPr>
      <w:i/>
      <w:iCs/>
      <w:color w:val="808080"/>
    </w:rPr>
  </w:style>
  <w:style w:type="character" w:customStyle="1" w:styleId="nadpis1proRPaDPChar">
    <w:name w:val="nadpis 1 pro RP a DP Char"/>
    <w:link w:val="nadpis1proRPaDP"/>
    <w:rsid w:val="00F55946"/>
    <w:rPr>
      <w:rFonts w:cs="Calibri"/>
      <w:b/>
      <w:sz w:val="24"/>
      <w:szCs w:val="24"/>
    </w:rPr>
  </w:style>
  <w:style w:type="character" w:customStyle="1" w:styleId="h1a2">
    <w:name w:val="h1a2"/>
    <w:rsid w:val="00686BE8"/>
    <w:rPr>
      <w:vanish w:val="0"/>
      <w:webHidden w:val="0"/>
      <w:sz w:val="24"/>
      <w:szCs w:val="24"/>
      <w:specVanish w:val="0"/>
    </w:rPr>
  </w:style>
  <w:style w:type="character" w:customStyle="1" w:styleId="Zkladntextodsazen3Char">
    <w:name w:val="Základní text odsazený 3 Char"/>
    <w:link w:val="Zkladntextodsazen3"/>
    <w:rsid w:val="00F7208E"/>
    <w:rPr>
      <w:b/>
      <w:sz w:val="24"/>
    </w:rPr>
  </w:style>
  <w:style w:type="paragraph" w:customStyle="1" w:styleId="Standard">
    <w:name w:val="Standard"/>
    <w:rsid w:val="006B0275"/>
    <w:pPr>
      <w:suppressAutoHyphens/>
      <w:autoSpaceDN w:val="0"/>
      <w:textAlignment w:val="baseline"/>
    </w:pPr>
    <w:rPr>
      <w:kern w:val="3"/>
      <w:sz w:val="24"/>
      <w:szCs w:val="24"/>
      <w:lang w:eastAsia="zh-CN"/>
    </w:rPr>
  </w:style>
  <w:style w:type="paragraph" w:customStyle="1" w:styleId="Default">
    <w:name w:val="Default"/>
    <w:rsid w:val="009318A0"/>
    <w:pPr>
      <w:autoSpaceDE w:val="0"/>
      <w:autoSpaceDN w:val="0"/>
      <w:adjustRightInd w:val="0"/>
    </w:pPr>
    <w:rPr>
      <w:rFonts w:ascii="Arial" w:eastAsia="Calibri" w:hAnsi="Arial" w:cs="Arial"/>
      <w:color w:val="000000"/>
      <w:sz w:val="24"/>
      <w:szCs w:val="24"/>
      <w:lang w:eastAsia="en-US"/>
    </w:rPr>
  </w:style>
  <w:style w:type="paragraph" w:styleId="Seznamsodrkami">
    <w:name w:val="List Bullet"/>
    <w:basedOn w:val="Normln"/>
    <w:uiPriority w:val="99"/>
    <w:unhideWhenUsed/>
    <w:rsid w:val="00E95E76"/>
    <w:pPr>
      <w:numPr>
        <w:numId w:val="53"/>
      </w:numPr>
      <w:contextualSpacing/>
    </w:pPr>
  </w:style>
  <w:style w:type="character" w:styleId="Sledovanodkaz">
    <w:name w:val="FollowedHyperlink"/>
    <w:basedOn w:val="Standardnpsmoodstavce"/>
    <w:uiPriority w:val="99"/>
    <w:semiHidden/>
    <w:unhideWhenUsed/>
    <w:rsid w:val="0078000B"/>
    <w:rPr>
      <w:color w:val="800080" w:themeColor="followedHyperlink"/>
      <w:u w:val="single"/>
    </w:rPr>
  </w:style>
  <w:style w:type="numbering" w:customStyle="1" w:styleId="Styl3">
    <w:name w:val="Styl3"/>
    <w:rsid w:val="008678CF"/>
    <w:pPr>
      <w:numPr>
        <w:numId w:val="54"/>
      </w:numPr>
    </w:pPr>
  </w:style>
  <w:style w:type="character" w:customStyle="1" w:styleId="Nadpis5Char">
    <w:name w:val="Nadpis 5 Char"/>
    <w:basedOn w:val="Standardnpsmoodstavce"/>
    <w:link w:val="Nadpis5"/>
    <w:rsid w:val="008678CF"/>
    <w:rPr>
      <w:sz w:val="24"/>
    </w:rPr>
  </w:style>
  <w:style w:type="character" w:customStyle="1" w:styleId="Nadpis3Char">
    <w:name w:val="Nadpis 3 Char"/>
    <w:basedOn w:val="Standardnpsmoodstavce"/>
    <w:link w:val="Nadpis3"/>
    <w:rsid w:val="00B26388"/>
    <w:rPr>
      <w:b/>
      <w:sz w:val="24"/>
      <w:szCs w:val="24"/>
      <w:lang w:eastAsia="en-US"/>
    </w:rPr>
  </w:style>
  <w:style w:type="character" w:customStyle="1" w:styleId="Nadpis4Char">
    <w:name w:val="Nadpis 4 Char"/>
    <w:basedOn w:val="Standardnpsmoodstavce"/>
    <w:link w:val="Nadpis4"/>
    <w:rsid w:val="0031482F"/>
    <w:rPr>
      <w:b/>
      <w:i/>
      <w:sz w:val="24"/>
      <w:szCs w:val="28"/>
      <w:lang w:eastAsia="en-US"/>
    </w:rPr>
  </w:style>
  <w:style w:type="character" w:customStyle="1" w:styleId="OdstavecseseznamemChar">
    <w:name w:val="Odstavec se seznamem Char"/>
    <w:aliases w:val="List Paragraph Char,Odstavec cíl se seznamem Char,Odstavec se seznamem1 Char,nad 1 Char,Nad Char,Odstavec_muj Char,Název grafu Char"/>
    <w:link w:val="Odstavecseseznamem"/>
    <w:uiPriority w:val="34"/>
    <w:rsid w:val="0070585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654B"/>
    <w:pPr>
      <w:jc w:val="both"/>
    </w:pPr>
    <w:rPr>
      <w:sz w:val="24"/>
    </w:rPr>
  </w:style>
  <w:style w:type="paragraph" w:styleId="Nadpis1">
    <w:name w:val="heading 1"/>
    <w:basedOn w:val="Normln"/>
    <w:next w:val="Normln"/>
    <w:autoRedefine/>
    <w:qFormat/>
    <w:rsid w:val="000B6C20"/>
    <w:pPr>
      <w:keepNext/>
      <w:numPr>
        <w:numId w:val="27"/>
      </w:numPr>
      <w:tabs>
        <w:tab w:val="left" w:pos="567"/>
      </w:tabs>
      <w:outlineLvl w:val="0"/>
    </w:pPr>
    <w:rPr>
      <w:b/>
      <w:sz w:val="32"/>
      <w:szCs w:val="32"/>
      <w:lang w:eastAsia="en-US"/>
    </w:rPr>
  </w:style>
  <w:style w:type="paragraph" w:styleId="Nadpis2">
    <w:name w:val="heading 2"/>
    <w:basedOn w:val="Normln"/>
    <w:next w:val="Normln"/>
    <w:link w:val="Nadpis2Char"/>
    <w:qFormat/>
    <w:rsid w:val="00063D9C"/>
    <w:pPr>
      <w:keepNext/>
      <w:numPr>
        <w:ilvl w:val="1"/>
        <w:numId w:val="27"/>
      </w:numPr>
      <w:outlineLvl w:val="1"/>
    </w:pPr>
    <w:rPr>
      <w:b/>
      <w:sz w:val="28"/>
      <w:lang w:eastAsia="en-US"/>
    </w:rPr>
  </w:style>
  <w:style w:type="paragraph" w:styleId="Nadpis3">
    <w:name w:val="heading 3"/>
    <w:basedOn w:val="Normln"/>
    <w:next w:val="Normln"/>
    <w:link w:val="Nadpis3Char"/>
    <w:autoRedefine/>
    <w:qFormat/>
    <w:rsid w:val="00B26388"/>
    <w:pPr>
      <w:keepNext/>
      <w:numPr>
        <w:ilvl w:val="2"/>
        <w:numId w:val="27"/>
      </w:numPr>
      <w:outlineLvl w:val="2"/>
    </w:pPr>
    <w:rPr>
      <w:b/>
      <w:szCs w:val="24"/>
      <w:lang w:eastAsia="en-US"/>
    </w:rPr>
  </w:style>
  <w:style w:type="paragraph" w:styleId="Nadpis4">
    <w:name w:val="heading 4"/>
    <w:basedOn w:val="Normln"/>
    <w:next w:val="Normln"/>
    <w:link w:val="Nadpis4Char"/>
    <w:autoRedefine/>
    <w:qFormat/>
    <w:rsid w:val="0031482F"/>
    <w:pPr>
      <w:keepNext/>
      <w:numPr>
        <w:ilvl w:val="3"/>
        <w:numId w:val="27"/>
      </w:numPr>
      <w:ind w:left="862" w:hanging="862"/>
      <w:outlineLvl w:val="3"/>
    </w:pPr>
    <w:rPr>
      <w:b/>
      <w:i/>
      <w:szCs w:val="28"/>
      <w:lang w:eastAsia="en-US"/>
    </w:rPr>
  </w:style>
  <w:style w:type="paragraph" w:styleId="Nadpis5">
    <w:name w:val="heading 5"/>
    <w:basedOn w:val="Normln"/>
    <w:next w:val="Normln"/>
    <w:link w:val="Nadpis5Char"/>
    <w:qFormat/>
    <w:rsid w:val="00586CD9"/>
    <w:pPr>
      <w:keepNext/>
      <w:numPr>
        <w:ilvl w:val="4"/>
        <w:numId w:val="27"/>
      </w:numPr>
      <w:outlineLvl w:val="4"/>
    </w:pPr>
  </w:style>
  <w:style w:type="paragraph" w:styleId="Nadpis6">
    <w:name w:val="heading 6"/>
    <w:basedOn w:val="Normln"/>
    <w:next w:val="Normln"/>
    <w:qFormat/>
    <w:pPr>
      <w:keepNext/>
      <w:numPr>
        <w:ilvl w:val="5"/>
        <w:numId w:val="27"/>
      </w:numPr>
      <w:outlineLvl w:val="5"/>
    </w:pPr>
    <w:rPr>
      <w:b/>
    </w:rPr>
  </w:style>
  <w:style w:type="paragraph" w:styleId="Nadpis7">
    <w:name w:val="heading 7"/>
    <w:basedOn w:val="Normln"/>
    <w:next w:val="Normln"/>
    <w:qFormat/>
    <w:pPr>
      <w:keepNext/>
      <w:numPr>
        <w:ilvl w:val="6"/>
        <w:numId w:val="27"/>
      </w:numPr>
      <w:outlineLvl w:val="6"/>
    </w:pPr>
  </w:style>
  <w:style w:type="paragraph" w:styleId="Nadpis8">
    <w:name w:val="heading 8"/>
    <w:basedOn w:val="Normln"/>
    <w:next w:val="Normln"/>
    <w:qFormat/>
    <w:pPr>
      <w:keepNext/>
      <w:numPr>
        <w:ilvl w:val="7"/>
        <w:numId w:val="27"/>
      </w:numPr>
      <w:outlineLvl w:val="7"/>
    </w:pPr>
    <w:rPr>
      <w:b/>
    </w:rPr>
  </w:style>
  <w:style w:type="paragraph" w:styleId="Nadpis9">
    <w:name w:val="heading 9"/>
    <w:basedOn w:val="Normln"/>
    <w:next w:val="Normln"/>
    <w:qFormat/>
    <w:pPr>
      <w:keepNext/>
      <w:numPr>
        <w:ilvl w:val="8"/>
        <w:numId w:val="27"/>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ind w:left="360"/>
    </w:pPr>
  </w:style>
  <w:style w:type="paragraph" w:styleId="Zkladntextodsazen2">
    <w:name w:val="Body Text Indent 2"/>
    <w:basedOn w:val="Normln"/>
    <w:link w:val="Zkladntextodsazen2Char"/>
    <w:pPr>
      <w:ind w:left="993" w:hanging="993"/>
    </w:pPr>
    <w:rPr>
      <w:b/>
    </w:rPr>
  </w:style>
  <w:style w:type="paragraph" w:styleId="Zkladntextodsazen3">
    <w:name w:val="Body Text Indent 3"/>
    <w:basedOn w:val="Normln"/>
    <w:link w:val="Zkladntextodsazen3Char"/>
    <w:pPr>
      <w:ind w:firstLine="360"/>
    </w:pPr>
    <w:rPr>
      <w:b/>
    </w:rPr>
  </w:style>
  <w:style w:type="paragraph" w:styleId="Zkladntext2">
    <w:name w:val="Body Text 2"/>
    <w:basedOn w:val="Normln"/>
    <w:link w:val="Zkladntext2Char"/>
  </w:style>
  <w:style w:type="paragraph" w:styleId="Zkladntext3">
    <w:name w:val="Body Text 3"/>
    <w:basedOn w:val="Normln"/>
  </w:style>
  <w:style w:type="paragraph" w:styleId="Zkladntext">
    <w:name w:val="Body Text"/>
    <w:basedOn w:val="Normln"/>
    <w:link w:val="ZkladntextChar"/>
    <w:pPr>
      <w:spacing w:after="120"/>
    </w:pPr>
  </w:style>
  <w:style w:type="paragraph" w:customStyle="1" w:styleId="Zkladntext21">
    <w:name w:val="Základní text 21"/>
    <w:basedOn w:val="Normln"/>
  </w:style>
  <w:style w:type="paragraph" w:styleId="Zpat">
    <w:name w:val="footer"/>
    <w:basedOn w:val="Normln"/>
    <w:link w:val="ZpatChar"/>
    <w:uiPriority w:val="99"/>
    <w:pPr>
      <w:tabs>
        <w:tab w:val="center" w:pos="4536"/>
        <w:tab w:val="right" w:pos="9072"/>
      </w:tabs>
    </w:pPr>
  </w:style>
  <w:style w:type="character" w:customStyle="1" w:styleId="Nzevzhlavzprvy">
    <w:name w:val="Název záhlaví zprávy"/>
    <w:rPr>
      <w:b/>
      <w:noProof w:val="0"/>
      <w:sz w:val="18"/>
      <w:lang w:val="cs-CZ"/>
    </w:rPr>
  </w:style>
  <w:style w:type="paragraph" w:customStyle="1" w:styleId="KS1">
    <w:name w:val="KS 1"/>
    <w:basedOn w:val="Nadpis1"/>
    <w:autoRedefine/>
    <w:rsid w:val="00D6141E"/>
    <w:pPr>
      <w:numPr>
        <w:numId w:val="0"/>
      </w:numPr>
      <w:pBdr>
        <w:top w:val="single" w:sz="4" w:space="1" w:color="auto"/>
        <w:left w:val="single" w:sz="4" w:space="4" w:color="auto"/>
        <w:bottom w:val="single" w:sz="4" w:space="1" w:color="auto"/>
        <w:right w:val="single" w:sz="4" w:space="4" w:color="auto"/>
      </w:pBdr>
      <w:ind w:left="432" w:hanging="432"/>
      <w:jc w:val="center"/>
    </w:pPr>
  </w:style>
  <w:style w:type="paragraph" w:styleId="Textpoznpodarou">
    <w:name w:val="footnote text"/>
    <w:aliases w:val="Schriftart: 9 pt,Schriftart: 10 pt,Schriftart: 8 pt"/>
    <w:basedOn w:val="Normln"/>
    <w:link w:val="TextpoznpodarouChar"/>
    <w:uiPriority w:val="99"/>
    <w:rsid w:val="000C0D6D"/>
    <w:rPr>
      <w:sz w:val="18"/>
    </w:rPr>
  </w:style>
  <w:style w:type="character" w:styleId="Znakapoznpodarou">
    <w:name w:val="footnote reference"/>
    <w:uiPriority w:val="99"/>
    <w:rPr>
      <w:vertAlign w:val="superscript"/>
    </w:rPr>
  </w:style>
  <w:style w:type="paragraph" w:styleId="Prosttext">
    <w:name w:val="Plain Text"/>
    <w:basedOn w:val="Normln"/>
    <w:link w:val="ProsttextChar"/>
    <w:rPr>
      <w:rFonts w:ascii="Courier New" w:hAnsi="Courier New"/>
    </w:rPr>
  </w:style>
  <w:style w:type="paragraph" w:customStyle="1" w:styleId="KS2">
    <w:name w:val="KS 2"/>
    <w:basedOn w:val="Nadpis2"/>
    <w:autoRedefine/>
    <w:rsid w:val="006F0591"/>
    <w:pPr>
      <w:spacing w:before="360" w:after="120"/>
      <w:ind w:left="426" w:hanging="426"/>
    </w:pPr>
    <w:rPr>
      <w:szCs w:val="28"/>
    </w:rPr>
  </w:style>
  <w:style w:type="paragraph" w:customStyle="1" w:styleId="KS3">
    <w:name w:val="KS 3"/>
    <w:basedOn w:val="Nadpis3"/>
    <w:autoRedefine/>
    <w:rsid w:val="00405E06"/>
    <w:pPr>
      <w:tabs>
        <w:tab w:val="left" w:pos="709"/>
        <w:tab w:val="left" w:pos="1134"/>
      </w:tabs>
      <w:ind w:left="709" w:hanging="709"/>
      <w:outlineLvl w:val="9"/>
    </w:pPr>
  </w:style>
  <w:style w:type="paragraph" w:customStyle="1" w:styleId="KS4">
    <w:name w:val="KS 4"/>
    <w:basedOn w:val="Nadpis4"/>
    <w:autoRedefine/>
    <w:rsid w:val="00401DAD"/>
    <w:pPr>
      <w:numPr>
        <w:ilvl w:val="0"/>
        <w:numId w:val="0"/>
      </w:numPr>
      <w:tabs>
        <w:tab w:val="left" w:pos="1276"/>
      </w:tabs>
      <w:jc w:val="left"/>
      <w:outlineLvl w:val="9"/>
    </w:pPr>
    <w:rPr>
      <w:b w:val="0"/>
    </w:rPr>
  </w:style>
  <w:style w:type="character" w:styleId="slostrnky">
    <w:name w:val="page number"/>
    <w:basedOn w:val="Standardnpsmoodstavce"/>
  </w:style>
  <w:style w:type="paragraph" w:styleId="Obsah1">
    <w:name w:val="toc 1"/>
    <w:basedOn w:val="Nadpis1"/>
    <w:next w:val="Normln"/>
    <w:autoRedefine/>
    <w:uiPriority w:val="39"/>
    <w:qFormat/>
    <w:rsid w:val="00CE1F18"/>
    <w:pPr>
      <w:keepNext w:val="0"/>
      <w:numPr>
        <w:numId w:val="0"/>
      </w:numPr>
      <w:tabs>
        <w:tab w:val="right" w:pos="9072"/>
      </w:tabs>
      <w:spacing w:before="120"/>
      <w:ind w:left="567" w:right="-2" w:hanging="737"/>
      <w:outlineLvl w:val="9"/>
    </w:pPr>
    <w:rPr>
      <w:bCs/>
      <w:caps/>
      <w:sz w:val="24"/>
      <w:szCs w:val="24"/>
      <w:lang w:eastAsia="cs-CZ"/>
    </w:rPr>
  </w:style>
  <w:style w:type="paragraph" w:styleId="Obsah2">
    <w:name w:val="toc 2"/>
    <w:basedOn w:val="KS2"/>
    <w:next w:val="Normln"/>
    <w:autoRedefine/>
    <w:uiPriority w:val="39"/>
    <w:qFormat/>
    <w:rsid w:val="00CE1F18"/>
    <w:pPr>
      <w:keepNext w:val="0"/>
      <w:numPr>
        <w:ilvl w:val="0"/>
        <w:numId w:val="0"/>
      </w:numPr>
      <w:tabs>
        <w:tab w:val="left" w:pos="1417"/>
        <w:tab w:val="right" w:pos="9072"/>
      </w:tabs>
      <w:spacing w:before="0" w:after="0"/>
      <w:ind w:left="1418" w:right="-2" w:hanging="1418"/>
      <w:outlineLvl w:val="9"/>
    </w:pPr>
    <w:rPr>
      <w:bCs/>
      <w:sz w:val="22"/>
      <w:szCs w:val="20"/>
      <w:lang w:eastAsia="cs-CZ"/>
    </w:rPr>
  </w:style>
  <w:style w:type="paragraph" w:styleId="Obsah3">
    <w:name w:val="toc 3"/>
    <w:basedOn w:val="KS3"/>
    <w:next w:val="Normln"/>
    <w:autoRedefine/>
    <w:uiPriority w:val="39"/>
    <w:qFormat/>
    <w:rsid w:val="00737E82"/>
    <w:pPr>
      <w:keepNext w:val="0"/>
      <w:numPr>
        <w:ilvl w:val="0"/>
        <w:numId w:val="0"/>
      </w:numPr>
      <w:tabs>
        <w:tab w:val="clear" w:pos="709"/>
        <w:tab w:val="clear" w:pos="1134"/>
        <w:tab w:val="left" w:pos="1418"/>
        <w:tab w:val="right" w:pos="9062"/>
      </w:tabs>
      <w:ind w:left="1417" w:hanging="1219"/>
      <w:jc w:val="left"/>
    </w:pPr>
    <w:rPr>
      <w:sz w:val="20"/>
      <w:szCs w:val="20"/>
      <w:lang w:eastAsia="cs-CZ"/>
    </w:rPr>
  </w:style>
  <w:style w:type="paragraph" w:styleId="Obsah4">
    <w:name w:val="toc 4"/>
    <w:basedOn w:val="KS4"/>
    <w:next w:val="Normln"/>
    <w:autoRedefine/>
    <w:uiPriority w:val="39"/>
    <w:rsid w:val="00D42341"/>
    <w:pPr>
      <w:keepNext w:val="0"/>
      <w:tabs>
        <w:tab w:val="clear" w:pos="1276"/>
        <w:tab w:val="left" w:pos="1418"/>
        <w:tab w:val="right" w:pos="9062"/>
      </w:tabs>
      <w:ind w:left="1424" w:hanging="1021"/>
    </w:pPr>
    <w:rPr>
      <w:b/>
      <w:sz w:val="20"/>
      <w:szCs w:val="20"/>
      <w:lang w:eastAsia="cs-CZ"/>
    </w:rPr>
  </w:style>
  <w:style w:type="paragraph" w:styleId="Zhlav">
    <w:name w:val="header"/>
    <w:basedOn w:val="Normln"/>
    <w:link w:val="ZhlavChar"/>
    <w:uiPriority w:val="99"/>
    <w:pPr>
      <w:tabs>
        <w:tab w:val="center" w:pos="4536"/>
        <w:tab w:val="right" w:pos="9072"/>
      </w:tabs>
    </w:pPr>
  </w:style>
  <w:style w:type="paragraph" w:customStyle="1" w:styleId="KS5">
    <w:name w:val="KS 5"/>
    <w:basedOn w:val="Nadpis5"/>
    <w:autoRedefine/>
    <w:rsid w:val="000F4FE3"/>
    <w:pPr>
      <w:tabs>
        <w:tab w:val="left" w:pos="284"/>
        <w:tab w:val="left" w:pos="426"/>
        <w:tab w:val="left" w:pos="1276"/>
        <w:tab w:val="left" w:pos="1418"/>
      </w:tabs>
      <w:ind w:left="1134" w:hanging="1134"/>
    </w:pPr>
    <w:rPr>
      <w:b/>
      <w:i/>
      <w:szCs w:val="24"/>
    </w:rPr>
  </w:style>
  <w:style w:type="paragraph" w:customStyle="1" w:styleId="Styl14b">
    <w:name w:val="Styl 14 b."/>
    <w:basedOn w:val="Normln"/>
    <w:next w:val="Normln"/>
    <w:rPr>
      <w:szCs w:val="24"/>
    </w:rPr>
  </w:style>
  <w:style w:type="paragraph" w:styleId="Obsah5">
    <w:name w:val="toc 5"/>
    <w:basedOn w:val="KS5"/>
    <w:next w:val="Normln"/>
    <w:autoRedefine/>
    <w:uiPriority w:val="39"/>
    <w:rsid w:val="00665B72"/>
    <w:pPr>
      <w:keepNext w:val="0"/>
      <w:numPr>
        <w:ilvl w:val="0"/>
        <w:numId w:val="0"/>
      </w:numPr>
      <w:tabs>
        <w:tab w:val="clear" w:pos="284"/>
        <w:tab w:val="clear" w:pos="426"/>
        <w:tab w:val="clear" w:pos="1276"/>
        <w:tab w:val="clear" w:pos="1418"/>
        <w:tab w:val="left" w:pos="1586"/>
        <w:tab w:val="right" w:pos="9062"/>
      </w:tabs>
      <w:ind w:left="1560" w:hanging="960"/>
      <w:jc w:val="left"/>
      <w:outlineLvl w:val="9"/>
    </w:pPr>
    <w:rPr>
      <w:b w:val="0"/>
      <w:sz w:val="20"/>
      <w:szCs w:val="20"/>
    </w:rPr>
  </w:style>
  <w:style w:type="table" w:styleId="Mkatabulky">
    <w:name w:val="Table Grid"/>
    <w:basedOn w:val="Normlntabulka"/>
    <w:uiPriority w:val="39"/>
    <w:rsid w:val="005765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Pr>
      <w:color w:val="0000FF"/>
      <w:u w:val="single"/>
    </w:rPr>
  </w:style>
  <w:style w:type="paragraph" w:styleId="Textbubliny">
    <w:name w:val="Balloon Text"/>
    <w:basedOn w:val="Normln"/>
    <w:semiHidden/>
    <w:rPr>
      <w:rFonts w:ascii="Tahoma" w:hAnsi="Tahoma" w:cs="Tahoma"/>
      <w:sz w:val="16"/>
      <w:szCs w:val="16"/>
    </w:rPr>
  </w:style>
  <w:style w:type="paragraph" w:customStyle="1" w:styleId="odr1">
    <w:name w:val="odr1"/>
    <w:basedOn w:val="Normln"/>
    <w:rsid w:val="00167FF7"/>
    <w:pPr>
      <w:numPr>
        <w:numId w:val="2"/>
      </w:numPr>
      <w:spacing w:after="120"/>
    </w:pPr>
    <w:rPr>
      <w:szCs w:val="24"/>
    </w:rPr>
  </w:style>
  <w:style w:type="paragraph" w:styleId="Normlnweb">
    <w:name w:val="Normal (Web)"/>
    <w:basedOn w:val="Normln"/>
    <w:uiPriority w:val="99"/>
    <w:rsid w:val="00AC5514"/>
    <w:pPr>
      <w:spacing w:before="100" w:beforeAutospacing="1" w:after="100" w:afterAutospacing="1"/>
    </w:pPr>
    <w:rPr>
      <w:szCs w:val="24"/>
    </w:rPr>
  </w:style>
  <w:style w:type="paragraph" w:styleId="Odstavecseseznamem">
    <w:name w:val="List Paragraph"/>
    <w:aliases w:val="List Paragraph,Odstavec cíl se seznamem,Odstavec se seznamem1,nad 1,Nad,Odstavec_muj,Název grafu"/>
    <w:basedOn w:val="Normln"/>
    <w:link w:val="OdstavecseseznamemChar"/>
    <w:uiPriority w:val="34"/>
    <w:qFormat/>
    <w:rsid w:val="001E7273"/>
    <w:pPr>
      <w:ind w:left="708"/>
    </w:pPr>
  </w:style>
  <w:style w:type="character" w:customStyle="1" w:styleId="ZkladntextodsazenChar">
    <w:name w:val="Základní text odsazený Char"/>
    <w:link w:val="Zkladntextodsazen"/>
    <w:rsid w:val="00536E0E"/>
    <w:rPr>
      <w:sz w:val="24"/>
    </w:rPr>
  </w:style>
  <w:style w:type="character" w:customStyle="1" w:styleId="Zkladntext2Char">
    <w:name w:val="Základní text 2 Char"/>
    <w:link w:val="Zkladntext2"/>
    <w:rsid w:val="00536E0E"/>
    <w:rPr>
      <w:sz w:val="24"/>
    </w:rPr>
  </w:style>
  <w:style w:type="character" w:customStyle="1" w:styleId="ZkladntextChar">
    <w:name w:val="Základní text Char"/>
    <w:basedOn w:val="Standardnpsmoodstavce"/>
    <w:link w:val="Zkladntext"/>
    <w:rsid w:val="00536E0E"/>
  </w:style>
  <w:style w:type="character" w:customStyle="1" w:styleId="Zkladntextodsazen2Char">
    <w:name w:val="Základní text odsazený 2 Char"/>
    <w:link w:val="Zkladntextodsazen2"/>
    <w:uiPriority w:val="99"/>
    <w:rsid w:val="0093730E"/>
    <w:rPr>
      <w:b/>
      <w:sz w:val="24"/>
    </w:rPr>
  </w:style>
  <w:style w:type="character" w:customStyle="1" w:styleId="ProsttextChar">
    <w:name w:val="Prostý text Char"/>
    <w:link w:val="Prosttext"/>
    <w:rsid w:val="00052A61"/>
    <w:rPr>
      <w:rFonts w:ascii="Courier New" w:hAnsi="Courier New"/>
    </w:rPr>
  </w:style>
  <w:style w:type="paragraph" w:customStyle="1" w:styleId="Text">
    <w:name w:val="Text"/>
    <w:basedOn w:val="Normln"/>
    <w:link w:val="TextChar"/>
    <w:autoRedefine/>
    <w:qFormat/>
    <w:rsid w:val="0018274C"/>
    <w:pPr>
      <w:tabs>
        <w:tab w:val="left" w:pos="284"/>
        <w:tab w:val="left" w:pos="426"/>
        <w:tab w:val="left" w:pos="1276"/>
        <w:tab w:val="right" w:pos="9072"/>
      </w:tabs>
      <w:spacing w:before="60" w:after="60"/>
      <w:ind w:firstLine="567"/>
    </w:pPr>
    <w:rPr>
      <w:rFonts w:cs="Calibri"/>
      <w:szCs w:val="24"/>
    </w:rPr>
  </w:style>
  <w:style w:type="character" w:customStyle="1" w:styleId="ZpatChar">
    <w:name w:val="Zápatí Char"/>
    <w:link w:val="Zpat"/>
    <w:uiPriority w:val="99"/>
    <w:rsid w:val="008D4AA9"/>
    <w:rPr>
      <w:sz w:val="24"/>
    </w:rPr>
  </w:style>
  <w:style w:type="character" w:customStyle="1" w:styleId="TextpoznpodarouChar">
    <w:name w:val="Text pozn. pod čarou Char"/>
    <w:aliases w:val="Schriftart: 9 pt Char,Schriftart: 10 pt Char,Schriftart: 8 pt Char"/>
    <w:link w:val="Textpoznpodarou"/>
    <w:uiPriority w:val="99"/>
    <w:rsid w:val="000C0D6D"/>
    <w:rPr>
      <w:sz w:val="18"/>
    </w:rPr>
  </w:style>
  <w:style w:type="paragraph" w:styleId="Textkomente">
    <w:name w:val="annotation text"/>
    <w:basedOn w:val="Normln"/>
    <w:link w:val="TextkomenteChar"/>
    <w:uiPriority w:val="99"/>
    <w:semiHidden/>
    <w:unhideWhenUsed/>
    <w:rsid w:val="00AE6D03"/>
  </w:style>
  <w:style w:type="character" w:customStyle="1" w:styleId="TextkomenteChar">
    <w:name w:val="Text komentáře Char"/>
    <w:basedOn w:val="Standardnpsmoodstavce"/>
    <w:link w:val="Textkomente"/>
    <w:uiPriority w:val="99"/>
    <w:semiHidden/>
    <w:rsid w:val="00AE6D03"/>
  </w:style>
  <w:style w:type="character" w:styleId="Odkaznakoment">
    <w:name w:val="annotation reference"/>
    <w:uiPriority w:val="99"/>
    <w:semiHidden/>
    <w:unhideWhenUsed/>
    <w:rsid w:val="00894905"/>
    <w:rPr>
      <w:sz w:val="16"/>
      <w:szCs w:val="16"/>
    </w:rPr>
  </w:style>
  <w:style w:type="paragraph" w:styleId="Pedmtkomente">
    <w:name w:val="annotation subject"/>
    <w:basedOn w:val="Textkomente"/>
    <w:next w:val="Textkomente"/>
    <w:link w:val="PedmtkomenteChar"/>
    <w:uiPriority w:val="99"/>
    <w:semiHidden/>
    <w:unhideWhenUsed/>
    <w:rsid w:val="00D82D1F"/>
    <w:rPr>
      <w:b/>
      <w:bCs/>
    </w:rPr>
  </w:style>
  <w:style w:type="character" w:customStyle="1" w:styleId="PedmtkomenteChar">
    <w:name w:val="Předmět komentáře Char"/>
    <w:link w:val="Pedmtkomente"/>
    <w:uiPriority w:val="99"/>
    <w:semiHidden/>
    <w:rsid w:val="00D82D1F"/>
    <w:rPr>
      <w:b/>
      <w:bCs/>
    </w:rPr>
  </w:style>
  <w:style w:type="paragraph" w:styleId="Nadpisobsahu">
    <w:name w:val="TOC Heading"/>
    <w:basedOn w:val="Nadpis1"/>
    <w:next w:val="Normln"/>
    <w:uiPriority w:val="39"/>
    <w:semiHidden/>
    <w:unhideWhenUsed/>
    <w:qFormat/>
    <w:rsid w:val="00EE4A39"/>
    <w:pPr>
      <w:keepLines/>
      <w:numPr>
        <w:numId w:val="0"/>
      </w:numPr>
      <w:spacing w:before="480" w:line="276" w:lineRule="auto"/>
      <w:outlineLvl w:val="9"/>
    </w:pPr>
    <w:rPr>
      <w:rFonts w:ascii="Cambria" w:hAnsi="Cambria"/>
      <w:bCs/>
      <w:color w:val="365F91"/>
      <w:sz w:val="28"/>
      <w:szCs w:val="28"/>
      <w:lang w:eastAsia="cs-CZ"/>
    </w:rPr>
  </w:style>
  <w:style w:type="paragraph" w:styleId="Obsah6">
    <w:name w:val="toc 6"/>
    <w:basedOn w:val="Normln"/>
    <w:next w:val="Normln"/>
    <w:autoRedefine/>
    <w:uiPriority w:val="39"/>
    <w:unhideWhenUsed/>
    <w:rsid w:val="00EE4A39"/>
    <w:pPr>
      <w:ind w:left="800"/>
    </w:pPr>
    <w:rPr>
      <w:rFonts w:ascii="Calibri" w:hAnsi="Calibri"/>
    </w:rPr>
  </w:style>
  <w:style w:type="paragraph" w:styleId="Obsah7">
    <w:name w:val="toc 7"/>
    <w:basedOn w:val="Normln"/>
    <w:next w:val="Normln"/>
    <w:autoRedefine/>
    <w:uiPriority w:val="39"/>
    <w:unhideWhenUsed/>
    <w:rsid w:val="00EE4A39"/>
    <w:pPr>
      <w:ind w:left="1000"/>
    </w:pPr>
    <w:rPr>
      <w:rFonts w:ascii="Calibri" w:hAnsi="Calibri"/>
    </w:rPr>
  </w:style>
  <w:style w:type="paragraph" w:styleId="Obsah8">
    <w:name w:val="toc 8"/>
    <w:basedOn w:val="Normln"/>
    <w:next w:val="Normln"/>
    <w:autoRedefine/>
    <w:uiPriority w:val="39"/>
    <w:unhideWhenUsed/>
    <w:rsid w:val="00EE4A39"/>
    <w:pPr>
      <w:ind w:left="1200"/>
    </w:pPr>
    <w:rPr>
      <w:rFonts w:ascii="Calibri" w:hAnsi="Calibri"/>
    </w:rPr>
  </w:style>
  <w:style w:type="paragraph" w:styleId="Obsah9">
    <w:name w:val="toc 9"/>
    <w:basedOn w:val="Normln"/>
    <w:next w:val="Normln"/>
    <w:autoRedefine/>
    <w:uiPriority w:val="39"/>
    <w:unhideWhenUsed/>
    <w:rsid w:val="00EE4A39"/>
    <w:pPr>
      <w:ind w:left="1400"/>
    </w:pPr>
    <w:rPr>
      <w:rFonts w:ascii="Calibri" w:hAnsi="Calibri"/>
    </w:rPr>
  </w:style>
  <w:style w:type="paragraph" w:styleId="Titulek">
    <w:name w:val="caption"/>
    <w:basedOn w:val="Normln"/>
    <w:next w:val="Normln"/>
    <w:uiPriority w:val="35"/>
    <w:unhideWhenUsed/>
    <w:qFormat/>
    <w:rsid w:val="008D546B"/>
    <w:rPr>
      <w:b/>
      <w:bCs/>
    </w:rPr>
  </w:style>
  <w:style w:type="paragraph" w:styleId="Seznamobrzk">
    <w:name w:val="table of figures"/>
    <w:basedOn w:val="Normln"/>
    <w:next w:val="Normln"/>
    <w:uiPriority w:val="99"/>
    <w:unhideWhenUsed/>
    <w:rsid w:val="00B7114B"/>
  </w:style>
  <w:style w:type="character" w:customStyle="1" w:styleId="h1a1">
    <w:name w:val="h1a1"/>
    <w:rsid w:val="00BB1751"/>
  </w:style>
  <w:style w:type="character" w:customStyle="1" w:styleId="ZhlavChar">
    <w:name w:val="Záhlaví Char"/>
    <w:link w:val="Zhlav"/>
    <w:uiPriority w:val="99"/>
    <w:rsid w:val="00B30DC9"/>
  </w:style>
  <w:style w:type="paragraph" w:styleId="Bezmezer">
    <w:name w:val="No Spacing"/>
    <w:uiPriority w:val="1"/>
    <w:qFormat/>
    <w:rsid w:val="000564AC"/>
    <w:rPr>
      <w:rFonts w:ascii="Calibri" w:eastAsia="Calibri" w:hAnsi="Calibri"/>
      <w:sz w:val="22"/>
      <w:szCs w:val="22"/>
      <w:lang w:eastAsia="en-US"/>
    </w:rPr>
  </w:style>
  <w:style w:type="character" w:customStyle="1" w:styleId="Nadpis2Char">
    <w:name w:val="Nadpis 2 Char"/>
    <w:link w:val="Nadpis2"/>
    <w:rsid w:val="00B137ED"/>
    <w:rPr>
      <w:b/>
      <w:sz w:val="28"/>
      <w:lang w:eastAsia="en-US"/>
    </w:rPr>
  </w:style>
  <w:style w:type="paragraph" w:customStyle="1" w:styleId="NormlnTEXT">
    <w:name w:val="Normální TEXT"/>
    <w:basedOn w:val="Normln"/>
    <w:link w:val="NormlnTEXTChar"/>
    <w:rsid w:val="00B137ED"/>
    <w:pPr>
      <w:spacing w:after="120"/>
    </w:pPr>
    <w:rPr>
      <w:lang w:val="x-none" w:eastAsia="x-none"/>
    </w:rPr>
  </w:style>
  <w:style w:type="character" w:customStyle="1" w:styleId="NormlnTEXTChar">
    <w:name w:val="Normální TEXT Char"/>
    <w:link w:val="NormlnTEXT"/>
    <w:rsid w:val="00B137ED"/>
    <w:rPr>
      <w:sz w:val="24"/>
      <w:lang w:val="x-none" w:eastAsia="x-none"/>
    </w:rPr>
  </w:style>
  <w:style w:type="paragraph" w:customStyle="1" w:styleId="PoznmkapodarouCharChar">
    <w:name w:val="Poznámka pod čarou Char Char"/>
    <w:basedOn w:val="Textpoznpodarou"/>
    <w:link w:val="PoznmkapodarouCharCharChar"/>
    <w:autoRedefine/>
    <w:qFormat/>
    <w:rsid w:val="00053D22"/>
    <w:pPr>
      <w:keepNext/>
    </w:pPr>
    <w:rPr>
      <w:color w:val="000000"/>
      <w:lang w:val="x-none" w:eastAsia="x-none"/>
    </w:rPr>
  </w:style>
  <w:style w:type="character" w:customStyle="1" w:styleId="PoznmkapodarouCharCharChar">
    <w:name w:val="Poznámka pod čarou Char Char Char"/>
    <w:link w:val="PoznmkapodarouCharChar"/>
    <w:rsid w:val="00053D22"/>
    <w:rPr>
      <w:color w:val="000000"/>
      <w:sz w:val="18"/>
      <w:lang w:val="x-none" w:eastAsia="x-none"/>
    </w:rPr>
  </w:style>
  <w:style w:type="paragraph" w:customStyle="1" w:styleId="poznmkypodarou">
    <w:name w:val="poznámky pod čarou"/>
    <w:basedOn w:val="Textpoznpodarou"/>
    <w:link w:val="poznmkypodarouChar"/>
    <w:autoRedefine/>
    <w:qFormat/>
    <w:rsid w:val="007D2AEB"/>
  </w:style>
  <w:style w:type="character" w:customStyle="1" w:styleId="poznmkypodarouChar">
    <w:name w:val="poznámky pod čarou Char"/>
    <w:link w:val="poznmkypodarou"/>
    <w:rsid w:val="007D2AEB"/>
    <w:rPr>
      <w:sz w:val="18"/>
    </w:rPr>
  </w:style>
  <w:style w:type="paragraph" w:styleId="Nzev">
    <w:name w:val="Title"/>
    <w:basedOn w:val="Normln"/>
    <w:link w:val="NzevChar"/>
    <w:qFormat/>
    <w:rsid w:val="00595D9A"/>
    <w:pPr>
      <w:jc w:val="center"/>
    </w:pPr>
    <w:rPr>
      <w:b/>
      <w:sz w:val="32"/>
    </w:rPr>
  </w:style>
  <w:style w:type="character" w:customStyle="1" w:styleId="NzevChar">
    <w:name w:val="Název Char"/>
    <w:link w:val="Nzev"/>
    <w:rsid w:val="00595D9A"/>
    <w:rPr>
      <w:b/>
      <w:sz w:val="32"/>
    </w:rPr>
  </w:style>
  <w:style w:type="paragraph" w:styleId="Podtitul">
    <w:name w:val="Subtitle"/>
    <w:basedOn w:val="Normln"/>
    <w:link w:val="PodtitulChar"/>
    <w:qFormat/>
    <w:rsid w:val="00595D9A"/>
    <w:pPr>
      <w:jc w:val="center"/>
    </w:pPr>
    <w:rPr>
      <w:b/>
      <w:sz w:val="32"/>
    </w:rPr>
  </w:style>
  <w:style w:type="character" w:customStyle="1" w:styleId="PodtitulChar">
    <w:name w:val="Podtitul Char"/>
    <w:link w:val="Podtitul"/>
    <w:rsid w:val="00595D9A"/>
    <w:rPr>
      <w:b/>
      <w:sz w:val="32"/>
    </w:rPr>
  </w:style>
  <w:style w:type="paragraph" w:customStyle="1" w:styleId="Textpsmene">
    <w:name w:val="Text písmene"/>
    <w:basedOn w:val="Normln"/>
    <w:rsid w:val="00AD4096"/>
    <w:pPr>
      <w:numPr>
        <w:numId w:val="31"/>
      </w:numPr>
      <w:jc w:val="left"/>
    </w:pPr>
  </w:style>
  <w:style w:type="paragraph" w:customStyle="1" w:styleId="Zkladntext211">
    <w:name w:val="Základní text 211"/>
    <w:basedOn w:val="Normln"/>
    <w:rsid w:val="006843D5"/>
  </w:style>
  <w:style w:type="character" w:styleId="Zvraznn">
    <w:name w:val="Emphasis"/>
    <w:uiPriority w:val="20"/>
    <w:qFormat/>
    <w:rsid w:val="007F2318"/>
    <w:rPr>
      <w:i/>
      <w:iCs/>
    </w:rPr>
  </w:style>
  <w:style w:type="character" w:styleId="Siln">
    <w:name w:val="Strong"/>
    <w:uiPriority w:val="22"/>
    <w:qFormat/>
    <w:rsid w:val="002D05B0"/>
    <w:rPr>
      <w:b/>
      <w:bCs/>
    </w:rPr>
  </w:style>
  <w:style w:type="paragraph" w:customStyle="1" w:styleId="RPaDP">
    <w:name w:val="RP a DP"/>
    <w:basedOn w:val="Text"/>
    <w:link w:val="RPaDPChar"/>
    <w:qFormat/>
    <w:rsid w:val="00662CAE"/>
  </w:style>
  <w:style w:type="paragraph" w:styleId="Citt">
    <w:name w:val="Quote"/>
    <w:basedOn w:val="Normln"/>
    <w:next w:val="Normln"/>
    <w:link w:val="CittChar"/>
    <w:uiPriority w:val="29"/>
    <w:qFormat/>
    <w:rsid w:val="004061D9"/>
    <w:rPr>
      <w:i/>
      <w:iCs/>
      <w:color w:val="000000"/>
    </w:rPr>
  </w:style>
  <w:style w:type="character" w:customStyle="1" w:styleId="TextChar">
    <w:name w:val="Text Char"/>
    <w:link w:val="Text"/>
    <w:rsid w:val="0018274C"/>
    <w:rPr>
      <w:rFonts w:cs="Calibri"/>
      <w:sz w:val="24"/>
      <w:szCs w:val="24"/>
    </w:rPr>
  </w:style>
  <w:style w:type="character" w:customStyle="1" w:styleId="RPaDPChar">
    <w:name w:val="RP a DP Char"/>
    <w:basedOn w:val="TextChar"/>
    <w:link w:val="RPaDP"/>
    <w:rsid w:val="00662CAE"/>
    <w:rPr>
      <w:rFonts w:cs="Calibri"/>
      <w:sz w:val="24"/>
      <w:szCs w:val="24"/>
    </w:rPr>
  </w:style>
  <w:style w:type="character" w:customStyle="1" w:styleId="CittChar">
    <w:name w:val="Citát Char"/>
    <w:link w:val="Citt"/>
    <w:uiPriority w:val="29"/>
    <w:rsid w:val="004061D9"/>
    <w:rPr>
      <w:i/>
      <w:iCs/>
      <w:color w:val="000000"/>
      <w:sz w:val="24"/>
    </w:rPr>
  </w:style>
  <w:style w:type="character" w:styleId="Zdraznnintenzivn">
    <w:name w:val="Intense Emphasis"/>
    <w:uiPriority w:val="21"/>
    <w:qFormat/>
    <w:rsid w:val="003328A6"/>
    <w:rPr>
      <w:b/>
      <w:bCs/>
      <w:i/>
      <w:iCs/>
      <w:color w:val="4F81BD"/>
    </w:rPr>
  </w:style>
  <w:style w:type="paragraph" w:styleId="Textvysvtlivek">
    <w:name w:val="endnote text"/>
    <w:basedOn w:val="Normln"/>
    <w:link w:val="TextvysvtlivekChar"/>
    <w:uiPriority w:val="99"/>
    <w:semiHidden/>
    <w:unhideWhenUsed/>
    <w:rsid w:val="00316B9A"/>
    <w:rPr>
      <w:sz w:val="20"/>
    </w:rPr>
  </w:style>
  <w:style w:type="character" w:customStyle="1" w:styleId="TextvysvtlivekChar">
    <w:name w:val="Text vysvětlivek Char"/>
    <w:basedOn w:val="Standardnpsmoodstavce"/>
    <w:link w:val="Textvysvtlivek"/>
    <w:uiPriority w:val="99"/>
    <w:semiHidden/>
    <w:rsid w:val="00316B9A"/>
  </w:style>
  <w:style w:type="character" w:styleId="Odkaznavysvtlivky">
    <w:name w:val="endnote reference"/>
    <w:uiPriority w:val="99"/>
    <w:semiHidden/>
    <w:unhideWhenUsed/>
    <w:rsid w:val="00316B9A"/>
    <w:rPr>
      <w:vertAlign w:val="superscript"/>
    </w:rPr>
  </w:style>
  <w:style w:type="paragraph" w:customStyle="1" w:styleId="NadpisRPaDP">
    <w:name w:val="Nadpis RP a DP"/>
    <w:basedOn w:val="RPaDP"/>
    <w:link w:val="NadpisRPaDPChar"/>
    <w:qFormat/>
    <w:rsid w:val="002A37ED"/>
    <w:pPr>
      <w:spacing w:before="120"/>
    </w:pPr>
    <w:rPr>
      <w:i/>
    </w:rPr>
  </w:style>
  <w:style w:type="paragraph" w:customStyle="1" w:styleId="Zkladntext22">
    <w:name w:val="Základní text 22"/>
    <w:basedOn w:val="Normln"/>
    <w:rsid w:val="00604098"/>
    <w:pPr>
      <w:jc w:val="left"/>
    </w:pPr>
  </w:style>
  <w:style w:type="character" w:customStyle="1" w:styleId="NadpisRPaDPChar">
    <w:name w:val="Nadpis RP a DP Char"/>
    <w:link w:val="NadpisRPaDP"/>
    <w:rsid w:val="002A37ED"/>
    <w:rPr>
      <w:rFonts w:cs="Calibri"/>
      <w:i/>
      <w:sz w:val="24"/>
      <w:szCs w:val="24"/>
    </w:rPr>
  </w:style>
  <w:style w:type="paragraph" w:customStyle="1" w:styleId="nadpisRPaDP0">
    <w:name w:val="nadpis RP a DP"/>
    <w:basedOn w:val="RPaDP"/>
    <w:link w:val="nadpisRPaDPChar0"/>
    <w:rsid w:val="002A37ED"/>
    <w:pPr>
      <w:tabs>
        <w:tab w:val="clear" w:pos="1276"/>
        <w:tab w:val="left" w:pos="1134"/>
      </w:tabs>
      <w:spacing w:before="120"/>
    </w:pPr>
    <w:rPr>
      <w:i/>
    </w:rPr>
  </w:style>
  <w:style w:type="paragraph" w:customStyle="1" w:styleId="nadpis1proRPaDP">
    <w:name w:val="nadpis 1 pro RP a DP"/>
    <w:basedOn w:val="RPaDP"/>
    <w:link w:val="nadpis1proRPaDPChar"/>
    <w:qFormat/>
    <w:rsid w:val="00F55946"/>
    <w:rPr>
      <w:b/>
    </w:rPr>
  </w:style>
  <w:style w:type="character" w:customStyle="1" w:styleId="nadpisRPaDPChar0">
    <w:name w:val="nadpis RP a DP Char"/>
    <w:link w:val="nadpisRPaDP0"/>
    <w:rsid w:val="002A37ED"/>
    <w:rPr>
      <w:rFonts w:cs="Calibri"/>
      <w:i/>
      <w:sz w:val="24"/>
      <w:szCs w:val="24"/>
    </w:rPr>
  </w:style>
  <w:style w:type="character" w:styleId="Zdraznnjemn">
    <w:name w:val="Subtle Emphasis"/>
    <w:uiPriority w:val="19"/>
    <w:qFormat/>
    <w:rsid w:val="0050116E"/>
    <w:rPr>
      <w:i/>
      <w:iCs/>
      <w:color w:val="808080"/>
    </w:rPr>
  </w:style>
  <w:style w:type="character" w:customStyle="1" w:styleId="nadpis1proRPaDPChar">
    <w:name w:val="nadpis 1 pro RP a DP Char"/>
    <w:link w:val="nadpis1proRPaDP"/>
    <w:rsid w:val="00F55946"/>
    <w:rPr>
      <w:rFonts w:cs="Calibri"/>
      <w:b/>
      <w:sz w:val="24"/>
      <w:szCs w:val="24"/>
    </w:rPr>
  </w:style>
  <w:style w:type="character" w:customStyle="1" w:styleId="h1a2">
    <w:name w:val="h1a2"/>
    <w:rsid w:val="00686BE8"/>
    <w:rPr>
      <w:vanish w:val="0"/>
      <w:webHidden w:val="0"/>
      <w:sz w:val="24"/>
      <w:szCs w:val="24"/>
      <w:specVanish w:val="0"/>
    </w:rPr>
  </w:style>
  <w:style w:type="character" w:customStyle="1" w:styleId="Zkladntextodsazen3Char">
    <w:name w:val="Základní text odsazený 3 Char"/>
    <w:link w:val="Zkladntextodsazen3"/>
    <w:rsid w:val="00F7208E"/>
    <w:rPr>
      <w:b/>
      <w:sz w:val="24"/>
    </w:rPr>
  </w:style>
  <w:style w:type="paragraph" w:customStyle="1" w:styleId="Standard">
    <w:name w:val="Standard"/>
    <w:rsid w:val="006B0275"/>
    <w:pPr>
      <w:suppressAutoHyphens/>
      <w:autoSpaceDN w:val="0"/>
      <w:textAlignment w:val="baseline"/>
    </w:pPr>
    <w:rPr>
      <w:kern w:val="3"/>
      <w:sz w:val="24"/>
      <w:szCs w:val="24"/>
      <w:lang w:eastAsia="zh-CN"/>
    </w:rPr>
  </w:style>
  <w:style w:type="paragraph" w:customStyle="1" w:styleId="Default">
    <w:name w:val="Default"/>
    <w:rsid w:val="009318A0"/>
    <w:pPr>
      <w:autoSpaceDE w:val="0"/>
      <w:autoSpaceDN w:val="0"/>
      <w:adjustRightInd w:val="0"/>
    </w:pPr>
    <w:rPr>
      <w:rFonts w:ascii="Arial" w:eastAsia="Calibri" w:hAnsi="Arial" w:cs="Arial"/>
      <w:color w:val="000000"/>
      <w:sz w:val="24"/>
      <w:szCs w:val="24"/>
      <w:lang w:eastAsia="en-US"/>
    </w:rPr>
  </w:style>
  <w:style w:type="paragraph" w:styleId="Seznamsodrkami">
    <w:name w:val="List Bullet"/>
    <w:basedOn w:val="Normln"/>
    <w:uiPriority w:val="99"/>
    <w:unhideWhenUsed/>
    <w:rsid w:val="00E95E76"/>
    <w:pPr>
      <w:numPr>
        <w:numId w:val="53"/>
      </w:numPr>
      <w:contextualSpacing/>
    </w:pPr>
  </w:style>
  <w:style w:type="character" w:styleId="Sledovanodkaz">
    <w:name w:val="FollowedHyperlink"/>
    <w:basedOn w:val="Standardnpsmoodstavce"/>
    <w:uiPriority w:val="99"/>
    <w:semiHidden/>
    <w:unhideWhenUsed/>
    <w:rsid w:val="0078000B"/>
    <w:rPr>
      <w:color w:val="800080" w:themeColor="followedHyperlink"/>
      <w:u w:val="single"/>
    </w:rPr>
  </w:style>
  <w:style w:type="numbering" w:customStyle="1" w:styleId="Styl3">
    <w:name w:val="Styl3"/>
    <w:rsid w:val="008678CF"/>
    <w:pPr>
      <w:numPr>
        <w:numId w:val="54"/>
      </w:numPr>
    </w:pPr>
  </w:style>
  <w:style w:type="character" w:customStyle="1" w:styleId="Nadpis5Char">
    <w:name w:val="Nadpis 5 Char"/>
    <w:basedOn w:val="Standardnpsmoodstavce"/>
    <w:link w:val="Nadpis5"/>
    <w:rsid w:val="008678CF"/>
    <w:rPr>
      <w:sz w:val="24"/>
    </w:rPr>
  </w:style>
  <w:style w:type="character" w:customStyle="1" w:styleId="Nadpis3Char">
    <w:name w:val="Nadpis 3 Char"/>
    <w:basedOn w:val="Standardnpsmoodstavce"/>
    <w:link w:val="Nadpis3"/>
    <w:rsid w:val="00B26388"/>
    <w:rPr>
      <w:b/>
      <w:sz w:val="24"/>
      <w:szCs w:val="24"/>
      <w:lang w:eastAsia="en-US"/>
    </w:rPr>
  </w:style>
  <w:style w:type="character" w:customStyle="1" w:styleId="Nadpis4Char">
    <w:name w:val="Nadpis 4 Char"/>
    <w:basedOn w:val="Standardnpsmoodstavce"/>
    <w:link w:val="Nadpis4"/>
    <w:rsid w:val="0031482F"/>
    <w:rPr>
      <w:b/>
      <w:i/>
      <w:sz w:val="24"/>
      <w:szCs w:val="28"/>
      <w:lang w:eastAsia="en-US"/>
    </w:rPr>
  </w:style>
  <w:style w:type="character" w:customStyle="1" w:styleId="OdstavecseseznamemChar">
    <w:name w:val="Odstavec se seznamem Char"/>
    <w:aliases w:val="List Paragraph Char,Odstavec cíl se seznamem Char,Odstavec se seznamem1 Char,nad 1 Char,Nad Char,Odstavec_muj Char,Název grafu Char"/>
    <w:link w:val="Odstavecseseznamem"/>
    <w:uiPriority w:val="34"/>
    <w:rsid w:val="007058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5316">
      <w:bodyDiv w:val="1"/>
      <w:marLeft w:val="0"/>
      <w:marRight w:val="0"/>
      <w:marTop w:val="0"/>
      <w:marBottom w:val="0"/>
      <w:divBdr>
        <w:top w:val="none" w:sz="0" w:space="0" w:color="auto"/>
        <w:left w:val="none" w:sz="0" w:space="0" w:color="auto"/>
        <w:bottom w:val="none" w:sz="0" w:space="0" w:color="auto"/>
        <w:right w:val="none" w:sz="0" w:space="0" w:color="auto"/>
      </w:divBdr>
    </w:div>
    <w:div w:id="39520008">
      <w:bodyDiv w:val="1"/>
      <w:marLeft w:val="0"/>
      <w:marRight w:val="0"/>
      <w:marTop w:val="0"/>
      <w:marBottom w:val="0"/>
      <w:divBdr>
        <w:top w:val="none" w:sz="0" w:space="0" w:color="auto"/>
        <w:left w:val="none" w:sz="0" w:space="0" w:color="auto"/>
        <w:bottom w:val="none" w:sz="0" w:space="0" w:color="auto"/>
        <w:right w:val="none" w:sz="0" w:space="0" w:color="auto"/>
      </w:divBdr>
    </w:div>
    <w:div w:id="47580127">
      <w:bodyDiv w:val="1"/>
      <w:marLeft w:val="0"/>
      <w:marRight w:val="0"/>
      <w:marTop w:val="0"/>
      <w:marBottom w:val="0"/>
      <w:divBdr>
        <w:top w:val="none" w:sz="0" w:space="0" w:color="auto"/>
        <w:left w:val="none" w:sz="0" w:space="0" w:color="auto"/>
        <w:bottom w:val="none" w:sz="0" w:space="0" w:color="auto"/>
        <w:right w:val="none" w:sz="0" w:space="0" w:color="auto"/>
      </w:divBdr>
    </w:div>
    <w:div w:id="67970387">
      <w:bodyDiv w:val="1"/>
      <w:marLeft w:val="0"/>
      <w:marRight w:val="0"/>
      <w:marTop w:val="0"/>
      <w:marBottom w:val="0"/>
      <w:divBdr>
        <w:top w:val="none" w:sz="0" w:space="0" w:color="auto"/>
        <w:left w:val="none" w:sz="0" w:space="0" w:color="auto"/>
        <w:bottom w:val="none" w:sz="0" w:space="0" w:color="auto"/>
        <w:right w:val="none" w:sz="0" w:space="0" w:color="auto"/>
      </w:divBdr>
    </w:div>
    <w:div w:id="78455332">
      <w:bodyDiv w:val="1"/>
      <w:marLeft w:val="0"/>
      <w:marRight w:val="0"/>
      <w:marTop w:val="0"/>
      <w:marBottom w:val="0"/>
      <w:divBdr>
        <w:top w:val="none" w:sz="0" w:space="0" w:color="auto"/>
        <w:left w:val="none" w:sz="0" w:space="0" w:color="auto"/>
        <w:bottom w:val="none" w:sz="0" w:space="0" w:color="auto"/>
        <w:right w:val="none" w:sz="0" w:space="0" w:color="auto"/>
      </w:divBdr>
    </w:div>
    <w:div w:id="82924106">
      <w:bodyDiv w:val="1"/>
      <w:marLeft w:val="0"/>
      <w:marRight w:val="0"/>
      <w:marTop w:val="0"/>
      <w:marBottom w:val="0"/>
      <w:divBdr>
        <w:top w:val="none" w:sz="0" w:space="0" w:color="auto"/>
        <w:left w:val="none" w:sz="0" w:space="0" w:color="auto"/>
        <w:bottom w:val="none" w:sz="0" w:space="0" w:color="auto"/>
        <w:right w:val="none" w:sz="0" w:space="0" w:color="auto"/>
      </w:divBdr>
    </w:div>
    <w:div w:id="90667907">
      <w:bodyDiv w:val="1"/>
      <w:marLeft w:val="0"/>
      <w:marRight w:val="0"/>
      <w:marTop w:val="0"/>
      <w:marBottom w:val="0"/>
      <w:divBdr>
        <w:top w:val="none" w:sz="0" w:space="0" w:color="auto"/>
        <w:left w:val="none" w:sz="0" w:space="0" w:color="auto"/>
        <w:bottom w:val="none" w:sz="0" w:space="0" w:color="auto"/>
        <w:right w:val="none" w:sz="0" w:space="0" w:color="auto"/>
      </w:divBdr>
    </w:div>
    <w:div w:id="92744338">
      <w:bodyDiv w:val="1"/>
      <w:marLeft w:val="0"/>
      <w:marRight w:val="0"/>
      <w:marTop w:val="0"/>
      <w:marBottom w:val="0"/>
      <w:divBdr>
        <w:top w:val="none" w:sz="0" w:space="0" w:color="auto"/>
        <w:left w:val="none" w:sz="0" w:space="0" w:color="auto"/>
        <w:bottom w:val="none" w:sz="0" w:space="0" w:color="auto"/>
        <w:right w:val="none" w:sz="0" w:space="0" w:color="auto"/>
      </w:divBdr>
    </w:div>
    <w:div w:id="119157680">
      <w:bodyDiv w:val="1"/>
      <w:marLeft w:val="0"/>
      <w:marRight w:val="0"/>
      <w:marTop w:val="0"/>
      <w:marBottom w:val="0"/>
      <w:divBdr>
        <w:top w:val="none" w:sz="0" w:space="0" w:color="auto"/>
        <w:left w:val="none" w:sz="0" w:space="0" w:color="auto"/>
        <w:bottom w:val="none" w:sz="0" w:space="0" w:color="auto"/>
        <w:right w:val="none" w:sz="0" w:space="0" w:color="auto"/>
      </w:divBdr>
    </w:div>
    <w:div w:id="173350419">
      <w:bodyDiv w:val="1"/>
      <w:marLeft w:val="0"/>
      <w:marRight w:val="0"/>
      <w:marTop w:val="0"/>
      <w:marBottom w:val="0"/>
      <w:divBdr>
        <w:top w:val="none" w:sz="0" w:space="0" w:color="auto"/>
        <w:left w:val="none" w:sz="0" w:space="0" w:color="auto"/>
        <w:bottom w:val="none" w:sz="0" w:space="0" w:color="auto"/>
        <w:right w:val="none" w:sz="0" w:space="0" w:color="auto"/>
      </w:divBdr>
    </w:div>
    <w:div w:id="192547377">
      <w:bodyDiv w:val="1"/>
      <w:marLeft w:val="0"/>
      <w:marRight w:val="0"/>
      <w:marTop w:val="0"/>
      <w:marBottom w:val="0"/>
      <w:divBdr>
        <w:top w:val="none" w:sz="0" w:space="0" w:color="auto"/>
        <w:left w:val="none" w:sz="0" w:space="0" w:color="auto"/>
        <w:bottom w:val="none" w:sz="0" w:space="0" w:color="auto"/>
        <w:right w:val="none" w:sz="0" w:space="0" w:color="auto"/>
      </w:divBdr>
    </w:div>
    <w:div w:id="195044832">
      <w:bodyDiv w:val="1"/>
      <w:marLeft w:val="0"/>
      <w:marRight w:val="0"/>
      <w:marTop w:val="0"/>
      <w:marBottom w:val="0"/>
      <w:divBdr>
        <w:top w:val="none" w:sz="0" w:space="0" w:color="auto"/>
        <w:left w:val="none" w:sz="0" w:space="0" w:color="auto"/>
        <w:bottom w:val="none" w:sz="0" w:space="0" w:color="auto"/>
        <w:right w:val="none" w:sz="0" w:space="0" w:color="auto"/>
      </w:divBdr>
    </w:div>
    <w:div w:id="211767684">
      <w:bodyDiv w:val="1"/>
      <w:marLeft w:val="0"/>
      <w:marRight w:val="0"/>
      <w:marTop w:val="0"/>
      <w:marBottom w:val="0"/>
      <w:divBdr>
        <w:top w:val="none" w:sz="0" w:space="0" w:color="auto"/>
        <w:left w:val="none" w:sz="0" w:space="0" w:color="auto"/>
        <w:bottom w:val="none" w:sz="0" w:space="0" w:color="auto"/>
        <w:right w:val="none" w:sz="0" w:space="0" w:color="auto"/>
      </w:divBdr>
    </w:div>
    <w:div w:id="272132242">
      <w:bodyDiv w:val="1"/>
      <w:marLeft w:val="0"/>
      <w:marRight w:val="0"/>
      <w:marTop w:val="0"/>
      <w:marBottom w:val="0"/>
      <w:divBdr>
        <w:top w:val="none" w:sz="0" w:space="0" w:color="auto"/>
        <w:left w:val="none" w:sz="0" w:space="0" w:color="auto"/>
        <w:bottom w:val="none" w:sz="0" w:space="0" w:color="auto"/>
        <w:right w:val="none" w:sz="0" w:space="0" w:color="auto"/>
      </w:divBdr>
    </w:div>
    <w:div w:id="275606338">
      <w:bodyDiv w:val="1"/>
      <w:marLeft w:val="0"/>
      <w:marRight w:val="0"/>
      <w:marTop w:val="0"/>
      <w:marBottom w:val="0"/>
      <w:divBdr>
        <w:top w:val="none" w:sz="0" w:space="0" w:color="auto"/>
        <w:left w:val="none" w:sz="0" w:space="0" w:color="auto"/>
        <w:bottom w:val="none" w:sz="0" w:space="0" w:color="auto"/>
        <w:right w:val="none" w:sz="0" w:space="0" w:color="auto"/>
      </w:divBdr>
    </w:div>
    <w:div w:id="307708394">
      <w:bodyDiv w:val="1"/>
      <w:marLeft w:val="0"/>
      <w:marRight w:val="0"/>
      <w:marTop w:val="0"/>
      <w:marBottom w:val="0"/>
      <w:divBdr>
        <w:top w:val="none" w:sz="0" w:space="0" w:color="auto"/>
        <w:left w:val="none" w:sz="0" w:space="0" w:color="auto"/>
        <w:bottom w:val="none" w:sz="0" w:space="0" w:color="auto"/>
        <w:right w:val="none" w:sz="0" w:space="0" w:color="auto"/>
      </w:divBdr>
    </w:div>
    <w:div w:id="387194050">
      <w:bodyDiv w:val="1"/>
      <w:marLeft w:val="0"/>
      <w:marRight w:val="0"/>
      <w:marTop w:val="0"/>
      <w:marBottom w:val="0"/>
      <w:divBdr>
        <w:top w:val="none" w:sz="0" w:space="0" w:color="auto"/>
        <w:left w:val="none" w:sz="0" w:space="0" w:color="auto"/>
        <w:bottom w:val="none" w:sz="0" w:space="0" w:color="auto"/>
        <w:right w:val="none" w:sz="0" w:space="0" w:color="auto"/>
      </w:divBdr>
    </w:div>
    <w:div w:id="453837731">
      <w:bodyDiv w:val="1"/>
      <w:marLeft w:val="0"/>
      <w:marRight w:val="0"/>
      <w:marTop w:val="0"/>
      <w:marBottom w:val="0"/>
      <w:divBdr>
        <w:top w:val="none" w:sz="0" w:space="0" w:color="auto"/>
        <w:left w:val="none" w:sz="0" w:space="0" w:color="auto"/>
        <w:bottom w:val="none" w:sz="0" w:space="0" w:color="auto"/>
        <w:right w:val="none" w:sz="0" w:space="0" w:color="auto"/>
      </w:divBdr>
    </w:div>
    <w:div w:id="478034863">
      <w:bodyDiv w:val="1"/>
      <w:marLeft w:val="0"/>
      <w:marRight w:val="0"/>
      <w:marTop w:val="0"/>
      <w:marBottom w:val="0"/>
      <w:divBdr>
        <w:top w:val="none" w:sz="0" w:space="0" w:color="auto"/>
        <w:left w:val="none" w:sz="0" w:space="0" w:color="auto"/>
        <w:bottom w:val="none" w:sz="0" w:space="0" w:color="auto"/>
        <w:right w:val="none" w:sz="0" w:space="0" w:color="auto"/>
      </w:divBdr>
    </w:div>
    <w:div w:id="512455558">
      <w:bodyDiv w:val="1"/>
      <w:marLeft w:val="0"/>
      <w:marRight w:val="0"/>
      <w:marTop w:val="0"/>
      <w:marBottom w:val="0"/>
      <w:divBdr>
        <w:top w:val="none" w:sz="0" w:space="0" w:color="auto"/>
        <w:left w:val="none" w:sz="0" w:space="0" w:color="auto"/>
        <w:bottom w:val="none" w:sz="0" w:space="0" w:color="auto"/>
        <w:right w:val="none" w:sz="0" w:space="0" w:color="auto"/>
      </w:divBdr>
    </w:div>
    <w:div w:id="512493343">
      <w:bodyDiv w:val="1"/>
      <w:marLeft w:val="0"/>
      <w:marRight w:val="0"/>
      <w:marTop w:val="0"/>
      <w:marBottom w:val="0"/>
      <w:divBdr>
        <w:top w:val="none" w:sz="0" w:space="0" w:color="auto"/>
        <w:left w:val="none" w:sz="0" w:space="0" w:color="auto"/>
        <w:bottom w:val="none" w:sz="0" w:space="0" w:color="auto"/>
        <w:right w:val="none" w:sz="0" w:space="0" w:color="auto"/>
      </w:divBdr>
    </w:div>
    <w:div w:id="532620657">
      <w:bodyDiv w:val="1"/>
      <w:marLeft w:val="0"/>
      <w:marRight w:val="0"/>
      <w:marTop w:val="0"/>
      <w:marBottom w:val="0"/>
      <w:divBdr>
        <w:top w:val="none" w:sz="0" w:space="0" w:color="auto"/>
        <w:left w:val="none" w:sz="0" w:space="0" w:color="auto"/>
        <w:bottom w:val="none" w:sz="0" w:space="0" w:color="auto"/>
        <w:right w:val="none" w:sz="0" w:space="0" w:color="auto"/>
      </w:divBdr>
    </w:div>
    <w:div w:id="602878958">
      <w:bodyDiv w:val="1"/>
      <w:marLeft w:val="0"/>
      <w:marRight w:val="0"/>
      <w:marTop w:val="0"/>
      <w:marBottom w:val="0"/>
      <w:divBdr>
        <w:top w:val="none" w:sz="0" w:space="0" w:color="auto"/>
        <w:left w:val="none" w:sz="0" w:space="0" w:color="auto"/>
        <w:bottom w:val="none" w:sz="0" w:space="0" w:color="auto"/>
        <w:right w:val="none" w:sz="0" w:space="0" w:color="auto"/>
      </w:divBdr>
    </w:div>
    <w:div w:id="604045827">
      <w:bodyDiv w:val="1"/>
      <w:marLeft w:val="0"/>
      <w:marRight w:val="0"/>
      <w:marTop w:val="0"/>
      <w:marBottom w:val="0"/>
      <w:divBdr>
        <w:top w:val="none" w:sz="0" w:space="0" w:color="auto"/>
        <w:left w:val="none" w:sz="0" w:space="0" w:color="auto"/>
        <w:bottom w:val="none" w:sz="0" w:space="0" w:color="auto"/>
        <w:right w:val="none" w:sz="0" w:space="0" w:color="auto"/>
      </w:divBdr>
    </w:div>
    <w:div w:id="625350126">
      <w:bodyDiv w:val="1"/>
      <w:marLeft w:val="0"/>
      <w:marRight w:val="0"/>
      <w:marTop w:val="0"/>
      <w:marBottom w:val="0"/>
      <w:divBdr>
        <w:top w:val="none" w:sz="0" w:space="0" w:color="auto"/>
        <w:left w:val="none" w:sz="0" w:space="0" w:color="auto"/>
        <w:bottom w:val="none" w:sz="0" w:space="0" w:color="auto"/>
        <w:right w:val="none" w:sz="0" w:space="0" w:color="auto"/>
      </w:divBdr>
    </w:div>
    <w:div w:id="662899922">
      <w:bodyDiv w:val="1"/>
      <w:marLeft w:val="0"/>
      <w:marRight w:val="0"/>
      <w:marTop w:val="0"/>
      <w:marBottom w:val="0"/>
      <w:divBdr>
        <w:top w:val="none" w:sz="0" w:space="0" w:color="auto"/>
        <w:left w:val="none" w:sz="0" w:space="0" w:color="auto"/>
        <w:bottom w:val="none" w:sz="0" w:space="0" w:color="auto"/>
        <w:right w:val="none" w:sz="0" w:space="0" w:color="auto"/>
      </w:divBdr>
    </w:div>
    <w:div w:id="698580717">
      <w:bodyDiv w:val="1"/>
      <w:marLeft w:val="0"/>
      <w:marRight w:val="0"/>
      <w:marTop w:val="0"/>
      <w:marBottom w:val="0"/>
      <w:divBdr>
        <w:top w:val="none" w:sz="0" w:space="0" w:color="auto"/>
        <w:left w:val="none" w:sz="0" w:space="0" w:color="auto"/>
        <w:bottom w:val="none" w:sz="0" w:space="0" w:color="auto"/>
        <w:right w:val="none" w:sz="0" w:space="0" w:color="auto"/>
      </w:divBdr>
    </w:div>
    <w:div w:id="700319846">
      <w:bodyDiv w:val="1"/>
      <w:marLeft w:val="0"/>
      <w:marRight w:val="0"/>
      <w:marTop w:val="0"/>
      <w:marBottom w:val="0"/>
      <w:divBdr>
        <w:top w:val="none" w:sz="0" w:space="0" w:color="auto"/>
        <w:left w:val="none" w:sz="0" w:space="0" w:color="auto"/>
        <w:bottom w:val="none" w:sz="0" w:space="0" w:color="auto"/>
        <w:right w:val="none" w:sz="0" w:space="0" w:color="auto"/>
      </w:divBdr>
    </w:div>
    <w:div w:id="711462371">
      <w:bodyDiv w:val="1"/>
      <w:marLeft w:val="0"/>
      <w:marRight w:val="0"/>
      <w:marTop w:val="0"/>
      <w:marBottom w:val="0"/>
      <w:divBdr>
        <w:top w:val="none" w:sz="0" w:space="0" w:color="auto"/>
        <w:left w:val="none" w:sz="0" w:space="0" w:color="auto"/>
        <w:bottom w:val="none" w:sz="0" w:space="0" w:color="auto"/>
        <w:right w:val="none" w:sz="0" w:space="0" w:color="auto"/>
      </w:divBdr>
    </w:div>
    <w:div w:id="746343675">
      <w:bodyDiv w:val="1"/>
      <w:marLeft w:val="0"/>
      <w:marRight w:val="0"/>
      <w:marTop w:val="0"/>
      <w:marBottom w:val="0"/>
      <w:divBdr>
        <w:top w:val="none" w:sz="0" w:space="0" w:color="auto"/>
        <w:left w:val="none" w:sz="0" w:space="0" w:color="auto"/>
        <w:bottom w:val="none" w:sz="0" w:space="0" w:color="auto"/>
        <w:right w:val="none" w:sz="0" w:space="0" w:color="auto"/>
      </w:divBdr>
    </w:div>
    <w:div w:id="804011693">
      <w:bodyDiv w:val="1"/>
      <w:marLeft w:val="0"/>
      <w:marRight w:val="0"/>
      <w:marTop w:val="0"/>
      <w:marBottom w:val="0"/>
      <w:divBdr>
        <w:top w:val="none" w:sz="0" w:space="0" w:color="auto"/>
        <w:left w:val="none" w:sz="0" w:space="0" w:color="auto"/>
        <w:bottom w:val="none" w:sz="0" w:space="0" w:color="auto"/>
        <w:right w:val="none" w:sz="0" w:space="0" w:color="auto"/>
      </w:divBdr>
    </w:div>
    <w:div w:id="807480186">
      <w:bodyDiv w:val="1"/>
      <w:marLeft w:val="0"/>
      <w:marRight w:val="0"/>
      <w:marTop w:val="0"/>
      <w:marBottom w:val="0"/>
      <w:divBdr>
        <w:top w:val="none" w:sz="0" w:space="0" w:color="auto"/>
        <w:left w:val="none" w:sz="0" w:space="0" w:color="auto"/>
        <w:bottom w:val="none" w:sz="0" w:space="0" w:color="auto"/>
        <w:right w:val="none" w:sz="0" w:space="0" w:color="auto"/>
      </w:divBdr>
    </w:div>
    <w:div w:id="816070367">
      <w:bodyDiv w:val="1"/>
      <w:marLeft w:val="0"/>
      <w:marRight w:val="0"/>
      <w:marTop w:val="0"/>
      <w:marBottom w:val="0"/>
      <w:divBdr>
        <w:top w:val="none" w:sz="0" w:space="0" w:color="auto"/>
        <w:left w:val="none" w:sz="0" w:space="0" w:color="auto"/>
        <w:bottom w:val="none" w:sz="0" w:space="0" w:color="auto"/>
        <w:right w:val="none" w:sz="0" w:space="0" w:color="auto"/>
      </w:divBdr>
    </w:div>
    <w:div w:id="822770069">
      <w:bodyDiv w:val="1"/>
      <w:marLeft w:val="0"/>
      <w:marRight w:val="0"/>
      <w:marTop w:val="0"/>
      <w:marBottom w:val="0"/>
      <w:divBdr>
        <w:top w:val="none" w:sz="0" w:space="0" w:color="auto"/>
        <w:left w:val="none" w:sz="0" w:space="0" w:color="auto"/>
        <w:bottom w:val="none" w:sz="0" w:space="0" w:color="auto"/>
        <w:right w:val="none" w:sz="0" w:space="0" w:color="auto"/>
      </w:divBdr>
    </w:div>
    <w:div w:id="834031007">
      <w:bodyDiv w:val="1"/>
      <w:marLeft w:val="0"/>
      <w:marRight w:val="0"/>
      <w:marTop w:val="0"/>
      <w:marBottom w:val="0"/>
      <w:divBdr>
        <w:top w:val="none" w:sz="0" w:space="0" w:color="auto"/>
        <w:left w:val="none" w:sz="0" w:space="0" w:color="auto"/>
        <w:bottom w:val="none" w:sz="0" w:space="0" w:color="auto"/>
        <w:right w:val="none" w:sz="0" w:space="0" w:color="auto"/>
      </w:divBdr>
    </w:div>
    <w:div w:id="858128783">
      <w:bodyDiv w:val="1"/>
      <w:marLeft w:val="0"/>
      <w:marRight w:val="0"/>
      <w:marTop w:val="0"/>
      <w:marBottom w:val="0"/>
      <w:divBdr>
        <w:top w:val="none" w:sz="0" w:space="0" w:color="auto"/>
        <w:left w:val="none" w:sz="0" w:space="0" w:color="auto"/>
        <w:bottom w:val="none" w:sz="0" w:space="0" w:color="auto"/>
        <w:right w:val="none" w:sz="0" w:space="0" w:color="auto"/>
      </w:divBdr>
    </w:div>
    <w:div w:id="861473370">
      <w:bodyDiv w:val="1"/>
      <w:marLeft w:val="0"/>
      <w:marRight w:val="0"/>
      <w:marTop w:val="0"/>
      <w:marBottom w:val="0"/>
      <w:divBdr>
        <w:top w:val="none" w:sz="0" w:space="0" w:color="auto"/>
        <w:left w:val="none" w:sz="0" w:space="0" w:color="auto"/>
        <w:bottom w:val="none" w:sz="0" w:space="0" w:color="auto"/>
        <w:right w:val="none" w:sz="0" w:space="0" w:color="auto"/>
      </w:divBdr>
    </w:div>
    <w:div w:id="861673813">
      <w:bodyDiv w:val="1"/>
      <w:marLeft w:val="0"/>
      <w:marRight w:val="0"/>
      <w:marTop w:val="0"/>
      <w:marBottom w:val="0"/>
      <w:divBdr>
        <w:top w:val="none" w:sz="0" w:space="0" w:color="auto"/>
        <w:left w:val="none" w:sz="0" w:space="0" w:color="auto"/>
        <w:bottom w:val="none" w:sz="0" w:space="0" w:color="auto"/>
        <w:right w:val="none" w:sz="0" w:space="0" w:color="auto"/>
      </w:divBdr>
    </w:div>
    <w:div w:id="987325353">
      <w:bodyDiv w:val="1"/>
      <w:marLeft w:val="0"/>
      <w:marRight w:val="0"/>
      <w:marTop w:val="0"/>
      <w:marBottom w:val="0"/>
      <w:divBdr>
        <w:top w:val="none" w:sz="0" w:space="0" w:color="auto"/>
        <w:left w:val="none" w:sz="0" w:space="0" w:color="auto"/>
        <w:bottom w:val="none" w:sz="0" w:space="0" w:color="auto"/>
        <w:right w:val="none" w:sz="0" w:space="0" w:color="auto"/>
      </w:divBdr>
    </w:div>
    <w:div w:id="1001930228">
      <w:bodyDiv w:val="1"/>
      <w:marLeft w:val="0"/>
      <w:marRight w:val="0"/>
      <w:marTop w:val="0"/>
      <w:marBottom w:val="0"/>
      <w:divBdr>
        <w:top w:val="none" w:sz="0" w:space="0" w:color="auto"/>
        <w:left w:val="none" w:sz="0" w:space="0" w:color="auto"/>
        <w:bottom w:val="none" w:sz="0" w:space="0" w:color="auto"/>
        <w:right w:val="none" w:sz="0" w:space="0" w:color="auto"/>
      </w:divBdr>
    </w:div>
    <w:div w:id="1057628919">
      <w:bodyDiv w:val="1"/>
      <w:marLeft w:val="0"/>
      <w:marRight w:val="0"/>
      <w:marTop w:val="0"/>
      <w:marBottom w:val="0"/>
      <w:divBdr>
        <w:top w:val="none" w:sz="0" w:space="0" w:color="auto"/>
        <w:left w:val="none" w:sz="0" w:space="0" w:color="auto"/>
        <w:bottom w:val="none" w:sz="0" w:space="0" w:color="auto"/>
        <w:right w:val="none" w:sz="0" w:space="0" w:color="auto"/>
      </w:divBdr>
    </w:div>
    <w:div w:id="1097676025">
      <w:bodyDiv w:val="1"/>
      <w:marLeft w:val="0"/>
      <w:marRight w:val="0"/>
      <w:marTop w:val="0"/>
      <w:marBottom w:val="0"/>
      <w:divBdr>
        <w:top w:val="none" w:sz="0" w:space="0" w:color="auto"/>
        <w:left w:val="none" w:sz="0" w:space="0" w:color="auto"/>
        <w:bottom w:val="none" w:sz="0" w:space="0" w:color="auto"/>
        <w:right w:val="none" w:sz="0" w:space="0" w:color="auto"/>
      </w:divBdr>
    </w:div>
    <w:div w:id="1103068704">
      <w:bodyDiv w:val="1"/>
      <w:marLeft w:val="0"/>
      <w:marRight w:val="0"/>
      <w:marTop w:val="0"/>
      <w:marBottom w:val="0"/>
      <w:divBdr>
        <w:top w:val="none" w:sz="0" w:space="0" w:color="auto"/>
        <w:left w:val="none" w:sz="0" w:space="0" w:color="auto"/>
        <w:bottom w:val="none" w:sz="0" w:space="0" w:color="auto"/>
        <w:right w:val="none" w:sz="0" w:space="0" w:color="auto"/>
      </w:divBdr>
    </w:div>
    <w:div w:id="1111245259">
      <w:bodyDiv w:val="1"/>
      <w:marLeft w:val="0"/>
      <w:marRight w:val="0"/>
      <w:marTop w:val="0"/>
      <w:marBottom w:val="0"/>
      <w:divBdr>
        <w:top w:val="none" w:sz="0" w:space="0" w:color="auto"/>
        <w:left w:val="none" w:sz="0" w:space="0" w:color="auto"/>
        <w:bottom w:val="none" w:sz="0" w:space="0" w:color="auto"/>
        <w:right w:val="none" w:sz="0" w:space="0" w:color="auto"/>
      </w:divBdr>
    </w:div>
    <w:div w:id="1115176830">
      <w:bodyDiv w:val="1"/>
      <w:marLeft w:val="0"/>
      <w:marRight w:val="0"/>
      <w:marTop w:val="0"/>
      <w:marBottom w:val="0"/>
      <w:divBdr>
        <w:top w:val="none" w:sz="0" w:space="0" w:color="auto"/>
        <w:left w:val="none" w:sz="0" w:space="0" w:color="auto"/>
        <w:bottom w:val="none" w:sz="0" w:space="0" w:color="auto"/>
        <w:right w:val="none" w:sz="0" w:space="0" w:color="auto"/>
      </w:divBdr>
    </w:div>
    <w:div w:id="1116410531">
      <w:bodyDiv w:val="1"/>
      <w:marLeft w:val="0"/>
      <w:marRight w:val="0"/>
      <w:marTop w:val="0"/>
      <w:marBottom w:val="0"/>
      <w:divBdr>
        <w:top w:val="none" w:sz="0" w:space="0" w:color="auto"/>
        <w:left w:val="none" w:sz="0" w:space="0" w:color="auto"/>
        <w:bottom w:val="none" w:sz="0" w:space="0" w:color="auto"/>
        <w:right w:val="none" w:sz="0" w:space="0" w:color="auto"/>
      </w:divBdr>
    </w:div>
    <w:div w:id="1122073527">
      <w:bodyDiv w:val="1"/>
      <w:marLeft w:val="0"/>
      <w:marRight w:val="0"/>
      <w:marTop w:val="0"/>
      <w:marBottom w:val="0"/>
      <w:divBdr>
        <w:top w:val="none" w:sz="0" w:space="0" w:color="auto"/>
        <w:left w:val="none" w:sz="0" w:space="0" w:color="auto"/>
        <w:bottom w:val="none" w:sz="0" w:space="0" w:color="auto"/>
        <w:right w:val="none" w:sz="0" w:space="0" w:color="auto"/>
      </w:divBdr>
    </w:div>
    <w:div w:id="1138960765">
      <w:bodyDiv w:val="1"/>
      <w:marLeft w:val="0"/>
      <w:marRight w:val="0"/>
      <w:marTop w:val="0"/>
      <w:marBottom w:val="0"/>
      <w:divBdr>
        <w:top w:val="none" w:sz="0" w:space="0" w:color="auto"/>
        <w:left w:val="none" w:sz="0" w:space="0" w:color="auto"/>
        <w:bottom w:val="none" w:sz="0" w:space="0" w:color="auto"/>
        <w:right w:val="none" w:sz="0" w:space="0" w:color="auto"/>
      </w:divBdr>
    </w:div>
    <w:div w:id="1154685021">
      <w:bodyDiv w:val="1"/>
      <w:marLeft w:val="0"/>
      <w:marRight w:val="0"/>
      <w:marTop w:val="0"/>
      <w:marBottom w:val="0"/>
      <w:divBdr>
        <w:top w:val="none" w:sz="0" w:space="0" w:color="auto"/>
        <w:left w:val="none" w:sz="0" w:space="0" w:color="auto"/>
        <w:bottom w:val="none" w:sz="0" w:space="0" w:color="auto"/>
        <w:right w:val="none" w:sz="0" w:space="0" w:color="auto"/>
      </w:divBdr>
    </w:div>
    <w:div w:id="1170294346">
      <w:bodyDiv w:val="1"/>
      <w:marLeft w:val="0"/>
      <w:marRight w:val="0"/>
      <w:marTop w:val="0"/>
      <w:marBottom w:val="0"/>
      <w:divBdr>
        <w:top w:val="none" w:sz="0" w:space="0" w:color="auto"/>
        <w:left w:val="none" w:sz="0" w:space="0" w:color="auto"/>
        <w:bottom w:val="none" w:sz="0" w:space="0" w:color="auto"/>
        <w:right w:val="none" w:sz="0" w:space="0" w:color="auto"/>
      </w:divBdr>
    </w:div>
    <w:div w:id="1197885704">
      <w:bodyDiv w:val="1"/>
      <w:marLeft w:val="0"/>
      <w:marRight w:val="0"/>
      <w:marTop w:val="0"/>
      <w:marBottom w:val="0"/>
      <w:divBdr>
        <w:top w:val="none" w:sz="0" w:space="0" w:color="auto"/>
        <w:left w:val="none" w:sz="0" w:space="0" w:color="auto"/>
        <w:bottom w:val="none" w:sz="0" w:space="0" w:color="auto"/>
        <w:right w:val="none" w:sz="0" w:space="0" w:color="auto"/>
      </w:divBdr>
    </w:div>
    <w:div w:id="1204638255">
      <w:bodyDiv w:val="1"/>
      <w:marLeft w:val="0"/>
      <w:marRight w:val="0"/>
      <w:marTop w:val="0"/>
      <w:marBottom w:val="0"/>
      <w:divBdr>
        <w:top w:val="none" w:sz="0" w:space="0" w:color="auto"/>
        <w:left w:val="none" w:sz="0" w:space="0" w:color="auto"/>
        <w:bottom w:val="none" w:sz="0" w:space="0" w:color="auto"/>
        <w:right w:val="none" w:sz="0" w:space="0" w:color="auto"/>
      </w:divBdr>
    </w:div>
    <w:div w:id="1224564463">
      <w:bodyDiv w:val="1"/>
      <w:marLeft w:val="0"/>
      <w:marRight w:val="0"/>
      <w:marTop w:val="0"/>
      <w:marBottom w:val="0"/>
      <w:divBdr>
        <w:top w:val="none" w:sz="0" w:space="0" w:color="auto"/>
        <w:left w:val="none" w:sz="0" w:space="0" w:color="auto"/>
        <w:bottom w:val="none" w:sz="0" w:space="0" w:color="auto"/>
        <w:right w:val="none" w:sz="0" w:space="0" w:color="auto"/>
      </w:divBdr>
    </w:div>
    <w:div w:id="1254431623">
      <w:bodyDiv w:val="1"/>
      <w:marLeft w:val="0"/>
      <w:marRight w:val="0"/>
      <w:marTop w:val="0"/>
      <w:marBottom w:val="0"/>
      <w:divBdr>
        <w:top w:val="none" w:sz="0" w:space="0" w:color="auto"/>
        <w:left w:val="none" w:sz="0" w:space="0" w:color="auto"/>
        <w:bottom w:val="none" w:sz="0" w:space="0" w:color="auto"/>
        <w:right w:val="none" w:sz="0" w:space="0" w:color="auto"/>
      </w:divBdr>
    </w:div>
    <w:div w:id="1254585440">
      <w:bodyDiv w:val="1"/>
      <w:marLeft w:val="0"/>
      <w:marRight w:val="0"/>
      <w:marTop w:val="0"/>
      <w:marBottom w:val="0"/>
      <w:divBdr>
        <w:top w:val="none" w:sz="0" w:space="0" w:color="auto"/>
        <w:left w:val="none" w:sz="0" w:space="0" w:color="auto"/>
        <w:bottom w:val="none" w:sz="0" w:space="0" w:color="auto"/>
        <w:right w:val="none" w:sz="0" w:space="0" w:color="auto"/>
      </w:divBdr>
    </w:div>
    <w:div w:id="1273709621">
      <w:bodyDiv w:val="1"/>
      <w:marLeft w:val="0"/>
      <w:marRight w:val="0"/>
      <w:marTop w:val="0"/>
      <w:marBottom w:val="0"/>
      <w:divBdr>
        <w:top w:val="none" w:sz="0" w:space="0" w:color="auto"/>
        <w:left w:val="none" w:sz="0" w:space="0" w:color="auto"/>
        <w:bottom w:val="none" w:sz="0" w:space="0" w:color="auto"/>
        <w:right w:val="none" w:sz="0" w:space="0" w:color="auto"/>
      </w:divBdr>
    </w:div>
    <w:div w:id="1296065902">
      <w:bodyDiv w:val="1"/>
      <w:marLeft w:val="0"/>
      <w:marRight w:val="0"/>
      <w:marTop w:val="0"/>
      <w:marBottom w:val="0"/>
      <w:divBdr>
        <w:top w:val="none" w:sz="0" w:space="0" w:color="auto"/>
        <w:left w:val="none" w:sz="0" w:space="0" w:color="auto"/>
        <w:bottom w:val="none" w:sz="0" w:space="0" w:color="auto"/>
        <w:right w:val="none" w:sz="0" w:space="0" w:color="auto"/>
      </w:divBdr>
    </w:div>
    <w:div w:id="1343779034">
      <w:bodyDiv w:val="1"/>
      <w:marLeft w:val="0"/>
      <w:marRight w:val="0"/>
      <w:marTop w:val="0"/>
      <w:marBottom w:val="0"/>
      <w:divBdr>
        <w:top w:val="none" w:sz="0" w:space="0" w:color="auto"/>
        <w:left w:val="none" w:sz="0" w:space="0" w:color="auto"/>
        <w:bottom w:val="none" w:sz="0" w:space="0" w:color="auto"/>
        <w:right w:val="none" w:sz="0" w:space="0" w:color="auto"/>
      </w:divBdr>
    </w:div>
    <w:div w:id="1411541509">
      <w:bodyDiv w:val="1"/>
      <w:marLeft w:val="0"/>
      <w:marRight w:val="0"/>
      <w:marTop w:val="0"/>
      <w:marBottom w:val="0"/>
      <w:divBdr>
        <w:top w:val="none" w:sz="0" w:space="0" w:color="auto"/>
        <w:left w:val="none" w:sz="0" w:space="0" w:color="auto"/>
        <w:bottom w:val="none" w:sz="0" w:space="0" w:color="auto"/>
        <w:right w:val="none" w:sz="0" w:space="0" w:color="auto"/>
      </w:divBdr>
    </w:div>
    <w:div w:id="1411728781">
      <w:bodyDiv w:val="1"/>
      <w:marLeft w:val="0"/>
      <w:marRight w:val="0"/>
      <w:marTop w:val="0"/>
      <w:marBottom w:val="0"/>
      <w:divBdr>
        <w:top w:val="none" w:sz="0" w:space="0" w:color="auto"/>
        <w:left w:val="none" w:sz="0" w:space="0" w:color="auto"/>
        <w:bottom w:val="none" w:sz="0" w:space="0" w:color="auto"/>
        <w:right w:val="none" w:sz="0" w:space="0" w:color="auto"/>
      </w:divBdr>
    </w:div>
    <w:div w:id="1438796022">
      <w:bodyDiv w:val="1"/>
      <w:marLeft w:val="0"/>
      <w:marRight w:val="0"/>
      <w:marTop w:val="0"/>
      <w:marBottom w:val="0"/>
      <w:divBdr>
        <w:top w:val="none" w:sz="0" w:space="0" w:color="auto"/>
        <w:left w:val="none" w:sz="0" w:space="0" w:color="auto"/>
        <w:bottom w:val="none" w:sz="0" w:space="0" w:color="auto"/>
        <w:right w:val="none" w:sz="0" w:space="0" w:color="auto"/>
      </w:divBdr>
    </w:div>
    <w:div w:id="1449859288">
      <w:bodyDiv w:val="1"/>
      <w:marLeft w:val="0"/>
      <w:marRight w:val="0"/>
      <w:marTop w:val="0"/>
      <w:marBottom w:val="0"/>
      <w:divBdr>
        <w:top w:val="none" w:sz="0" w:space="0" w:color="auto"/>
        <w:left w:val="none" w:sz="0" w:space="0" w:color="auto"/>
        <w:bottom w:val="none" w:sz="0" w:space="0" w:color="auto"/>
        <w:right w:val="none" w:sz="0" w:space="0" w:color="auto"/>
      </w:divBdr>
    </w:div>
    <w:div w:id="1450853643">
      <w:bodyDiv w:val="1"/>
      <w:marLeft w:val="0"/>
      <w:marRight w:val="0"/>
      <w:marTop w:val="0"/>
      <w:marBottom w:val="0"/>
      <w:divBdr>
        <w:top w:val="none" w:sz="0" w:space="0" w:color="auto"/>
        <w:left w:val="none" w:sz="0" w:space="0" w:color="auto"/>
        <w:bottom w:val="none" w:sz="0" w:space="0" w:color="auto"/>
        <w:right w:val="none" w:sz="0" w:space="0" w:color="auto"/>
      </w:divBdr>
    </w:div>
    <w:div w:id="1468627184">
      <w:bodyDiv w:val="1"/>
      <w:marLeft w:val="0"/>
      <w:marRight w:val="0"/>
      <w:marTop w:val="0"/>
      <w:marBottom w:val="0"/>
      <w:divBdr>
        <w:top w:val="none" w:sz="0" w:space="0" w:color="auto"/>
        <w:left w:val="none" w:sz="0" w:space="0" w:color="auto"/>
        <w:bottom w:val="none" w:sz="0" w:space="0" w:color="auto"/>
        <w:right w:val="none" w:sz="0" w:space="0" w:color="auto"/>
      </w:divBdr>
    </w:div>
    <w:div w:id="1490053235">
      <w:bodyDiv w:val="1"/>
      <w:marLeft w:val="0"/>
      <w:marRight w:val="0"/>
      <w:marTop w:val="0"/>
      <w:marBottom w:val="0"/>
      <w:divBdr>
        <w:top w:val="none" w:sz="0" w:space="0" w:color="auto"/>
        <w:left w:val="none" w:sz="0" w:space="0" w:color="auto"/>
        <w:bottom w:val="none" w:sz="0" w:space="0" w:color="auto"/>
        <w:right w:val="none" w:sz="0" w:space="0" w:color="auto"/>
      </w:divBdr>
    </w:div>
    <w:div w:id="1525024221">
      <w:bodyDiv w:val="1"/>
      <w:marLeft w:val="0"/>
      <w:marRight w:val="0"/>
      <w:marTop w:val="0"/>
      <w:marBottom w:val="0"/>
      <w:divBdr>
        <w:top w:val="none" w:sz="0" w:space="0" w:color="auto"/>
        <w:left w:val="none" w:sz="0" w:space="0" w:color="auto"/>
        <w:bottom w:val="none" w:sz="0" w:space="0" w:color="auto"/>
        <w:right w:val="none" w:sz="0" w:space="0" w:color="auto"/>
      </w:divBdr>
    </w:div>
    <w:div w:id="1549414643">
      <w:bodyDiv w:val="1"/>
      <w:marLeft w:val="0"/>
      <w:marRight w:val="0"/>
      <w:marTop w:val="0"/>
      <w:marBottom w:val="0"/>
      <w:divBdr>
        <w:top w:val="none" w:sz="0" w:space="0" w:color="auto"/>
        <w:left w:val="none" w:sz="0" w:space="0" w:color="auto"/>
        <w:bottom w:val="none" w:sz="0" w:space="0" w:color="auto"/>
        <w:right w:val="none" w:sz="0" w:space="0" w:color="auto"/>
      </w:divBdr>
    </w:div>
    <w:div w:id="1609116391">
      <w:bodyDiv w:val="1"/>
      <w:marLeft w:val="0"/>
      <w:marRight w:val="0"/>
      <w:marTop w:val="0"/>
      <w:marBottom w:val="0"/>
      <w:divBdr>
        <w:top w:val="none" w:sz="0" w:space="0" w:color="auto"/>
        <w:left w:val="none" w:sz="0" w:space="0" w:color="auto"/>
        <w:bottom w:val="none" w:sz="0" w:space="0" w:color="auto"/>
        <w:right w:val="none" w:sz="0" w:space="0" w:color="auto"/>
      </w:divBdr>
    </w:div>
    <w:div w:id="1620338747">
      <w:bodyDiv w:val="1"/>
      <w:marLeft w:val="0"/>
      <w:marRight w:val="0"/>
      <w:marTop w:val="0"/>
      <w:marBottom w:val="0"/>
      <w:divBdr>
        <w:top w:val="none" w:sz="0" w:space="0" w:color="auto"/>
        <w:left w:val="none" w:sz="0" w:space="0" w:color="auto"/>
        <w:bottom w:val="none" w:sz="0" w:space="0" w:color="auto"/>
        <w:right w:val="none" w:sz="0" w:space="0" w:color="auto"/>
      </w:divBdr>
    </w:div>
    <w:div w:id="1634215434">
      <w:bodyDiv w:val="1"/>
      <w:marLeft w:val="0"/>
      <w:marRight w:val="0"/>
      <w:marTop w:val="0"/>
      <w:marBottom w:val="0"/>
      <w:divBdr>
        <w:top w:val="none" w:sz="0" w:space="0" w:color="auto"/>
        <w:left w:val="none" w:sz="0" w:space="0" w:color="auto"/>
        <w:bottom w:val="none" w:sz="0" w:space="0" w:color="auto"/>
        <w:right w:val="none" w:sz="0" w:space="0" w:color="auto"/>
      </w:divBdr>
    </w:div>
    <w:div w:id="1659574312">
      <w:bodyDiv w:val="1"/>
      <w:marLeft w:val="0"/>
      <w:marRight w:val="0"/>
      <w:marTop w:val="0"/>
      <w:marBottom w:val="0"/>
      <w:divBdr>
        <w:top w:val="none" w:sz="0" w:space="0" w:color="auto"/>
        <w:left w:val="none" w:sz="0" w:space="0" w:color="auto"/>
        <w:bottom w:val="none" w:sz="0" w:space="0" w:color="auto"/>
        <w:right w:val="none" w:sz="0" w:space="0" w:color="auto"/>
      </w:divBdr>
    </w:div>
    <w:div w:id="1663310449">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6517472">
      <w:bodyDiv w:val="1"/>
      <w:marLeft w:val="0"/>
      <w:marRight w:val="0"/>
      <w:marTop w:val="0"/>
      <w:marBottom w:val="0"/>
      <w:divBdr>
        <w:top w:val="none" w:sz="0" w:space="0" w:color="auto"/>
        <w:left w:val="none" w:sz="0" w:space="0" w:color="auto"/>
        <w:bottom w:val="none" w:sz="0" w:space="0" w:color="auto"/>
        <w:right w:val="none" w:sz="0" w:space="0" w:color="auto"/>
      </w:divBdr>
    </w:div>
    <w:div w:id="1737239001">
      <w:bodyDiv w:val="1"/>
      <w:marLeft w:val="0"/>
      <w:marRight w:val="0"/>
      <w:marTop w:val="0"/>
      <w:marBottom w:val="0"/>
      <w:divBdr>
        <w:top w:val="none" w:sz="0" w:space="0" w:color="auto"/>
        <w:left w:val="none" w:sz="0" w:space="0" w:color="auto"/>
        <w:bottom w:val="none" w:sz="0" w:space="0" w:color="auto"/>
        <w:right w:val="none" w:sz="0" w:space="0" w:color="auto"/>
      </w:divBdr>
    </w:div>
    <w:div w:id="1739589670">
      <w:bodyDiv w:val="1"/>
      <w:marLeft w:val="0"/>
      <w:marRight w:val="0"/>
      <w:marTop w:val="0"/>
      <w:marBottom w:val="0"/>
      <w:divBdr>
        <w:top w:val="none" w:sz="0" w:space="0" w:color="auto"/>
        <w:left w:val="none" w:sz="0" w:space="0" w:color="auto"/>
        <w:bottom w:val="none" w:sz="0" w:space="0" w:color="auto"/>
        <w:right w:val="none" w:sz="0" w:space="0" w:color="auto"/>
      </w:divBdr>
    </w:div>
    <w:div w:id="1740782629">
      <w:bodyDiv w:val="1"/>
      <w:marLeft w:val="0"/>
      <w:marRight w:val="0"/>
      <w:marTop w:val="0"/>
      <w:marBottom w:val="0"/>
      <w:divBdr>
        <w:top w:val="none" w:sz="0" w:space="0" w:color="auto"/>
        <w:left w:val="none" w:sz="0" w:space="0" w:color="auto"/>
        <w:bottom w:val="none" w:sz="0" w:space="0" w:color="auto"/>
        <w:right w:val="none" w:sz="0" w:space="0" w:color="auto"/>
      </w:divBdr>
    </w:div>
    <w:div w:id="1764908486">
      <w:bodyDiv w:val="1"/>
      <w:marLeft w:val="0"/>
      <w:marRight w:val="0"/>
      <w:marTop w:val="0"/>
      <w:marBottom w:val="0"/>
      <w:divBdr>
        <w:top w:val="none" w:sz="0" w:space="0" w:color="auto"/>
        <w:left w:val="none" w:sz="0" w:space="0" w:color="auto"/>
        <w:bottom w:val="none" w:sz="0" w:space="0" w:color="auto"/>
        <w:right w:val="none" w:sz="0" w:space="0" w:color="auto"/>
      </w:divBdr>
    </w:div>
    <w:div w:id="1766606896">
      <w:bodyDiv w:val="1"/>
      <w:marLeft w:val="0"/>
      <w:marRight w:val="0"/>
      <w:marTop w:val="0"/>
      <w:marBottom w:val="0"/>
      <w:divBdr>
        <w:top w:val="none" w:sz="0" w:space="0" w:color="auto"/>
        <w:left w:val="none" w:sz="0" w:space="0" w:color="auto"/>
        <w:bottom w:val="none" w:sz="0" w:space="0" w:color="auto"/>
        <w:right w:val="none" w:sz="0" w:space="0" w:color="auto"/>
      </w:divBdr>
    </w:div>
    <w:div w:id="1825928773">
      <w:bodyDiv w:val="1"/>
      <w:marLeft w:val="0"/>
      <w:marRight w:val="0"/>
      <w:marTop w:val="0"/>
      <w:marBottom w:val="0"/>
      <w:divBdr>
        <w:top w:val="none" w:sz="0" w:space="0" w:color="auto"/>
        <w:left w:val="none" w:sz="0" w:space="0" w:color="auto"/>
        <w:bottom w:val="none" w:sz="0" w:space="0" w:color="auto"/>
        <w:right w:val="none" w:sz="0" w:space="0" w:color="auto"/>
      </w:divBdr>
    </w:div>
    <w:div w:id="1854608406">
      <w:bodyDiv w:val="1"/>
      <w:marLeft w:val="0"/>
      <w:marRight w:val="0"/>
      <w:marTop w:val="0"/>
      <w:marBottom w:val="0"/>
      <w:divBdr>
        <w:top w:val="none" w:sz="0" w:space="0" w:color="auto"/>
        <w:left w:val="none" w:sz="0" w:space="0" w:color="auto"/>
        <w:bottom w:val="none" w:sz="0" w:space="0" w:color="auto"/>
        <w:right w:val="none" w:sz="0" w:space="0" w:color="auto"/>
      </w:divBdr>
    </w:div>
    <w:div w:id="1856387115">
      <w:bodyDiv w:val="1"/>
      <w:marLeft w:val="0"/>
      <w:marRight w:val="0"/>
      <w:marTop w:val="0"/>
      <w:marBottom w:val="0"/>
      <w:divBdr>
        <w:top w:val="none" w:sz="0" w:space="0" w:color="auto"/>
        <w:left w:val="none" w:sz="0" w:space="0" w:color="auto"/>
        <w:bottom w:val="none" w:sz="0" w:space="0" w:color="auto"/>
        <w:right w:val="none" w:sz="0" w:space="0" w:color="auto"/>
      </w:divBdr>
    </w:div>
    <w:div w:id="1857186936">
      <w:bodyDiv w:val="1"/>
      <w:marLeft w:val="0"/>
      <w:marRight w:val="0"/>
      <w:marTop w:val="0"/>
      <w:marBottom w:val="0"/>
      <w:divBdr>
        <w:top w:val="none" w:sz="0" w:space="0" w:color="auto"/>
        <w:left w:val="none" w:sz="0" w:space="0" w:color="auto"/>
        <w:bottom w:val="none" w:sz="0" w:space="0" w:color="auto"/>
        <w:right w:val="none" w:sz="0" w:space="0" w:color="auto"/>
      </w:divBdr>
    </w:div>
    <w:div w:id="1863668184">
      <w:bodyDiv w:val="1"/>
      <w:marLeft w:val="0"/>
      <w:marRight w:val="0"/>
      <w:marTop w:val="0"/>
      <w:marBottom w:val="0"/>
      <w:divBdr>
        <w:top w:val="none" w:sz="0" w:space="0" w:color="auto"/>
        <w:left w:val="none" w:sz="0" w:space="0" w:color="auto"/>
        <w:bottom w:val="none" w:sz="0" w:space="0" w:color="auto"/>
        <w:right w:val="none" w:sz="0" w:space="0" w:color="auto"/>
      </w:divBdr>
    </w:div>
    <w:div w:id="1958489204">
      <w:bodyDiv w:val="1"/>
      <w:marLeft w:val="0"/>
      <w:marRight w:val="0"/>
      <w:marTop w:val="0"/>
      <w:marBottom w:val="0"/>
      <w:divBdr>
        <w:top w:val="none" w:sz="0" w:space="0" w:color="auto"/>
        <w:left w:val="none" w:sz="0" w:space="0" w:color="auto"/>
        <w:bottom w:val="none" w:sz="0" w:space="0" w:color="auto"/>
        <w:right w:val="none" w:sz="0" w:space="0" w:color="auto"/>
      </w:divBdr>
    </w:div>
    <w:div w:id="2006975515">
      <w:bodyDiv w:val="1"/>
      <w:marLeft w:val="0"/>
      <w:marRight w:val="0"/>
      <w:marTop w:val="0"/>
      <w:marBottom w:val="0"/>
      <w:divBdr>
        <w:top w:val="none" w:sz="0" w:space="0" w:color="auto"/>
        <w:left w:val="none" w:sz="0" w:space="0" w:color="auto"/>
        <w:bottom w:val="none" w:sz="0" w:space="0" w:color="auto"/>
        <w:right w:val="none" w:sz="0" w:space="0" w:color="auto"/>
      </w:divBdr>
    </w:div>
    <w:div w:id="2063096871">
      <w:bodyDiv w:val="1"/>
      <w:marLeft w:val="0"/>
      <w:marRight w:val="0"/>
      <w:marTop w:val="0"/>
      <w:marBottom w:val="0"/>
      <w:divBdr>
        <w:top w:val="none" w:sz="0" w:space="0" w:color="auto"/>
        <w:left w:val="none" w:sz="0" w:space="0" w:color="auto"/>
        <w:bottom w:val="none" w:sz="0" w:space="0" w:color="auto"/>
        <w:right w:val="none" w:sz="0" w:space="0" w:color="auto"/>
      </w:divBdr>
    </w:div>
    <w:div w:id="2068914884">
      <w:bodyDiv w:val="1"/>
      <w:marLeft w:val="0"/>
      <w:marRight w:val="0"/>
      <w:marTop w:val="0"/>
      <w:marBottom w:val="0"/>
      <w:divBdr>
        <w:top w:val="none" w:sz="0" w:space="0" w:color="auto"/>
        <w:left w:val="none" w:sz="0" w:space="0" w:color="auto"/>
        <w:bottom w:val="none" w:sz="0" w:space="0" w:color="auto"/>
        <w:right w:val="none" w:sz="0" w:space="0" w:color="auto"/>
      </w:divBdr>
    </w:div>
    <w:div w:id="21410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p.cz/index.php?a=view-project-folder&amp;project_folder_id=113&amp;"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vvi.cz/"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msmt.cz/vyzkum-a-vyvoj/stanoveni-koeficientu-pro-vypocet-ucelove-podpory-n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portal.statnipokladna.cz/irj/portal/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smt.cz/vzdelavani/vysoke-skolstvi/pravidla-pro-poskytovani-prispevku-a-dotaci-na-rok-201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9DAD-8679-4E19-B96B-46EDFF78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117</Pages>
  <Words>40496</Words>
  <Characters>227837</Characters>
  <Application>Microsoft Office Word</Application>
  <DocSecurity>0</DocSecurity>
  <Lines>1898</Lines>
  <Paragraphs>535</Paragraphs>
  <ScaleCrop>false</ScaleCrop>
  <HeadingPairs>
    <vt:vector size="2" baseType="variant">
      <vt:variant>
        <vt:lpstr>Název</vt:lpstr>
      </vt:variant>
      <vt:variant>
        <vt:i4>1</vt:i4>
      </vt:variant>
    </vt:vector>
  </HeadingPairs>
  <TitlesOfParts>
    <vt:vector size="1" baseType="lpstr">
      <vt:lpstr>Návrh rozpočtu kapitoly 333 MŠMT</vt:lpstr>
    </vt:vector>
  </TitlesOfParts>
  <Company>MŠMT</Company>
  <LinksUpToDate>false</LinksUpToDate>
  <CharactersWithSpaces>267798</CharactersWithSpaces>
  <SharedDoc>false</SharedDoc>
  <HLinks>
    <vt:vector size="204" baseType="variant">
      <vt:variant>
        <vt:i4>2621556</vt:i4>
      </vt:variant>
      <vt:variant>
        <vt:i4>621</vt:i4>
      </vt:variant>
      <vt:variant>
        <vt:i4>0</vt:i4>
      </vt:variant>
      <vt:variant>
        <vt:i4>5</vt:i4>
      </vt:variant>
      <vt:variant>
        <vt:lpwstr>https://portal.statnipokladna.cz/irj/portal/index.html</vt:lpwstr>
      </vt:variant>
      <vt:variant>
        <vt:lpwstr/>
      </vt:variant>
      <vt:variant>
        <vt:i4>2687011</vt:i4>
      </vt:variant>
      <vt:variant>
        <vt:i4>618</vt:i4>
      </vt:variant>
      <vt:variant>
        <vt:i4>0</vt:i4>
      </vt:variant>
      <vt:variant>
        <vt:i4>5</vt:i4>
      </vt:variant>
      <vt:variant>
        <vt:lpwstr>http://www.naep.cz/index.php?a=view-project-folder&amp;project_folder_id=113&amp;</vt:lpwstr>
      </vt:variant>
      <vt:variant>
        <vt:lpwstr/>
      </vt:variant>
      <vt:variant>
        <vt:i4>1769488</vt:i4>
      </vt:variant>
      <vt:variant>
        <vt:i4>537</vt:i4>
      </vt:variant>
      <vt:variant>
        <vt:i4>0</vt:i4>
      </vt:variant>
      <vt:variant>
        <vt:i4>5</vt:i4>
      </vt:variant>
      <vt:variant>
        <vt:lpwstr>https://www.rvvi.cz/</vt:lpwstr>
      </vt:variant>
      <vt:variant>
        <vt:lpwstr/>
      </vt:variant>
      <vt:variant>
        <vt:i4>3276915</vt:i4>
      </vt:variant>
      <vt:variant>
        <vt:i4>522</vt:i4>
      </vt:variant>
      <vt:variant>
        <vt:i4>0</vt:i4>
      </vt:variant>
      <vt:variant>
        <vt:i4>5</vt:i4>
      </vt:variant>
      <vt:variant>
        <vt:lpwstr>http://www.msmt.cz/vyzkum-a-vyvoj/stanoveni-koeficientu-pro-vypocet-ucelove-podpory-na</vt:lpwstr>
      </vt:variant>
      <vt:variant>
        <vt:lpwstr/>
      </vt:variant>
      <vt:variant>
        <vt:i4>1376306</vt:i4>
      </vt:variant>
      <vt:variant>
        <vt:i4>455</vt:i4>
      </vt:variant>
      <vt:variant>
        <vt:i4>0</vt:i4>
      </vt:variant>
      <vt:variant>
        <vt:i4>5</vt:i4>
      </vt:variant>
      <vt:variant>
        <vt:lpwstr/>
      </vt:variant>
      <vt:variant>
        <vt:lpwstr>_Toc477331270</vt:lpwstr>
      </vt:variant>
      <vt:variant>
        <vt:i4>1310770</vt:i4>
      </vt:variant>
      <vt:variant>
        <vt:i4>449</vt:i4>
      </vt:variant>
      <vt:variant>
        <vt:i4>0</vt:i4>
      </vt:variant>
      <vt:variant>
        <vt:i4>5</vt:i4>
      </vt:variant>
      <vt:variant>
        <vt:lpwstr/>
      </vt:variant>
      <vt:variant>
        <vt:lpwstr>_Toc477331269</vt:lpwstr>
      </vt:variant>
      <vt:variant>
        <vt:i4>1310770</vt:i4>
      </vt:variant>
      <vt:variant>
        <vt:i4>443</vt:i4>
      </vt:variant>
      <vt:variant>
        <vt:i4>0</vt:i4>
      </vt:variant>
      <vt:variant>
        <vt:i4>5</vt:i4>
      </vt:variant>
      <vt:variant>
        <vt:lpwstr/>
      </vt:variant>
      <vt:variant>
        <vt:lpwstr>_Toc477331268</vt:lpwstr>
      </vt:variant>
      <vt:variant>
        <vt:i4>1310770</vt:i4>
      </vt:variant>
      <vt:variant>
        <vt:i4>437</vt:i4>
      </vt:variant>
      <vt:variant>
        <vt:i4>0</vt:i4>
      </vt:variant>
      <vt:variant>
        <vt:i4>5</vt:i4>
      </vt:variant>
      <vt:variant>
        <vt:lpwstr/>
      </vt:variant>
      <vt:variant>
        <vt:lpwstr>_Toc477331267</vt:lpwstr>
      </vt:variant>
      <vt:variant>
        <vt:i4>1310770</vt:i4>
      </vt:variant>
      <vt:variant>
        <vt:i4>431</vt:i4>
      </vt:variant>
      <vt:variant>
        <vt:i4>0</vt:i4>
      </vt:variant>
      <vt:variant>
        <vt:i4>5</vt:i4>
      </vt:variant>
      <vt:variant>
        <vt:lpwstr/>
      </vt:variant>
      <vt:variant>
        <vt:lpwstr>_Toc477331266</vt:lpwstr>
      </vt:variant>
      <vt:variant>
        <vt:i4>1310770</vt:i4>
      </vt:variant>
      <vt:variant>
        <vt:i4>425</vt:i4>
      </vt:variant>
      <vt:variant>
        <vt:i4>0</vt:i4>
      </vt:variant>
      <vt:variant>
        <vt:i4>5</vt:i4>
      </vt:variant>
      <vt:variant>
        <vt:lpwstr/>
      </vt:variant>
      <vt:variant>
        <vt:lpwstr>_Toc477331265</vt:lpwstr>
      </vt:variant>
      <vt:variant>
        <vt:i4>1310770</vt:i4>
      </vt:variant>
      <vt:variant>
        <vt:i4>419</vt:i4>
      </vt:variant>
      <vt:variant>
        <vt:i4>0</vt:i4>
      </vt:variant>
      <vt:variant>
        <vt:i4>5</vt:i4>
      </vt:variant>
      <vt:variant>
        <vt:lpwstr/>
      </vt:variant>
      <vt:variant>
        <vt:lpwstr>_Toc477331264</vt:lpwstr>
      </vt:variant>
      <vt:variant>
        <vt:i4>1310770</vt:i4>
      </vt:variant>
      <vt:variant>
        <vt:i4>413</vt:i4>
      </vt:variant>
      <vt:variant>
        <vt:i4>0</vt:i4>
      </vt:variant>
      <vt:variant>
        <vt:i4>5</vt:i4>
      </vt:variant>
      <vt:variant>
        <vt:lpwstr/>
      </vt:variant>
      <vt:variant>
        <vt:lpwstr>_Toc477331263</vt:lpwstr>
      </vt:variant>
      <vt:variant>
        <vt:i4>1310770</vt:i4>
      </vt:variant>
      <vt:variant>
        <vt:i4>407</vt:i4>
      </vt:variant>
      <vt:variant>
        <vt:i4>0</vt:i4>
      </vt:variant>
      <vt:variant>
        <vt:i4>5</vt:i4>
      </vt:variant>
      <vt:variant>
        <vt:lpwstr/>
      </vt:variant>
      <vt:variant>
        <vt:lpwstr>_Toc477331262</vt:lpwstr>
      </vt:variant>
      <vt:variant>
        <vt:i4>1310770</vt:i4>
      </vt:variant>
      <vt:variant>
        <vt:i4>401</vt:i4>
      </vt:variant>
      <vt:variant>
        <vt:i4>0</vt:i4>
      </vt:variant>
      <vt:variant>
        <vt:i4>5</vt:i4>
      </vt:variant>
      <vt:variant>
        <vt:lpwstr/>
      </vt:variant>
      <vt:variant>
        <vt:lpwstr>_Toc477331261</vt:lpwstr>
      </vt:variant>
      <vt:variant>
        <vt:i4>1310770</vt:i4>
      </vt:variant>
      <vt:variant>
        <vt:i4>395</vt:i4>
      </vt:variant>
      <vt:variant>
        <vt:i4>0</vt:i4>
      </vt:variant>
      <vt:variant>
        <vt:i4>5</vt:i4>
      </vt:variant>
      <vt:variant>
        <vt:lpwstr/>
      </vt:variant>
      <vt:variant>
        <vt:lpwstr>_Toc477331260</vt:lpwstr>
      </vt:variant>
      <vt:variant>
        <vt:i4>1507378</vt:i4>
      </vt:variant>
      <vt:variant>
        <vt:i4>389</vt:i4>
      </vt:variant>
      <vt:variant>
        <vt:i4>0</vt:i4>
      </vt:variant>
      <vt:variant>
        <vt:i4>5</vt:i4>
      </vt:variant>
      <vt:variant>
        <vt:lpwstr/>
      </vt:variant>
      <vt:variant>
        <vt:lpwstr>_Toc477331259</vt:lpwstr>
      </vt:variant>
      <vt:variant>
        <vt:i4>1507378</vt:i4>
      </vt:variant>
      <vt:variant>
        <vt:i4>383</vt:i4>
      </vt:variant>
      <vt:variant>
        <vt:i4>0</vt:i4>
      </vt:variant>
      <vt:variant>
        <vt:i4>5</vt:i4>
      </vt:variant>
      <vt:variant>
        <vt:lpwstr/>
      </vt:variant>
      <vt:variant>
        <vt:lpwstr>_Toc477331258</vt:lpwstr>
      </vt:variant>
      <vt:variant>
        <vt:i4>1507378</vt:i4>
      </vt:variant>
      <vt:variant>
        <vt:i4>377</vt:i4>
      </vt:variant>
      <vt:variant>
        <vt:i4>0</vt:i4>
      </vt:variant>
      <vt:variant>
        <vt:i4>5</vt:i4>
      </vt:variant>
      <vt:variant>
        <vt:lpwstr/>
      </vt:variant>
      <vt:variant>
        <vt:lpwstr>_Toc477331257</vt:lpwstr>
      </vt:variant>
      <vt:variant>
        <vt:i4>1507378</vt:i4>
      </vt:variant>
      <vt:variant>
        <vt:i4>371</vt:i4>
      </vt:variant>
      <vt:variant>
        <vt:i4>0</vt:i4>
      </vt:variant>
      <vt:variant>
        <vt:i4>5</vt:i4>
      </vt:variant>
      <vt:variant>
        <vt:lpwstr/>
      </vt:variant>
      <vt:variant>
        <vt:lpwstr>_Toc477331256</vt:lpwstr>
      </vt:variant>
      <vt:variant>
        <vt:i4>1507378</vt:i4>
      </vt:variant>
      <vt:variant>
        <vt:i4>365</vt:i4>
      </vt:variant>
      <vt:variant>
        <vt:i4>0</vt:i4>
      </vt:variant>
      <vt:variant>
        <vt:i4>5</vt:i4>
      </vt:variant>
      <vt:variant>
        <vt:lpwstr/>
      </vt:variant>
      <vt:variant>
        <vt:lpwstr>_Toc477331255</vt:lpwstr>
      </vt:variant>
      <vt:variant>
        <vt:i4>1507378</vt:i4>
      </vt:variant>
      <vt:variant>
        <vt:i4>359</vt:i4>
      </vt:variant>
      <vt:variant>
        <vt:i4>0</vt:i4>
      </vt:variant>
      <vt:variant>
        <vt:i4>5</vt:i4>
      </vt:variant>
      <vt:variant>
        <vt:lpwstr/>
      </vt:variant>
      <vt:variant>
        <vt:lpwstr>_Toc477331254</vt:lpwstr>
      </vt:variant>
      <vt:variant>
        <vt:i4>1507378</vt:i4>
      </vt:variant>
      <vt:variant>
        <vt:i4>353</vt:i4>
      </vt:variant>
      <vt:variant>
        <vt:i4>0</vt:i4>
      </vt:variant>
      <vt:variant>
        <vt:i4>5</vt:i4>
      </vt:variant>
      <vt:variant>
        <vt:lpwstr/>
      </vt:variant>
      <vt:variant>
        <vt:lpwstr>_Toc477331253</vt:lpwstr>
      </vt:variant>
      <vt:variant>
        <vt:i4>1507378</vt:i4>
      </vt:variant>
      <vt:variant>
        <vt:i4>347</vt:i4>
      </vt:variant>
      <vt:variant>
        <vt:i4>0</vt:i4>
      </vt:variant>
      <vt:variant>
        <vt:i4>5</vt:i4>
      </vt:variant>
      <vt:variant>
        <vt:lpwstr/>
      </vt:variant>
      <vt:variant>
        <vt:lpwstr>_Toc477331252</vt:lpwstr>
      </vt:variant>
      <vt:variant>
        <vt:i4>1507378</vt:i4>
      </vt:variant>
      <vt:variant>
        <vt:i4>341</vt:i4>
      </vt:variant>
      <vt:variant>
        <vt:i4>0</vt:i4>
      </vt:variant>
      <vt:variant>
        <vt:i4>5</vt:i4>
      </vt:variant>
      <vt:variant>
        <vt:lpwstr/>
      </vt:variant>
      <vt:variant>
        <vt:lpwstr>_Toc477331251</vt:lpwstr>
      </vt:variant>
      <vt:variant>
        <vt:i4>1507378</vt:i4>
      </vt:variant>
      <vt:variant>
        <vt:i4>335</vt:i4>
      </vt:variant>
      <vt:variant>
        <vt:i4>0</vt:i4>
      </vt:variant>
      <vt:variant>
        <vt:i4>5</vt:i4>
      </vt:variant>
      <vt:variant>
        <vt:lpwstr/>
      </vt:variant>
      <vt:variant>
        <vt:lpwstr>_Toc477331250</vt:lpwstr>
      </vt:variant>
      <vt:variant>
        <vt:i4>1441842</vt:i4>
      </vt:variant>
      <vt:variant>
        <vt:i4>329</vt:i4>
      </vt:variant>
      <vt:variant>
        <vt:i4>0</vt:i4>
      </vt:variant>
      <vt:variant>
        <vt:i4>5</vt:i4>
      </vt:variant>
      <vt:variant>
        <vt:lpwstr/>
      </vt:variant>
      <vt:variant>
        <vt:lpwstr>_Toc477331249</vt:lpwstr>
      </vt:variant>
      <vt:variant>
        <vt:i4>1441842</vt:i4>
      </vt:variant>
      <vt:variant>
        <vt:i4>323</vt:i4>
      </vt:variant>
      <vt:variant>
        <vt:i4>0</vt:i4>
      </vt:variant>
      <vt:variant>
        <vt:i4>5</vt:i4>
      </vt:variant>
      <vt:variant>
        <vt:lpwstr/>
      </vt:variant>
      <vt:variant>
        <vt:lpwstr>_Toc477331248</vt:lpwstr>
      </vt:variant>
      <vt:variant>
        <vt:i4>1441842</vt:i4>
      </vt:variant>
      <vt:variant>
        <vt:i4>317</vt:i4>
      </vt:variant>
      <vt:variant>
        <vt:i4>0</vt:i4>
      </vt:variant>
      <vt:variant>
        <vt:i4>5</vt:i4>
      </vt:variant>
      <vt:variant>
        <vt:lpwstr/>
      </vt:variant>
      <vt:variant>
        <vt:lpwstr>_Toc477331247</vt:lpwstr>
      </vt:variant>
      <vt:variant>
        <vt:i4>1441842</vt:i4>
      </vt:variant>
      <vt:variant>
        <vt:i4>311</vt:i4>
      </vt:variant>
      <vt:variant>
        <vt:i4>0</vt:i4>
      </vt:variant>
      <vt:variant>
        <vt:i4>5</vt:i4>
      </vt:variant>
      <vt:variant>
        <vt:lpwstr/>
      </vt:variant>
      <vt:variant>
        <vt:lpwstr>_Toc477331246</vt:lpwstr>
      </vt:variant>
      <vt:variant>
        <vt:i4>1441842</vt:i4>
      </vt:variant>
      <vt:variant>
        <vt:i4>305</vt:i4>
      </vt:variant>
      <vt:variant>
        <vt:i4>0</vt:i4>
      </vt:variant>
      <vt:variant>
        <vt:i4>5</vt:i4>
      </vt:variant>
      <vt:variant>
        <vt:lpwstr/>
      </vt:variant>
      <vt:variant>
        <vt:lpwstr>_Toc477331245</vt:lpwstr>
      </vt:variant>
      <vt:variant>
        <vt:i4>1441842</vt:i4>
      </vt:variant>
      <vt:variant>
        <vt:i4>299</vt:i4>
      </vt:variant>
      <vt:variant>
        <vt:i4>0</vt:i4>
      </vt:variant>
      <vt:variant>
        <vt:i4>5</vt:i4>
      </vt:variant>
      <vt:variant>
        <vt:lpwstr/>
      </vt:variant>
      <vt:variant>
        <vt:lpwstr>_Toc477331244</vt:lpwstr>
      </vt:variant>
      <vt:variant>
        <vt:i4>1441842</vt:i4>
      </vt:variant>
      <vt:variant>
        <vt:i4>293</vt:i4>
      </vt:variant>
      <vt:variant>
        <vt:i4>0</vt:i4>
      </vt:variant>
      <vt:variant>
        <vt:i4>5</vt:i4>
      </vt:variant>
      <vt:variant>
        <vt:lpwstr/>
      </vt:variant>
      <vt:variant>
        <vt:lpwstr>_Toc477331243</vt:lpwstr>
      </vt:variant>
      <vt:variant>
        <vt:i4>1441842</vt:i4>
      </vt:variant>
      <vt:variant>
        <vt:i4>287</vt:i4>
      </vt:variant>
      <vt:variant>
        <vt:i4>0</vt:i4>
      </vt:variant>
      <vt:variant>
        <vt:i4>5</vt:i4>
      </vt:variant>
      <vt:variant>
        <vt:lpwstr/>
      </vt:variant>
      <vt:variant>
        <vt:lpwstr>_Toc477331242</vt:lpwstr>
      </vt:variant>
      <vt:variant>
        <vt:i4>1441842</vt:i4>
      </vt:variant>
      <vt:variant>
        <vt:i4>281</vt:i4>
      </vt:variant>
      <vt:variant>
        <vt:i4>0</vt:i4>
      </vt:variant>
      <vt:variant>
        <vt:i4>5</vt:i4>
      </vt:variant>
      <vt:variant>
        <vt:lpwstr/>
      </vt:variant>
      <vt:variant>
        <vt:lpwstr>_Toc477331241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rozpočtu kapitoly 333 MŠMT</dc:title>
  <dc:creator>Tereza.Jurkova@msmt.cz</dc:creator>
  <cp:lastModifiedBy>Jurková Tereza</cp:lastModifiedBy>
  <cp:revision>51</cp:revision>
  <cp:lastPrinted>2019-04-15T06:03:00Z</cp:lastPrinted>
  <dcterms:created xsi:type="dcterms:W3CDTF">2019-03-28T06:04:00Z</dcterms:created>
  <dcterms:modified xsi:type="dcterms:W3CDTF">2019-04-15T06:05:00Z</dcterms:modified>
</cp:coreProperties>
</file>