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9EB" w:rsidRDefault="00CB09EB" w:rsidP="00CB09EB">
      <w:pPr>
        <w:spacing w:after="0"/>
        <w:jc w:val="center"/>
        <w:rPr>
          <w:sz w:val="28"/>
          <w:szCs w:val="28"/>
        </w:rPr>
      </w:pPr>
      <w:r w:rsidRPr="00D73AFA">
        <w:rPr>
          <w:b/>
          <w:sz w:val="28"/>
          <w:szCs w:val="28"/>
        </w:rPr>
        <w:t xml:space="preserve">Harmonogram sběru a certifikace RUV pro rok </w:t>
      </w:r>
      <w:r>
        <w:rPr>
          <w:b/>
          <w:sz w:val="28"/>
          <w:szCs w:val="28"/>
        </w:rPr>
        <w:t xml:space="preserve">2019 </w:t>
      </w:r>
      <w:r w:rsidRPr="00375AC9">
        <w:rPr>
          <w:sz w:val="28"/>
          <w:szCs w:val="28"/>
        </w:rPr>
        <w:t>(období 1.</w:t>
      </w:r>
      <w:r>
        <w:rPr>
          <w:sz w:val="28"/>
          <w:szCs w:val="28"/>
        </w:rPr>
        <w:t xml:space="preserve"> </w:t>
      </w:r>
      <w:r w:rsidRPr="00375AC9">
        <w:rPr>
          <w:sz w:val="28"/>
          <w:szCs w:val="28"/>
        </w:rPr>
        <w:t>7.</w:t>
      </w:r>
      <w:r>
        <w:rPr>
          <w:sz w:val="28"/>
          <w:szCs w:val="28"/>
        </w:rPr>
        <w:t xml:space="preserve"> </w:t>
      </w:r>
      <w:r w:rsidRPr="00375AC9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375AC9">
        <w:rPr>
          <w:sz w:val="28"/>
          <w:szCs w:val="28"/>
        </w:rPr>
        <w:t xml:space="preserve"> – 30.</w:t>
      </w:r>
      <w:r>
        <w:rPr>
          <w:sz w:val="28"/>
          <w:szCs w:val="28"/>
        </w:rPr>
        <w:t xml:space="preserve"> </w:t>
      </w:r>
      <w:r w:rsidRPr="00375AC9">
        <w:rPr>
          <w:sz w:val="28"/>
          <w:szCs w:val="28"/>
        </w:rPr>
        <w:t>6.</w:t>
      </w:r>
      <w:r>
        <w:rPr>
          <w:sz w:val="28"/>
          <w:szCs w:val="28"/>
        </w:rPr>
        <w:t xml:space="preserve"> 2020</w:t>
      </w:r>
      <w:r w:rsidRPr="00375AC9">
        <w:rPr>
          <w:sz w:val="28"/>
          <w:szCs w:val="28"/>
        </w:rPr>
        <w:t>)</w:t>
      </w:r>
    </w:p>
    <w:p w:rsidR="00CB09EB" w:rsidRPr="00375AC9" w:rsidRDefault="00CB09EB" w:rsidP="00CB09EB">
      <w:pPr>
        <w:spacing w:after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6"/>
        <w:gridCol w:w="1188"/>
        <w:gridCol w:w="993"/>
        <w:gridCol w:w="5386"/>
      </w:tblGrid>
      <w:tr w:rsidR="00CB09EB" w:rsidTr="004F2EC5">
        <w:tc>
          <w:tcPr>
            <w:tcW w:w="1296" w:type="dxa"/>
            <w:shd w:val="clear" w:color="auto" w:fill="E0E0E0"/>
          </w:tcPr>
          <w:p w:rsidR="00CB09EB" w:rsidRPr="0076400B" w:rsidRDefault="00CB09EB" w:rsidP="000C7F6D">
            <w:pPr>
              <w:spacing w:after="0"/>
              <w:rPr>
                <w:b/>
              </w:rPr>
            </w:pPr>
            <w:r w:rsidRPr="0076400B">
              <w:rPr>
                <w:b/>
              </w:rPr>
              <w:t>Od</w:t>
            </w:r>
          </w:p>
        </w:tc>
        <w:tc>
          <w:tcPr>
            <w:tcW w:w="1188" w:type="dxa"/>
            <w:shd w:val="clear" w:color="auto" w:fill="E0E0E0"/>
          </w:tcPr>
          <w:p w:rsidR="00CB09EB" w:rsidRPr="0076400B" w:rsidRDefault="00CB09EB" w:rsidP="000C7F6D">
            <w:pPr>
              <w:spacing w:after="0"/>
              <w:rPr>
                <w:b/>
              </w:rPr>
            </w:pPr>
            <w:r w:rsidRPr="0076400B">
              <w:rPr>
                <w:b/>
              </w:rPr>
              <w:t>Do</w:t>
            </w:r>
          </w:p>
        </w:tc>
        <w:tc>
          <w:tcPr>
            <w:tcW w:w="993" w:type="dxa"/>
            <w:shd w:val="clear" w:color="auto" w:fill="E0E0E0"/>
          </w:tcPr>
          <w:p w:rsidR="00CB09EB" w:rsidRPr="0076400B" w:rsidRDefault="00CB09EB" w:rsidP="000C7F6D">
            <w:pPr>
              <w:spacing w:after="0"/>
              <w:rPr>
                <w:b/>
              </w:rPr>
            </w:pPr>
            <w:r w:rsidRPr="0076400B">
              <w:rPr>
                <w:b/>
              </w:rPr>
              <w:t>Počet dní</w:t>
            </w:r>
          </w:p>
        </w:tc>
        <w:tc>
          <w:tcPr>
            <w:tcW w:w="5386" w:type="dxa"/>
            <w:shd w:val="clear" w:color="auto" w:fill="E0E0E0"/>
          </w:tcPr>
          <w:p w:rsidR="00CB09EB" w:rsidRPr="0076400B" w:rsidRDefault="00CB09EB" w:rsidP="000C7F6D">
            <w:pPr>
              <w:spacing w:after="0"/>
              <w:rPr>
                <w:b/>
              </w:rPr>
            </w:pPr>
            <w:r w:rsidRPr="0076400B">
              <w:rPr>
                <w:b/>
              </w:rPr>
              <w:t>Akce</w:t>
            </w:r>
          </w:p>
        </w:tc>
      </w:tr>
      <w:tr w:rsidR="00CB09EB" w:rsidTr="004F2EC5">
        <w:tc>
          <w:tcPr>
            <w:tcW w:w="1296" w:type="dxa"/>
            <w:vAlign w:val="center"/>
          </w:tcPr>
          <w:p w:rsidR="00CB09EB" w:rsidRDefault="00CB09EB" w:rsidP="000C7F6D">
            <w:pPr>
              <w:spacing w:after="0"/>
              <w:jc w:val="right"/>
            </w:pPr>
            <w:r>
              <w:t>1. 7.</w:t>
            </w:r>
          </w:p>
        </w:tc>
        <w:tc>
          <w:tcPr>
            <w:tcW w:w="1188" w:type="dxa"/>
            <w:vAlign w:val="center"/>
          </w:tcPr>
          <w:p w:rsidR="00CB09EB" w:rsidRDefault="00CB09EB" w:rsidP="000C7F6D">
            <w:pPr>
              <w:spacing w:after="0"/>
              <w:jc w:val="right"/>
            </w:pPr>
            <w:r>
              <w:t>13. 9.</w:t>
            </w:r>
          </w:p>
        </w:tc>
        <w:tc>
          <w:tcPr>
            <w:tcW w:w="993" w:type="dxa"/>
            <w:vAlign w:val="center"/>
          </w:tcPr>
          <w:p w:rsidR="00CB09EB" w:rsidRDefault="00890C9C" w:rsidP="000C7F6D">
            <w:pPr>
              <w:spacing w:after="0"/>
              <w:jc w:val="right"/>
            </w:pPr>
            <w:r>
              <w:t>75</w:t>
            </w:r>
          </w:p>
        </w:tc>
        <w:tc>
          <w:tcPr>
            <w:tcW w:w="538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170"/>
            </w:tblGrid>
            <w:tr w:rsidR="00CB09EB" w:rsidRPr="0026562A" w:rsidTr="000C7F6D">
              <w:trPr>
                <w:trHeight w:val="515"/>
              </w:trPr>
              <w:tc>
                <w:tcPr>
                  <w:tcW w:w="0" w:type="auto"/>
                </w:tcPr>
                <w:p w:rsidR="00CB09EB" w:rsidRPr="0026562A" w:rsidRDefault="00CB09EB" w:rsidP="000C7F6D">
                  <w:pPr>
                    <w:pStyle w:val="Default"/>
                    <w:ind w:left="-74"/>
                    <w:rPr>
                      <w:sz w:val="22"/>
                      <w:szCs w:val="22"/>
                    </w:rPr>
                  </w:pPr>
                  <w:r w:rsidRPr="0026562A">
                    <w:rPr>
                      <w:sz w:val="22"/>
                      <w:szCs w:val="22"/>
                    </w:rPr>
                    <w:t>Garanti zrevidují číselníky</w:t>
                  </w:r>
                  <w:r>
                    <w:rPr>
                      <w:sz w:val="22"/>
                      <w:szCs w:val="22"/>
                    </w:rPr>
                    <w:t>:</w:t>
                  </w:r>
                  <w:r w:rsidRPr="0026562A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D</w:t>
                  </w:r>
                  <w:r w:rsidRPr="0026562A">
                    <w:rPr>
                      <w:sz w:val="22"/>
                      <w:szCs w:val="22"/>
                    </w:rPr>
                    <w:t>ruh činnost</w:t>
                  </w:r>
                  <w:r>
                    <w:rPr>
                      <w:sz w:val="22"/>
                      <w:szCs w:val="22"/>
                    </w:rPr>
                    <w:t xml:space="preserve">i, </w:t>
                  </w:r>
                  <w:r w:rsidRPr="0026562A">
                    <w:rPr>
                      <w:sz w:val="22"/>
                      <w:szCs w:val="22"/>
                    </w:rPr>
                    <w:t xml:space="preserve">KLM </w:t>
                  </w:r>
                  <w:r>
                    <w:rPr>
                      <w:sz w:val="22"/>
                      <w:szCs w:val="22"/>
                    </w:rPr>
                    <w:t xml:space="preserve">a </w:t>
                  </w:r>
                  <w:r w:rsidRPr="0026562A">
                    <w:rPr>
                      <w:sz w:val="22"/>
                      <w:szCs w:val="22"/>
                    </w:rPr>
                    <w:t>XYZ</w:t>
                  </w:r>
                  <w:r>
                    <w:rPr>
                      <w:sz w:val="22"/>
                      <w:szCs w:val="22"/>
                    </w:rPr>
                    <w:t>, příp. ABCD</w:t>
                  </w:r>
                  <w:r w:rsidRPr="0026562A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:rsidR="00CB09EB" w:rsidRPr="0026562A" w:rsidRDefault="00CB09EB" w:rsidP="000C7F6D">
            <w:pPr>
              <w:spacing w:after="0"/>
            </w:pPr>
          </w:p>
        </w:tc>
      </w:tr>
      <w:tr w:rsidR="00CB09EB" w:rsidTr="004F2EC5">
        <w:tc>
          <w:tcPr>
            <w:tcW w:w="1296" w:type="dxa"/>
            <w:vAlign w:val="center"/>
          </w:tcPr>
          <w:p w:rsidR="00CB09EB" w:rsidRDefault="00CB09EB" w:rsidP="000C7F6D">
            <w:pPr>
              <w:spacing w:after="0"/>
              <w:jc w:val="right"/>
            </w:pPr>
            <w:r>
              <w:t>16. 9.</w:t>
            </w:r>
          </w:p>
        </w:tc>
        <w:tc>
          <w:tcPr>
            <w:tcW w:w="1188" w:type="dxa"/>
            <w:vAlign w:val="center"/>
          </w:tcPr>
          <w:p w:rsidR="00CB09EB" w:rsidRDefault="00CB09EB" w:rsidP="000C7F6D">
            <w:pPr>
              <w:spacing w:after="0"/>
              <w:jc w:val="right"/>
            </w:pPr>
            <w:r>
              <w:t>14. 10.</w:t>
            </w:r>
          </w:p>
        </w:tc>
        <w:tc>
          <w:tcPr>
            <w:tcW w:w="993" w:type="dxa"/>
            <w:vAlign w:val="center"/>
          </w:tcPr>
          <w:p w:rsidR="00CB09EB" w:rsidRDefault="00CB09EB" w:rsidP="000C7F6D">
            <w:pPr>
              <w:spacing w:after="0"/>
              <w:jc w:val="right"/>
            </w:pPr>
            <w:r>
              <w:t>29</w:t>
            </w:r>
          </w:p>
        </w:tc>
        <w:tc>
          <w:tcPr>
            <w:tcW w:w="5386" w:type="dxa"/>
          </w:tcPr>
          <w:p w:rsidR="00CB09EB" w:rsidRPr="0026562A" w:rsidRDefault="00CB09EB" w:rsidP="000C7F6D">
            <w:pPr>
              <w:spacing w:after="0"/>
            </w:pPr>
            <w:r w:rsidRPr="0026562A">
              <w:t xml:space="preserve">Schválení </w:t>
            </w:r>
            <w:r>
              <w:t xml:space="preserve">revidovaných číselníků </w:t>
            </w:r>
            <w:proofErr w:type="spellStart"/>
            <w:r w:rsidRPr="0026562A">
              <w:t>certifikátory</w:t>
            </w:r>
            <w:proofErr w:type="spellEnd"/>
            <w:r>
              <w:t xml:space="preserve"> metodou většinové shody, tj. 2 </w:t>
            </w:r>
            <w:proofErr w:type="spellStart"/>
            <w:r>
              <w:t>certifikátoři</w:t>
            </w:r>
            <w:proofErr w:type="spellEnd"/>
            <w:r w:rsidRPr="0026562A">
              <w:t xml:space="preserve"> v každém (pod)segmentu</w:t>
            </w:r>
            <w:r>
              <w:t xml:space="preserve"> a aktualizace Manuálů jednotlivých segmentů</w:t>
            </w:r>
          </w:p>
        </w:tc>
      </w:tr>
      <w:tr w:rsidR="00CB09EB" w:rsidTr="004F2EC5">
        <w:tc>
          <w:tcPr>
            <w:tcW w:w="1296" w:type="dxa"/>
            <w:vAlign w:val="center"/>
          </w:tcPr>
          <w:p w:rsidR="00CB09EB" w:rsidRDefault="00CB09EB" w:rsidP="000C7F6D">
            <w:pPr>
              <w:spacing w:after="0"/>
              <w:jc w:val="right"/>
            </w:pPr>
            <w:r>
              <w:t>15. 10.</w:t>
            </w:r>
          </w:p>
        </w:tc>
        <w:tc>
          <w:tcPr>
            <w:tcW w:w="1188" w:type="dxa"/>
            <w:vAlign w:val="center"/>
          </w:tcPr>
          <w:p w:rsidR="00CB09EB" w:rsidRDefault="00CB09EB" w:rsidP="000C7F6D">
            <w:pPr>
              <w:spacing w:after="0"/>
              <w:jc w:val="right"/>
            </w:pPr>
            <w:r>
              <w:t>31. 10.</w:t>
            </w:r>
          </w:p>
        </w:tc>
        <w:tc>
          <w:tcPr>
            <w:tcW w:w="993" w:type="dxa"/>
            <w:vAlign w:val="center"/>
          </w:tcPr>
          <w:p w:rsidR="00CB09EB" w:rsidRDefault="00CB09EB" w:rsidP="00890C9C">
            <w:pPr>
              <w:spacing w:after="0"/>
              <w:jc w:val="right"/>
            </w:pPr>
            <w:r>
              <w:t>1</w:t>
            </w:r>
            <w:r w:rsidR="00890C9C">
              <w:t>7</w:t>
            </w:r>
          </w:p>
        </w:tc>
        <w:tc>
          <w:tcPr>
            <w:tcW w:w="5386" w:type="dxa"/>
          </w:tcPr>
          <w:p w:rsidR="00CB09EB" w:rsidRPr="0026562A" w:rsidRDefault="00CB09EB" w:rsidP="000C7F6D">
            <w:pPr>
              <w:spacing w:after="0"/>
            </w:pPr>
            <w:r w:rsidRPr="0026562A">
              <w:t xml:space="preserve">Nastavení </w:t>
            </w:r>
            <w:r>
              <w:t xml:space="preserve">certifikovaných </w:t>
            </w:r>
            <w:r w:rsidRPr="0026562A">
              <w:t>číselníků v aplikaci</w:t>
            </w:r>
          </w:p>
        </w:tc>
      </w:tr>
      <w:tr w:rsidR="00CB09EB" w:rsidTr="004F2EC5">
        <w:tc>
          <w:tcPr>
            <w:tcW w:w="1296" w:type="dxa"/>
            <w:vAlign w:val="center"/>
          </w:tcPr>
          <w:p w:rsidR="00CB09EB" w:rsidRDefault="00CB09EB" w:rsidP="000C7F6D">
            <w:pPr>
              <w:pStyle w:val="Odstavecseseznamem"/>
              <w:numPr>
                <w:ilvl w:val="0"/>
                <w:numId w:val="1"/>
              </w:numPr>
              <w:spacing w:after="0"/>
              <w:jc w:val="right"/>
            </w:pPr>
            <w:r>
              <w:t>11.</w:t>
            </w:r>
          </w:p>
        </w:tc>
        <w:tc>
          <w:tcPr>
            <w:tcW w:w="1188" w:type="dxa"/>
            <w:vAlign w:val="center"/>
          </w:tcPr>
          <w:p w:rsidR="00CB09EB" w:rsidRDefault="00CB09EB" w:rsidP="00890C9C">
            <w:pPr>
              <w:spacing w:after="0"/>
              <w:jc w:val="right"/>
            </w:pPr>
            <w:r>
              <w:t>1</w:t>
            </w:r>
            <w:r w:rsidR="00890C9C">
              <w:t>3</w:t>
            </w:r>
            <w:r>
              <w:t xml:space="preserve">. 12. </w:t>
            </w:r>
          </w:p>
        </w:tc>
        <w:tc>
          <w:tcPr>
            <w:tcW w:w="993" w:type="dxa"/>
            <w:vAlign w:val="center"/>
          </w:tcPr>
          <w:p w:rsidR="00CB09EB" w:rsidRDefault="00890C9C" w:rsidP="00890C9C">
            <w:pPr>
              <w:spacing w:after="0"/>
              <w:jc w:val="right"/>
            </w:pPr>
            <w:r>
              <w:t>43</w:t>
            </w:r>
          </w:p>
        </w:tc>
        <w:tc>
          <w:tcPr>
            <w:tcW w:w="5386" w:type="dxa"/>
          </w:tcPr>
          <w:p w:rsidR="00CB09EB" w:rsidRPr="0026562A" w:rsidRDefault="00CB09EB" w:rsidP="000C7F6D">
            <w:pPr>
              <w:spacing w:after="0"/>
            </w:pPr>
            <w:r>
              <w:t>Odstávka aplikace – plánované úpravy + testování provedených úprav</w:t>
            </w:r>
          </w:p>
        </w:tc>
      </w:tr>
      <w:tr w:rsidR="004F2EC5" w:rsidTr="004F2EC5">
        <w:tc>
          <w:tcPr>
            <w:tcW w:w="1296" w:type="dxa"/>
            <w:vAlign w:val="center"/>
          </w:tcPr>
          <w:p w:rsidR="004F2EC5" w:rsidRDefault="004F2EC5" w:rsidP="000C7F6D">
            <w:pPr>
              <w:spacing w:after="0"/>
              <w:jc w:val="right"/>
            </w:pPr>
          </w:p>
        </w:tc>
        <w:tc>
          <w:tcPr>
            <w:tcW w:w="1188" w:type="dxa"/>
            <w:vAlign w:val="center"/>
          </w:tcPr>
          <w:p w:rsidR="004F2EC5" w:rsidRDefault="004F2EC5" w:rsidP="000C7F6D">
            <w:pPr>
              <w:spacing w:after="0"/>
              <w:jc w:val="right"/>
            </w:pPr>
            <w:r>
              <w:t xml:space="preserve">28. 11. </w:t>
            </w:r>
          </w:p>
        </w:tc>
        <w:tc>
          <w:tcPr>
            <w:tcW w:w="993" w:type="dxa"/>
            <w:vAlign w:val="center"/>
          </w:tcPr>
          <w:p w:rsidR="004F2EC5" w:rsidRDefault="004F2EC5" w:rsidP="000C7F6D">
            <w:pPr>
              <w:spacing w:after="0"/>
              <w:jc w:val="right"/>
            </w:pPr>
          </w:p>
        </w:tc>
        <w:tc>
          <w:tcPr>
            <w:tcW w:w="5386" w:type="dxa"/>
          </w:tcPr>
          <w:p w:rsidR="004F2EC5" w:rsidRPr="0026562A" w:rsidRDefault="004F2EC5" w:rsidP="000C7F6D">
            <w:pPr>
              <w:spacing w:after="0"/>
            </w:pPr>
            <w:r w:rsidRPr="004F2EC5">
              <w:t>Informační schůzka zástupců MŠMT, Rady RUV, garantů segmentů RUV a zástupců vysokých škol zapisujících do RUV – MŠMT, C081</w:t>
            </w:r>
          </w:p>
        </w:tc>
      </w:tr>
      <w:tr w:rsidR="00CB09EB" w:rsidTr="004F2EC5">
        <w:tc>
          <w:tcPr>
            <w:tcW w:w="1296" w:type="dxa"/>
            <w:vAlign w:val="center"/>
          </w:tcPr>
          <w:p w:rsidR="00CB09EB" w:rsidRDefault="00CB09EB" w:rsidP="000C7F6D">
            <w:pPr>
              <w:spacing w:after="0"/>
              <w:jc w:val="right"/>
            </w:pPr>
            <w:r>
              <w:t>1. 1.</w:t>
            </w:r>
          </w:p>
        </w:tc>
        <w:tc>
          <w:tcPr>
            <w:tcW w:w="1188" w:type="dxa"/>
            <w:vAlign w:val="center"/>
          </w:tcPr>
          <w:p w:rsidR="00CB09EB" w:rsidRDefault="00CB09EB" w:rsidP="000C7F6D">
            <w:pPr>
              <w:spacing w:after="0"/>
              <w:jc w:val="right"/>
            </w:pPr>
            <w:r>
              <w:t>14. 2.</w:t>
            </w:r>
          </w:p>
        </w:tc>
        <w:tc>
          <w:tcPr>
            <w:tcW w:w="993" w:type="dxa"/>
            <w:vAlign w:val="center"/>
          </w:tcPr>
          <w:p w:rsidR="00CB09EB" w:rsidRDefault="00CB09EB" w:rsidP="000C7F6D">
            <w:pPr>
              <w:spacing w:after="0"/>
              <w:jc w:val="right"/>
            </w:pPr>
            <w:r>
              <w:t>45</w:t>
            </w:r>
          </w:p>
        </w:tc>
        <w:tc>
          <w:tcPr>
            <w:tcW w:w="5386" w:type="dxa"/>
          </w:tcPr>
          <w:p w:rsidR="00CB09EB" w:rsidRPr="0026562A" w:rsidRDefault="00CB09EB" w:rsidP="000C7F6D">
            <w:pPr>
              <w:spacing w:after="0"/>
            </w:pPr>
            <w:r w:rsidRPr="0026562A">
              <w:t>Zadávání výstupů roku 201</w:t>
            </w:r>
            <w:r>
              <w:t>9</w:t>
            </w:r>
            <w:r w:rsidRPr="0026562A">
              <w:t xml:space="preserve"> </w:t>
            </w:r>
            <w:r>
              <w:t>+ žádosti o přehodnocení starších výstupů.</w:t>
            </w:r>
            <w:r w:rsidRPr="0026562A">
              <w:t xml:space="preserve"> </w:t>
            </w:r>
          </w:p>
          <w:p w:rsidR="00CB09EB" w:rsidRPr="0026562A" w:rsidRDefault="00CB09EB" w:rsidP="000C7F6D">
            <w:pPr>
              <w:spacing w:after="0"/>
            </w:pPr>
            <w:r w:rsidRPr="0026562A">
              <w:t>Děkan má možnost nastavit interní termín fakulty</w:t>
            </w:r>
            <w:r>
              <w:t xml:space="preserve">. </w:t>
            </w:r>
          </w:p>
        </w:tc>
      </w:tr>
      <w:tr w:rsidR="00CB09EB" w:rsidTr="004F2EC5">
        <w:tc>
          <w:tcPr>
            <w:tcW w:w="1296" w:type="dxa"/>
            <w:vAlign w:val="center"/>
          </w:tcPr>
          <w:p w:rsidR="00CB09EB" w:rsidRDefault="00CB09EB" w:rsidP="00890C9C">
            <w:pPr>
              <w:spacing w:after="0"/>
              <w:jc w:val="right"/>
            </w:pPr>
            <w:r>
              <w:t>1</w:t>
            </w:r>
            <w:r w:rsidR="00890C9C">
              <w:t>7</w:t>
            </w:r>
            <w:r>
              <w:t>. 2.</w:t>
            </w:r>
          </w:p>
        </w:tc>
        <w:tc>
          <w:tcPr>
            <w:tcW w:w="1188" w:type="dxa"/>
            <w:vAlign w:val="center"/>
          </w:tcPr>
          <w:p w:rsidR="00CB09EB" w:rsidRDefault="00CB09EB" w:rsidP="000C7F6D">
            <w:pPr>
              <w:spacing w:after="0"/>
              <w:jc w:val="right"/>
            </w:pPr>
            <w:r>
              <w:t>10. 3.</w:t>
            </w:r>
          </w:p>
        </w:tc>
        <w:tc>
          <w:tcPr>
            <w:tcW w:w="993" w:type="dxa"/>
            <w:vAlign w:val="center"/>
          </w:tcPr>
          <w:p w:rsidR="00CB09EB" w:rsidRDefault="00CB09EB" w:rsidP="00890C9C">
            <w:pPr>
              <w:spacing w:after="0"/>
              <w:jc w:val="right"/>
            </w:pPr>
            <w:r>
              <w:t>2</w:t>
            </w:r>
            <w:r w:rsidR="00890C9C">
              <w:t>3</w:t>
            </w:r>
          </w:p>
        </w:tc>
        <w:tc>
          <w:tcPr>
            <w:tcW w:w="5386" w:type="dxa"/>
          </w:tcPr>
          <w:p w:rsidR="00CB09EB" w:rsidRDefault="00CB09EB" w:rsidP="000C7F6D">
            <w:pPr>
              <w:spacing w:after="0"/>
            </w:pPr>
            <w:r>
              <w:t xml:space="preserve">Srovnávací hodnocení v jednotlivých segmentech a zadání kódu garanta + certifikace nových výskytů metodou většinové shody stejnými </w:t>
            </w:r>
            <w:proofErr w:type="spellStart"/>
            <w:r>
              <w:t>certifikátory</w:t>
            </w:r>
            <w:proofErr w:type="spellEnd"/>
            <w:r>
              <w:t xml:space="preserve"> jako na podzim</w:t>
            </w:r>
          </w:p>
        </w:tc>
      </w:tr>
      <w:tr w:rsidR="00CB09EB" w:rsidTr="004F2EC5">
        <w:tc>
          <w:tcPr>
            <w:tcW w:w="1296" w:type="dxa"/>
            <w:vAlign w:val="center"/>
          </w:tcPr>
          <w:p w:rsidR="00CB09EB" w:rsidRDefault="00CB09EB" w:rsidP="000C7F6D">
            <w:pPr>
              <w:spacing w:after="0"/>
              <w:jc w:val="right"/>
            </w:pPr>
            <w:r>
              <w:t>11. 3.</w:t>
            </w:r>
          </w:p>
        </w:tc>
        <w:tc>
          <w:tcPr>
            <w:tcW w:w="1188" w:type="dxa"/>
            <w:vAlign w:val="center"/>
          </w:tcPr>
          <w:p w:rsidR="00CB09EB" w:rsidRDefault="00CB09EB" w:rsidP="000C7F6D">
            <w:pPr>
              <w:spacing w:after="0"/>
              <w:jc w:val="right"/>
            </w:pPr>
            <w:r>
              <w:t>20. 3.</w:t>
            </w:r>
          </w:p>
        </w:tc>
        <w:tc>
          <w:tcPr>
            <w:tcW w:w="993" w:type="dxa"/>
            <w:vAlign w:val="center"/>
          </w:tcPr>
          <w:p w:rsidR="00CB09EB" w:rsidRDefault="00CB09EB" w:rsidP="000C7F6D">
            <w:pPr>
              <w:spacing w:after="0"/>
              <w:jc w:val="right"/>
            </w:pPr>
            <w:r>
              <w:t>10</w:t>
            </w:r>
          </w:p>
        </w:tc>
        <w:tc>
          <w:tcPr>
            <w:tcW w:w="5386" w:type="dxa"/>
          </w:tcPr>
          <w:p w:rsidR="00CB09EB" w:rsidRPr="00A35614" w:rsidRDefault="00CB09EB" w:rsidP="000C7F6D">
            <w:pPr>
              <w:spacing w:after="0"/>
            </w:pPr>
            <w:r w:rsidRPr="00A35614">
              <w:t>Odeslání výstupů děkanem k</w:t>
            </w:r>
            <w:r>
              <w:t> </w:t>
            </w:r>
            <w:r w:rsidRPr="00A35614">
              <w:t>certifikaci</w:t>
            </w:r>
          </w:p>
        </w:tc>
      </w:tr>
      <w:tr w:rsidR="00CB09EB" w:rsidTr="004F2EC5">
        <w:tc>
          <w:tcPr>
            <w:tcW w:w="1296" w:type="dxa"/>
            <w:vAlign w:val="center"/>
          </w:tcPr>
          <w:p w:rsidR="00CB09EB" w:rsidRDefault="00CB09EB" w:rsidP="002B158C">
            <w:pPr>
              <w:spacing w:after="0"/>
              <w:jc w:val="right"/>
            </w:pPr>
            <w:r>
              <w:t>2</w:t>
            </w:r>
            <w:r w:rsidR="002B158C">
              <w:t>3</w:t>
            </w:r>
            <w:r>
              <w:t>. 3.</w:t>
            </w:r>
          </w:p>
        </w:tc>
        <w:tc>
          <w:tcPr>
            <w:tcW w:w="1188" w:type="dxa"/>
            <w:vAlign w:val="center"/>
          </w:tcPr>
          <w:p w:rsidR="00CB09EB" w:rsidRDefault="00CB09EB" w:rsidP="000C7F6D">
            <w:pPr>
              <w:spacing w:after="0"/>
              <w:jc w:val="right"/>
            </w:pPr>
            <w:r>
              <w:t>31. 3.</w:t>
            </w:r>
          </w:p>
        </w:tc>
        <w:tc>
          <w:tcPr>
            <w:tcW w:w="993" w:type="dxa"/>
            <w:vAlign w:val="center"/>
          </w:tcPr>
          <w:p w:rsidR="00CB09EB" w:rsidRDefault="002B158C" w:rsidP="002B158C">
            <w:pPr>
              <w:spacing w:after="0"/>
              <w:jc w:val="right"/>
            </w:pPr>
            <w:r>
              <w:t>9</w:t>
            </w:r>
          </w:p>
        </w:tc>
        <w:tc>
          <w:tcPr>
            <w:tcW w:w="5386" w:type="dxa"/>
          </w:tcPr>
          <w:p w:rsidR="00CB09EB" w:rsidRPr="00A35614" w:rsidRDefault="00CB09EB" w:rsidP="000C7F6D">
            <w:pPr>
              <w:spacing w:after="0"/>
            </w:pPr>
            <w:r w:rsidRPr="00A35614">
              <w:t>Příprava certifikace (</w:t>
            </w:r>
            <w:r>
              <w:t>MŠMT, Odbor 30</w:t>
            </w:r>
            <w:r w:rsidRPr="00A35614">
              <w:t>)</w:t>
            </w:r>
          </w:p>
        </w:tc>
      </w:tr>
      <w:tr w:rsidR="00CB09EB" w:rsidTr="004F2EC5">
        <w:tc>
          <w:tcPr>
            <w:tcW w:w="1296" w:type="dxa"/>
            <w:vAlign w:val="center"/>
          </w:tcPr>
          <w:p w:rsidR="00CB09EB" w:rsidRDefault="00CB09EB" w:rsidP="000C7F6D">
            <w:pPr>
              <w:spacing w:after="0"/>
              <w:jc w:val="right"/>
            </w:pPr>
            <w:r>
              <w:t>1. 4.</w:t>
            </w:r>
          </w:p>
        </w:tc>
        <w:tc>
          <w:tcPr>
            <w:tcW w:w="1188" w:type="dxa"/>
            <w:vAlign w:val="center"/>
          </w:tcPr>
          <w:p w:rsidR="00CB09EB" w:rsidRDefault="00CB09EB" w:rsidP="000C7F6D">
            <w:pPr>
              <w:spacing w:after="0"/>
              <w:jc w:val="right"/>
            </w:pPr>
            <w:r>
              <w:t>6. 5.</w:t>
            </w:r>
          </w:p>
        </w:tc>
        <w:tc>
          <w:tcPr>
            <w:tcW w:w="993" w:type="dxa"/>
            <w:vAlign w:val="center"/>
          </w:tcPr>
          <w:p w:rsidR="00CB09EB" w:rsidRDefault="00CB09EB" w:rsidP="000C7F6D">
            <w:pPr>
              <w:spacing w:after="0"/>
              <w:jc w:val="right"/>
            </w:pPr>
            <w:r>
              <w:t>36</w:t>
            </w:r>
          </w:p>
        </w:tc>
        <w:tc>
          <w:tcPr>
            <w:tcW w:w="5386" w:type="dxa"/>
          </w:tcPr>
          <w:p w:rsidR="00CB09EB" w:rsidRPr="00A35614" w:rsidRDefault="00CB09EB" w:rsidP="000C7F6D">
            <w:pPr>
              <w:spacing w:after="0"/>
            </w:pPr>
            <w:r w:rsidRPr="00A35614">
              <w:t>Proces certifikace (</w:t>
            </w:r>
            <w:r>
              <w:t xml:space="preserve">2 </w:t>
            </w:r>
            <w:proofErr w:type="spellStart"/>
            <w:r w:rsidRPr="00A35614">
              <w:t>certifikátoři</w:t>
            </w:r>
            <w:proofErr w:type="spellEnd"/>
            <w:r>
              <w:t xml:space="preserve"> ke každému výstupu</w:t>
            </w:r>
            <w:r w:rsidRPr="00A35614">
              <w:t>)</w:t>
            </w:r>
          </w:p>
        </w:tc>
      </w:tr>
      <w:tr w:rsidR="00CB09EB" w:rsidTr="004F2EC5">
        <w:tc>
          <w:tcPr>
            <w:tcW w:w="1296" w:type="dxa"/>
            <w:vAlign w:val="center"/>
          </w:tcPr>
          <w:p w:rsidR="00CB09EB" w:rsidRDefault="00CB09EB" w:rsidP="000C7F6D">
            <w:pPr>
              <w:spacing w:after="0"/>
              <w:jc w:val="right"/>
            </w:pPr>
            <w:r>
              <w:t>7. 5.</w:t>
            </w:r>
          </w:p>
        </w:tc>
        <w:tc>
          <w:tcPr>
            <w:tcW w:w="1188" w:type="dxa"/>
            <w:vAlign w:val="center"/>
          </w:tcPr>
          <w:p w:rsidR="00CB09EB" w:rsidRDefault="00CB09EB" w:rsidP="000C7F6D">
            <w:pPr>
              <w:spacing w:after="0"/>
              <w:jc w:val="right"/>
            </w:pPr>
            <w:r>
              <w:t>15. 5.</w:t>
            </w:r>
          </w:p>
        </w:tc>
        <w:tc>
          <w:tcPr>
            <w:tcW w:w="993" w:type="dxa"/>
            <w:vAlign w:val="center"/>
          </w:tcPr>
          <w:p w:rsidR="00CB09EB" w:rsidRDefault="00CB09EB" w:rsidP="000C7F6D">
            <w:pPr>
              <w:spacing w:after="0"/>
              <w:jc w:val="right"/>
            </w:pPr>
            <w:r>
              <w:t>9</w:t>
            </w:r>
          </w:p>
        </w:tc>
        <w:tc>
          <w:tcPr>
            <w:tcW w:w="5386" w:type="dxa"/>
          </w:tcPr>
          <w:p w:rsidR="00CB09EB" w:rsidRPr="00A35614" w:rsidRDefault="00AA03A4" w:rsidP="00AA03A4">
            <w:pPr>
              <w:spacing w:after="0"/>
            </w:pPr>
            <w:r>
              <w:rPr>
                <w:rFonts w:eastAsiaTheme="minorHAnsi" w:cs="Calibri"/>
              </w:rPr>
              <w:t xml:space="preserve">Sporné výstupy - </w:t>
            </w:r>
            <w:r w:rsidR="00CB09EB">
              <w:rPr>
                <w:rFonts w:eastAsiaTheme="minorHAnsi" w:cs="Calibri"/>
              </w:rPr>
              <w:t xml:space="preserve">Posouzení </w:t>
            </w:r>
            <w:r>
              <w:rPr>
                <w:rFonts w:eastAsiaTheme="minorHAnsi" w:cs="Calibri"/>
              </w:rPr>
              <w:t>v</w:t>
            </w:r>
            <w:r w:rsidR="00CB09EB">
              <w:rPr>
                <w:rFonts w:eastAsiaTheme="minorHAnsi" w:cs="Calibri"/>
              </w:rPr>
              <w:t>ýstupů</w:t>
            </w:r>
            <w:r>
              <w:rPr>
                <w:rFonts w:eastAsiaTheme="minorHAnsi" w:cs="Calibri"/>
              </w:rPr>
              <w:t xml:space="preserve"> </w:t>
            </w:r>
            <w:r>
              <w:rPr>
                <w:rFonts w:eastAsiaTheme="minorHAnsi" w:cs="Calibri"/>
              </w:rPr>
              <w:t>garantem segmentu</w:t>
            </w:r>
            <w:r>
              <w:rPr>
                <w:rFonts w:eastAsiaTheme="minorHAnsi" w:cs="Calibri"/>
              </w:rPr>
              <w:t xml:space="preserve"> </w:t>
            </w:r>
            <w:r>
              <w:rPr>
                <w:rFonts w:eastAsiaTheme="minorHAnsi" w:cs="Calibri"/>
              </w:rPr>
              <w:t>(povinnost vybrat z již zadaného kódu)</w:t>
            </w:r>
            <w:r w:rsidR="00CB09EB">
              <w:rPr>
                <w:rFonts w:eastAsiaTheme="minorHAnsi" w:cs="Calibri"/>
              </w:rPr>
              <w:t xml:space="preserve">, kde nedošlo k většinové </w:t>
            </w:r>
            <w:r w:rsidR="00CB09EB">
              <w:t>shodě</w:t>
            </w:r>
            <w:bookmarkStart w:id="0" w:name="_GoBack"/>
            <w:bookmarkEnd w:id="0"/>
          </w:p>
        </w:tc>
      </w:tr>
      <w:tr w:rsidR="00CB09EB" w:rsidTr="004F2EC5">
        <w:tc>
          <w:tcPr>
            <w:tcW w:w="1296" w:type="dxa"/>
            <w:vAlign w:val="center"/>
          </w:tcPr>
          <w:p w:rsidR="00CB09EB" w:rsidRDefault="00CB09EB" w:rsidP="000C7F6D">
            <w:pPr>
              <w:spacing w:after="0"/>
              <w:jc w:val="right"/>
            </w:pPr>
            <w:r>
              <w:t>15. 5.</w:t>
            </w:r>
          </w:p>
        </w:tc>
        <w:tc>
          <w:tcPr>
            <w:tcW w:w="1188" w:type="dxa"/>
            <w:vAlign w:val="center"/>
          </w:tcPr>
          <w:p w:rsidR="00CB09EB" w:rsidRDefault="00CB09EB" w:rsidP="000C7F6D">
            <w:pPr>
              <w:spacing w:after="0"/>
              <w:jc w:val="right"/>
            </w:pPr>
            <w:r>
              <w:t>28. 6.</w:t>
            </w:r>
          </w:p>
        </w:tc>
        <w:tc>
          <w:tcPr>
            <w:tcW w:w="993" w:type="dxa"/>
            <w:vAlign w:val="center"/>
          </w:tcPr>
          <w:p w:rsidR="00CB09EB" w:rsidRDefault="00CB09EB" w:rsidP="000C7F6D">
            <w:pPr>
              <w:spacing w:after="0"/>
              <w:jc w:val="right"/>
            </w:pPr>
            <w:r>
              <w:t>45</w:t>
            </w:r>
          </w:p>
        </w:tc>
        <w:tc>
          <w:tcPr>
            <w:tcW w:w="5386" w:type="dxa"/>
          </w:tcPr>
          <w:p w:rsidR="00CB09EB" w:rsidRDefault="00CB09EB" w:rsidP="000C7F6D">
            <w:pPr>
              <w:spacing w:after="0"/>
            </w:pPr>
            <w:r>
              <w:t>Zpracování bodů v </w:t>
            </w:r>
            <w:r w:rsidR="008F32B7">
              <w:t xml:space="preserve">aplikaci </w:t>
            </w:r>
            <w:r>
              <w:t>a schválení Radou RUV</w:t>
            </w:r>
          </w:p>
        </w:tc>
      </w:tr>
    </w:tbl>
    <w:p w:rsidR="003A36B2" w:rsidRDefault="003A36B2"/>
    <w:sectPr w:rsidR="003A36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246F72"/>
    <w:multiLevelType w:val="hybridMultilevel"/>
    <w:tmpl w:val="4F26CD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9EB"/>
    <w:rsid w:val="002B158C"/>
    <w:rsid w:val="003A36B2"/>
    <w:rsid w:val="004F2EC5"/>
    <w:rsid w:val="00874829"/>
    <w:rsid w:val="00890C9C"/>
    <w:rsid w:val="008F32B7"/>
    <w:rsid w:val="00AA03A4"/>
    <w:rsid w:val="00CB0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AC3CAC-63FE-4BDC-A9A0-B2D47388E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B09EB"/>
    <w:pPr>
      <w:spacing w:after="200" w:line="276" w:lineRule="auto"/>
    </w:pPr>
    <w:rPr>
      <w:rFonts w:ascii="Verdana" w:eastAsia="Calibri" w:hAnsi="Verdana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B09E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B09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197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Marková Marcela</dc:creator>
  <cp:lastModifiedBy>Marková Marcela</cp:lastModifiedBy>
  <cp:revision>5</cp:revision>
  <dcterms:created xsi:type="dcterms:W3CDTF">2019-08-19T13:10:00Z</dcterms:created>
  <dcterms:modified xsi:type="dcterms:W3CDTF">2019-10-03T09:44:00Z</dcterms:modified>
</cp:coreProperties>
</file>