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F0A" w:rsidRPr="00710873" w:rsidRDefault="00C67F0A" w:rsidP="00C67F0A">
      <w:pPr>
        <w:spacing w:after="0" w:line="240" w:lineRule="auto"/>
        <w:ind w:left="425" w:hanging="425"/>
        <w:jc w:val="right"/>
        <w:rPr>
          <w:rFonts w:ascii="Arial" w:hAnsi="Arial"/>
          <w:lang w:eastAsia="cs-CZ"/>
        </w:rPr>
      </w:pPr>
      <w:r w:rsidRPr="003866A6">
        <w:rPr>
          <w:rFonts w:ascii="Times New Roman" w:hAnsi="Times New Roman"/>
          <w:sz w:val="24"/>
          <w:szCs w:val="24"/>
          <w:lang w:eastAsia="cs-CZ"/>
        </w:rPr>
        <w:t>Identifikační číslo EDS akce 133D2</w:t>
      </w:r>
      <w:r>
        <w:rPr>
          <w:rFonts w:ascii="Times New Roman" w:hAnsi="Times New Roman"/>
          <w:sz w:val="24"/>
          <w:szCs w:val="24"/>
          <w:lang w:eastAsia="cs-CZ"/>
        </w:rPr>
        <w:t>2x</w:t>
      </w:r>
      <w:r w:rsidRPr="003866A6">
        <w:rPr>
          <w:rFonts w:ascii="Times New Roman" w:hAnsi="Times New Roman"/>
          <w:sz w:val="24"/>
          <w:szCs w:val="24"/>
          <w:lang w:eastAsia="cs-CZ"/>
        </w:rPr>
        <w:t>00</w:t>
      </w:r>
      <w:r>
        <w:rPr>
          <w:rFonts w:ascii="Times New Roman" w:hAnsi="Times New Roman"/>
          <w:sz w:val="24"/>
          <w:szCs w:val="24"/>
          <w:lang w:eastAsia="cs-CZ"/>
        </w:rPr>
        <w:t>xxx</w:t>
      </w:r>
    </w:p>
    <w:p w:rsidR="008A60F5" w:rsidRPr="008A60F5" w:rsidRDefault="008A60F5" w:rsidP="008A60F5">
      <w:pPr>
        <w:spacing w:before="480" w:after="480" w:line="240" w:lineRule="auto"/>
        <w:jc w:val="center"/>
        <w:rPr>
          <w:rFonts w:ascii="Times New Roman" w:hAnsi="Times New Roman"/>
          <w:b/>
          <w:sz w:val="28"/>
          <w:szCs w:val="28"/>
        </w:rPr>
      </w:pPr>
      <w:r w:rsidRPr="008A60F5">
        <w:rPr>
          <w:rFonts w:ascii="Times New Roman" w:hAnsi="Times New Roman"/>
          <w:b/>
          <w:sz w:val="28"/>
          <w:szCs w:val="28"/>
        </w:rPr>
        <w:t xml:space="preserve">Podmínky a pokyny pro </w:t>
      </w:r>
      <w:r>
        <w:rPr>
          <w:rFonts w:ascii="Times New Roman" w:hAnsi="Times New Roman"/>
          <w:b/>
          <w:sz w:val="28"/>
          <w:szCs w:val="28"/>
        </w:rPr>
        <w:t xml:space="preserve">poskytnutí </w:t>
      </w:r>
      <w:proofErr w:type="gramStart"/>
      <w:r>
        <w:rPr>
          <w:rFonts w:ascii="Times New Roman" w:hAnsi="Times New Roman"/>
          <w:b/>
          <w:sz w:val="28"/>
          <w:szCs w:val="28"/>
        </w:rPr>
        <w:t>dotace</w:t>
      </w:r>
      <w:r w:rsidR="00B3341D">
        <w:rPr>
          <w:rFonts w:ascii="Times New Roman" w:hAnsi="Times New Roman"/>
          <w:b/>
          <w:sz w:val="28"/>
          <w:szCs w:val="28"/>
        </w:rPr>
        <w:t xml:space="preserve"> - vzor</w:t>
      </w:r>
      <w:proofErr w:type="gramEnd"/>
    </w:p>
    <w:p w:rsidR="0054759F" w:rsidRDefault="00510835" w:rsidP="00A8140F">
      <w:pPr>
        <w:jc w:val="center"/>
        <w:rPr>
          <w:rFonts w:ascii="Times New Roman" w:eastAsia="Times New Roman" w:hAnsi="Times New Roman"/>
          <w:b/>
          <w:sz w:val="24"/>
          <w:szCs w:val="24"/>
          <w:lang w:eastAsia="cs-CZ"/>
        </w:rPr>
      </w:pPr>
      <w:r w:rsidRPr="00510835">
        <w:rPr>
          <w:rFonts w:ascii="Times New Roman" w:eastAsia="Times New Roman" w:hAnsi="Times New Roman"/>
          <w:b/>
          <w:sz w:val="24"/>
          <w:szCs w:val="24"/>
          <w:lang w:eastAsia="cs-CZ"/>
        </w:rPr>
        <w:t xml:space="preserve">v rámci programu 133 </w:t>
      </w:r>
      <w:r>
        <w:rPr>
          <w:rFonts w:ascii="Times New Roman" w:eastAsia="Times New Roman" w:hAnsi="Times New Roman"/>
          <w:b/>
          <w:sz w:val="24"/>
          <w:szCs w:val="24"/>
          <w:lang w:eastAsia="cs-CZ"/>
        </w:rPr>
        <w:t>2</w:t>
      </w:r>
      <w:r w:rsidR="009B70C0">
        <w:rPr>
          <w:rFonts w:ascii="Times New Roman" w:eastAsia="Times New Roman" w:hAnsi="Times New Roman"/>
          <w:b/>
          <w:sz w:val="24"/>
          <w:szCs w:val="24"/>
          <w:lang w:eastAsia="cs-CZ"/>
        </w:rPr>
        <w:t>20</w:t>
      </w:r>
      <w:r w:rsidRPr="00510835">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 xml:space="preserve">Rozvoj a obnova materiálně technické základny </w:t>
      </w:r>
    </w:p>
    <w:p w:rsidR="00A8140F" w:rsidRPr="00DF7851" w:rsidRDefault="00510835" w:rsidP="00A8140F">
      <w:pPr>
        <w:jc w:val="center"/>
        <w:rPr>
          <w:rFonts w:ascii="Times New Roman" w:hAnsi="Times New Roman"/>
          <w:b/>
          <w:sz w:val="24"/>
          <w:szCs w:val="24"/>
        </w:rPr>
      </w:pPr>
      <w:r>
        <w:rPr>
          <w:rFonts w:ascii="Times New Roman" w:eastAsia="Times New Roman" w:hAnsi="Times New Roman"/>
          <w:b/>
          <w:sz w:val="24"/>
          <w:szCs w:val="24"/>
          <w:lang w:eastAsia="cs-CZ"/>
        </w:rPr>
        <w:t>veřejných vysokých škol</w:t>
      </w:r>
      <w:r w:rsidR="00A8140F">
        <w:rPr>
          <w:rFonts w:ascii="Times New Roman" w:eastAsia="Times New Roman" w:hAnsi="Times New Roman"/>
          <w:b/>
          <w:sz w:val="24"/>
          <w:szCs w:val="24"/>
          <w:lang w:eastAsia="cs-CZ"/>
        </w:rPr>
        <w:t xml:space="preserve"> </w:t>
      </w:r>
      <w:r w:rsidR="00AF2250">
        <w:rPr>
          <w:rFonts w:ascii="Times New Roman" w:eastAsia="Times New Roman" w:hAnsi="Times New Roman"/>
          <w:b/>
          <w:sz w:val="24"/>
          <w:szCs w:val="24"/>
          <w:lang w:eastAsia="cs-CZ"/>
        </w:rPr>
        <w:br/>
      </w:r>
    </w:p>
    <w:p w:rsidR="00510835" w:rsidRDefault="00510835" w:rsidP="00510835">
      <w:pPr>
        <w:spacing w:after="0" w:line="240" w:lineRule="auto"/>
        <w:jc w:val="center"/>
        <w:rPr>
          <w:rFonts w:ascii="Times New Roman" w:eastAsia="Times New Roman" w:hAnsi="Times New Roman"/>
          <w:b/>
          <w:sz w:val="24"/>
          <w:szCs w:val="24"/>
          <w:lang w:eastAsia="cs-CZ"/>
        </w:rPr>
      </w:pPr>
    </w:p>
    <w:p w:rsidR="009D7077" w:rsidRPr="005A74D4" w:rsidRDefault="009D7077" w:rsidP="00C67F0A">
      <w:pPr>
        <w:pStyle w:val="Odstavecseseznamem"/>
        <w:numPr>
          <w:ilvl w:val="0"/>
          <w:numId w:val="2"/>
        </w:numPr>
        <w:spacing w:after="240" w:line="240" w:lineRule="auto"/>
        <w:ind w:left="714" w:hanging="357"/>
        <w:contextualSpacing w:val="0"/>
        <w:rPr>
          <w:rFonts w:ascii="Times New Roman" w:eastAsia="Times New Roman" w:hAnsi="Times New Roman"/>
          <w:b/>
          <w:sz w:val="24"/>
          <w:szCs w:val="24"/>
          <w:lang w:eastAsia="cs-CZ"/>
        </w:rPr>
      </w:pPr>
      <w:r w:rsidRPr="005A74D4">
        <w:rPr>
          <w:rFonts w:ascii="Times New Roman" w:eastAsia="Times New Roman" w:hAnsi="Times New Roman"/>
          <w:b/>
          <w:sz w:val="24"/>
          <w:szCs w:val="24"/>
          <w:lang w:eastAsia="cs-CZ"/>
        </w:rPr>
        <w:t>Vymezení obecných pojmů</w:t>
      </w:r>
      <w:r>
        <w:rPr>
          <w:rFonts w:ascii="Times New Roman" w:eastAsia="Times New Roman" w:hAnsi="Times New Roman"/>
          <w:b/>
          <w:sz w:val="24"/>
          <w:szCs w:val="24"/>
          <w:lang w:eastAsia="cs-CZ"/>
        </w:rPr>
        <w:t xml:space="preserve"> a podmínek</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Poskytování dotací v průběhu realizace akce se řídí zákonem č. 218/2000 Sb., o rozpočtových pravidlech a o změně některých souvisejících zákonů (rozpočtová pravidla), ve znění pozdějších předpisů, vyhláškou č. 560/2006 Sb., o účasti státního rozpočtu na financování programů reprodukce majetku, ve znění pozdějších předpisů  (dále jen „vyhláška“), zákonem č. 320/2001 Sb., o finanční kontrole ve veřejné správě a o změně některých zákonů (zákon o finanční kontrole), ve znění pozdějších předpisů, průběžným metodickým řízením Ministerstva školství, mládeže a tělovýchovy (dále jen „MŠMT“) a těmito podmínkami.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Správcem programu je MŠMT (dále jen „správce programu</w:t>
      </w:r>
      <w:r w:rsidR="004C5B15">
        <w:rPr>
          <w:rFonts w:ascii="Times New Roman" w:hAnsi="Times New Roman"/>
          <w:sz w:val="24"/>
          <w:szCs w:val="24"/>
          <w:lang w:eastAsia="cs-CZ"/>
        </w:rPr>
        <w:t>“</w:t>
      </w:r>
      <w:r>
        <w:rPr>
          <w:rFonts w:ascii="Times New Roman" w:hAnsi="Times New Roman"/>
          <w:sz w:val="24"/>
          <w:szCs w:val="24"/>
          <w:lang w:eastAsia="cs-CZ"/>
        </w:rPr>
        <w:t>).</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Účastník programu (příjemce dotace) zabezpečuje další realizaci akce v souladu se správcem programu schváleným investičním záměrem (dále jen „IZ“), ve znění schválených dodatků.</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Uvedený název akce a přidělené identifikační číslo v Evidenčním dotačním systému (dále jen „EDS“) budou používány při všech úředních jednáních a ve všech souvisejících dokumentech po celou dobu po celou dobu realizace akce.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Závazným ukazatelem v Rozhodnutí o poskytnutí dotace (dále také „Rozhodnutí“) je minimální nebo maximální závaznost celkového objemu zvlášť investičních a zvlášť neinvestičních výdajů státního rozpočtu, věcné a časové parametry (zejména termín ukončení realizace akce, termín ukončení financování </w:t>
      </w:r>
      <w:proofErr w:type="gramStart"/>
      <w:r>
        <w:rPr>
          <w:rFonts w:ascii="Times New Roman" w:hAnsi="Times New Roman"/>
          <w:sz w:val="24"/>
          <w:szCs w:val="24"/>
          <w:lang w:eastAsia="cs-CZ"/>
        </w:rPr>
        <w:t>akce - pokud</w:t>
      </w:r>
      <w:proofErr w:type="gramEnd"/>
      <w:r>
        <w:rPr>
          <w:rFonts w:ascii="Times New Roman" w:hAnsi="Times New Roman"/>
          <w:sz w:val="24"/>
          <w:szCs w:val="24"/>
          <w:lang w:eastAsia="cs-CZ"/>
        </w:rPr>
        <w:t xml:space="preserve"> je stanoven, termín předložení dokumentace k závěrečnému vyhodnocení akce).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V Rozhodnutí není předmětem sankcí nedodržení struktury objemů potřeb akce vyjma položky „Rezerva na změny věcné“, která je částkou maximální.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Termínem ukončení realizace akce se rozumí doba, kdy byl sepsán protokol o předání a převzetí stavby, a to bez vad a nedodělků bránících v užívání, případně o předání a převzetí dodávky nebo služby.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Rozhodnutí se vydává na známý závazek, který bude hrazen z dotace. Závazkem je myšlena smlouva nebo objednávka.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předpisů nebo interními předpisy příjemce dotace.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Vždy před vyhlášením veřejné zakázky nebo odesláním objednávky v rámci realizace akce na plnění, které bude financováno z dotace, předloží příjemce dotace správci programu ke schválení text zadávací dokumentace, tj. zadávacích, kvalifikačních a obchodních podmínek, nebo objednávky v písemné podobě. Správce programu posuzuje textovou část zadávací dokumentace nebo objednávku z hlediska jejího věcného, časového a ekonomického souladu se schváleným IZ a stanovenými závaznými ukazateli akce. Správci programu nepřísluší posouzení legislativní správnosti zadávací dokumentace nebo objednávky, která je zcela na zodpovědnosti zadavatele.</w:t>
      </w:r>
    </w:p>
    <w:p w:rsidR="004C5B15"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lastRenderedPageBreak/>
        <w:t>Podkladem pro posouzení závazku, který bude hrazen z dotace, bude jednostranně podepsaná smlouva nebo objednávka potvrzená dodavatelem, kopie dokumentů o průběhu realizace veřejné zakázky (platí i v případě přímého objednávání zboží nebo služeb nebo realizace zakázky mimo režim zákona o zadávání veřejných zakázek), Evidenční list akce. Bez odsouhlasení těchto podkladů nelze závazek uzavřít. V případě uzavření závazku bez souhlasu správce programu nebudou závazky hrazeny z</w:t>
      </w:r>
      <w:r w:rsidR="00ED6CB5">
        <w:rPr>
          <w:rFonts w:ascii="Times New Roman" w:hAnsi="Times New Roman"/>
          <w:sz w:val="24"/>
          <w:szCs w:val="24"/>
          <w:lang w:eastAsia="cs-CZ"/>
        </w:rPr>
        <w:t> </w:t>
      </w:r>
      <w:r>
        <w:rPr>
          <w:rFonts w:ascii="Times New Roman" w:hAnsi="Times New Roman"/>
          <w:sz w:val="24"/>
          <w:szCs w:val="24"/>
          <w:lang w:eastAsia="cs-CZ"/>
        </w:rPr>
        <w:t xml:space="preserve">dotace. </w:t>
      </w:r>
    </w:p>
    <w:p w:rsidR="004C5B15" w:rsidRPr="00960BE8" w:rsidRDefault="004C5B15"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sidRPr="00960BE8">
        <w:rPr>
          <w:rFonts w:ascii="Times New Roman" w:hAnsi="Times New Roman"/>
          <w:sz w:val="24"/>
          <w:szCs w:val="24"/>
          <w:lang w:eastAsia="cs-CZ"/>
        </w:rPr>
        <w:t>Pokud bud</w:t>
      </w:r>
      <w:r w:rsidR="004C1B17" w:rsidRPr="00960BE8">
        <w:rPr>
          <w:rFonts w:ascii="Times New Roman" w:hAnsi="Times New Roman"/>
          <w:sz w:val="24"/>
          <w:szCs w:val="24"/>
          <w:lang w:eastAsia="cs-CZ"/>
        </w:rPr>
        <w:t>e</w:t>
      </w:r>
      <w:r w:rsidRPr="00960BE8">
        <w:rPr>
          <w:rFonts w:ascii="Times New Roman" w:hAnsi="Times New Roman"/>
          <w:sz w:val="24"/>
          <w:szCs w:val="24"/>
          <w:lang w:eastAsia="cs-CZ"/>
        </w:rPr>
        <w:t xml:space="preserve"> v průběhu realizace akce uzavírán dodat</w:t>
      </w:r>
      <w:r w:rsidR="004C1B17" w:rsidRPr="00960BE8">
        <w:rPr>
          <w:rFonts w:ascii="Times New Roman" w:hAnsi="Times New Roman"/>
          <w:sz w:val="24"/>
          <w:szCs w:val="24"/>
          <w:lang w:eastAsia="cs-CZ"/>
        </w:rPr>
        <w:t>e</w:t>
      </w:r>
      <w:r w:rsidRPr="00960BE8">
        <w:rPr>
          <w:rFonts w:ascii="Times New Roman" w:hAnsi="Times New Roman"/>
          <w:sz w:val="24"/>
          <w:szCs w:val="24"/>
          <w:lang w:eastAsia="cs-CZ"/>
        </w:rPr>
        <w:t>k ke smlouv</w:t>
      </w:r>
      <w:r w:rsidR="004C1B17" w:rsidRPr="00960BE8">
        <w:rPr>
          <w:rFonts w:ascii="Times New Roman" w:hAnsi="Times New Roman"/>
          <w:sz w:val="24"/>
          <w:szCs w:val="24"/>
          <w:lang w:eastAsia="cs-CZ"/>
        </w:rPr>
        <w:t>ě</w:t>
      </w:r>
      <w:r w:rsidRPr="00960BE8">
        <w:rPr>
          <w:rFonts w:ascii="Times New Roman" w:hAnsi="Times New Roman"/>
          <w:sz w:val="24"/>
          <w:szCs w:val="24"/>
          <w:lang w:eastAsia="cs-CZ"/>
        </w:rPr>
        <w:t>, kter</w:t>
      </w:r>
      <w:r w:rsidR="004C1B17" w:rsidRPr="00960BE8">
        <w:rPr>
          <w:rFonts w:ascii="Times New Roman" w:hAnsi="Times New Roman"/>
          <w:sz w:val="24"/>
          <w:szCs w:val="24"/>
          <w:lang w:eastAsia="cs-CZ"/>
        </w:rPr>
        <w:t>ý</w:t>
      </w:r>
      <w:r w:rsidRPr="00960BE8">
        <w:rPr>
          <w:rFonts w:ascii="Times New Roman" w:hAnsi="Times New Roman"/>
          <w:sz w:val="24"/>
          <w:szCs w:val="24"/>
          <w:lang w:eastAsia="cs-CZ"/>
        </w:rPr>
        <w:t xml:space="preserve"> bud</w:t>
      </w:r>
      <w:r w:rsidR="004C1B17" w:rsidRPr="00960BE8">
        <w:rPr>
          <w:rFonts w:ascii="Times New Roman" w:hAnsi="Times New Roman"/>
          <w:sz w:val="24"/>
          <w:szCs w:val="24"/>
          <w:lang w:eastAsia="cs-CZ"/>
        </w:rPr>
        <w:t>e</w:t>
      </w:r>
      <w:r w:rsidRPr="00960BE8">
        <w:rPr>
          <w:rFonts w:ascii="Times New Roman" w:hAnsi="Times New Roman"/>
          <w:sz w:val="24"/>
          <w:szCs w:val="24"/>
          <w:lang w:eastAsia="cs-CZ"/>
        </w:rPr>
        <w:t xml:space="preserve"> </w:t>
      </w:r>
      <w:r w:rsidR="004C1B17" w:rsidRPr="00960BE8">
        <w:rPr>
          <w:rFonts w:ascii="Times New Roman" w:hAnsi="Times New Roman"/>
          <w:sz w:val="24"/>
          <w:szCs w:val="24"/>
          <w:lang w:eastAsia="cs-CZ"/>
        </w:rPr>
        <w:t xml:space="preserve">mít dopad na ukazatele v Rozhodnutí nebo bude obsahovat snížení ceny díla nebo bude obsahovat zvýšení ceny díla, a toto zvýšení bude </w:t>
      </w:r>
      <w:r w:rsidRPr="00960BE8">
        <w:rPr>
          <w:rFonts w:ascii="Times New Roman" w:hAnsi="Times New Roman"/>
          <w:sz w:val="24"/>
          <w:szCs w:val="24"/>
          <w:lang w:eastAsia="cs-CZ"/>
        </w:rPr>
        <w:t>hrazen</w:t>
      </w:r>
      <w:r w:rsidR="004C1B17" w:rsidRPr="00960BE8">
        <w:rPr>
          <w:rFonts w:ascii="Times New Roman" w:hAnsi="Times New Roman"/>
          <w:sz w:val="24"/>
          <w:szCs w:val="24"/>
          <w:lang w:eastAsia="cs-CZ"/>
        </w:rPr>
        <w:t>o</w:t>
      </w:r>
      <w:r w:rsidRPr="00960BE8">
        <w:rPr>
          <w:rFonts w:ascii="Times New Roman" w:hAnsi="Times New Roman"/>
          <w:sz w:val="24"/>
          <w:szCs w:val="24"/>
          <w:lang w:eastAsia="cs-CZ"/>
        </w:rPr>
        <w:t xml:space="preserve"> z</w:t>
      </w:r>
      <w:r w:rsidR="004C1B17" w:rsidRPr="00960BE8">
        <w:rPr>
          <w:rFonts w:ascii="Times New Roman" w:hAnsi="Times New Roman"/>
          <w:sz w:val="24"/>
          <w:szCs w:val="24"/>
          <w:lang w:eastAsia="cs-CZ"/>
        </w:rPr>
        <w:t> </w:t>
      </w:r>
      <w:r w:rsidRPr="00960BE8">
        <w:rPr>
          <w:rFonts w:ascii="Times New Roman" w:hAnsi="Times New Roman"/>
          <w:sz w:val="24"/>
          <w:szCs w:val="24"/>
          <w:lang w:eastAsia="cs-CZ"/>
        </w:rPr>
        <w:t>dotace</w:t>
      </w:r>
      <w:r w:rsidR="004C1B17" w:rsidRPr="00960BE8">
        <w:rPr>
          <w:rFonts w:ascii="Times New Roman" w:hAnsi="Times New Roman"/>
          <w:sz w:val="24"/>
          <w:szCs w:val="24"/>
          <w:lang w:eastAsia="cs-CZ"/>
        </w:rPr>
        <w:t xml:space="preserve">, předloží příjemce dotace správci programu </w:t>
      </w:r>
      <w:r w:rsidR="00960BE8" w:rsidRPr="00960BE8">
        <w:rPr>
          <w:rFonts w:ascii="Times New Roman" w:hAnsi="Times New Roman"/>
          <w:sz w:val="24"/>
          <w:szCs w:val="24"/>
          <w:lang w:eastAsia="cs-CZ"/>
        </w:rPr>
        <w:t xml:space="preserve">jednostranně podepsaný </w:t>
      </w:r>
      <w:r w:rsidR="004C1B17" w:rsidRPr="00960BE8">
        <w:rPr>
          <w:rFonts w:ascii="Times New Roman" w:hAnsi="Times New Roman"/>
          <w:sz w:val="24"/>
          <w:szCs w:val="24"/>
          <w:lang w:eastAsia="cs-CZ"/>
        </w:rPr>
        <w:t>dodat</w:t>
      </w:r>
      <w:r w:rsidR="00960BE8" w:rsidRPr="00960BE8">
        <w:rPr>
          <w:rFonts w:ascii="Times New Roman" w:hAnsi="Times New Roman"/>
          <w:sz w:val="24"/>
          <w:szCs w:val="24"/>
          <w:lang w:eastAsia="cs-CZ"/>
        </w:rPr>
        <w:t>e</w:t>
      </w:r>
      <w:r w:rsidR="004C1B17" w:rsidRPr="00960BE8">
        <w:rPr>
          <w:rFonts w:ascii="Times New Roman" w:hAnsi="Times New Roman"/>
          <w:sz w:val="24"/>
          <w:szCs w:val="24"/>
          <w:lang w:eastAsia="cs-CZ"/>
        </w:rPr>
        <w:t>k</w:t>
      </w:r>
      <w:r w:rsidR="00960BE8" w:rsidRPr="00960BE8">
        <w:rPr>
          <w:rFonts w:ascii="Times New Roman" w:hAnsi="Times New Roman"/>
          <w:sz w:val="24"/>
          <w:szCs w:val="24"/>
          <w:lang w:eastAsia="cs-CZ"/>
        </w:rPr>
        <w:t xml:space="preserve"> ke schválení</w:t>
      </w:r>
      <w:r w:rsidRPr="00960BE8">
        <w:rPr>
          <w:rFonts w:ascii="Times New Roman" w:hAnsi="Times New Roman"/>
          <w:sz w:val="24"/>
          <w:szCs w:val="24"/>
          <w:lang w:eastAsia="cs-CZ"/>
        </w:rPr>
        <w:t xml:space="preserve">. </w:t>
      </w:r>
      <w:r w:rsidR="00960BE8" w:rsidRPr="00960BE8">
        <w:rPr>
          <w:rFonts w:ascii="Times New Roman" w:hAnsi="Times New Roman"/>
          <w:sz w:val="24"/>
          <w:szCs w:val="24"/>
          <w:lang w:eastAsia="cs-CZ"/>
        </w:rPr>
        <w:t xml:space="preserve">Bez odsouhlasení těchto podkladů nelze dodatek uzavřít. V případě uzavření dodatku bez souhlasu správce programu nebude dodatek hrazen z dotace. </w:t>
      </w:r>
      <w:r w:rsidR="004C1B17" w:rsidRPr="00960BE8">
        <w:rPr>
          <w:rFonts w:ascii="Times New Roman" w:hAnsi="Times New Roman"/>
          <w:sz w:val="24"/>
          <w:szCs w:val="24"/>
          <w:lang w:eastAsia="cs-CZ"/>
        </w:rPr>
        <w:t>V případě zvýšení ceny díla, které bude hrazeno z vlastních zdrojů, předloží příjemce dotace správci programu oboustranně podepsaný dodatek na vědomí.</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Změny v Rozhodnutí o poskytnutí dotace lze na základě žádosti příjemce dotace provést formou změnového řízení, a to pouze za podmínek stanovených v § 14o rozpočtových pravidel.</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Pokud </w:t>
      </w:r>
      <w:r w:rsidR="00960BE8">
        <w:rPr>
          <w:rFonts w:ascii="Times New Roman" w:hAnsi="Times New Roman"/>
          <w:sz w:val="24"/>
          <w:szCs w:val="24"/>
          <w:lang w:eastAsia="cs-CZ"/>
        </w:rPr>
        <w:t xml:space="preserve">dochází </w:t>
      </w:r>
      <w:r>
        <w:rPr>
          <w:rFonts w:ascii="Times New Roman" w:hAnsi="Times New Roman"/>
          <w:sz w:val="24"/>
          <w:szCs w:val="24"/>
          <w:lang w:eastAsia="cs-CZ"/>
        </w:rPr>
        <w:t xml:space="preserve">v průběhu realizace akce </w:t>
      </w:r>
      <w:r w:rsidR="00960BE8">
        <w:rPr>
          <w:rFonts w:ascii="Times New Roman" w:hAnsi="Times New Roman"/>
          <w:sz w:val="24"/>
          <w:szCs w:val="24"/>
          <w:lang w:eastAsia="cs-CZ"/>
        </w:rPr>
        <w:t>ke změně ceny díla (</w:t>
      </w:r>
      <w:r>
        <w:rPr>
          <w:rFonts w:ascii="Times New Roman" w:hAnsi="Times New Roman"/>
          <w:sz w:val="24"/>
          <w:szCs w:val="24"/>
          <w:lang w:eastAsia="cs-CZ"/>
        </w:rPr>
        <w:t xml:space="preserve">dochází </w:t>
      </w:r>
      <w:r w:rsidR="00036E80">
        <w:rPr>
          <w:rFonts w:ascii="Times New Roman" w:hAnsi="Times New Roman"/>
          <w:sz w:val="24"/>
          <w:szCs w:val="24"/>
          <w:lang w:eastAsia="cs-CZ"/>
        </w:rPr>
        <w:t xml:space="preserve">např. </w:t>
      </w:r>
      <w:r>
        <w:rPr>
          <w:rFonts w:ascii="Times New Roman" w:hAnsi="Times New Roman"/>
          <w:sz w:val="24"/>
          <w:szCs w:val="24"/>
          <w:lang w:eastAsia="cs-CZ"/>
        </w:rPr>
        <w:t>ke změnám v</w:t>
      </w:r>
      <w:r w:rsidR="00960BE8">
        <w:rPr>
          <w:rFonts w:ascii="Times New Roman" w:hAnsi="Times New Roman"/>
          <w:sz w:val="24"/>
          <w:szCs w:val="24"/>
          <w:lang w:eastAsia="cs-CZ"/>
        </w:rPr>
        <w:t>e</w:t>
      </w:r>
      <w:r>
        <w:rPr>
          <w:rFonts w:ascii="Times New Roman" w:hAnsi="Times New Roman"/>
          <w:sz w:val="24"/>
          <w:szCs w:val="24"/>
          <w:lang w:eastAsia="cs-CZ"/>
        </w:rPr>
        <w:t xml:space="preserve"> výkazu výměr</w:t>
      </w:r>
      <w:r w:rsidR="00960BE8">
        <w:rPr>
          <w:rFonts w:ascii="Times New Roman" w:hAnsi="Times New Roman"/>
          <w:sz w:val="24"/>
          <w:szCs w:val="24"/>
          <w:lang w:eastAsia="cs-CZ"/>
        </w:rPr>
        <w:t>)</w:t>
      </w:r>
      <w:r>
        <w:rPr>
          <w:rFonts w:ascii="Times New Roman" w:hAnsi="Times New Roman"/>
          <w:sz w:val="24"/>
          <w:szCs w:val="24"/>
          <w:lang w:eastAsia="cs-CZ"/>
        </w:rPr>
        <w:t xml:space="preserve"> předklád</w:t>
      </w:r>
      <w:r w:rsidR="00960BE8">
        <w:rPr>
          <w:rFonts w:ascii="Times New Roman" w:hAnsi="Times New Roman"/>
          <w:sz w:val="24"/>
          <w:szCs w:val="24"/>
          <w:lang w:eastAsia="cs-CZ"/>
        </w:rPr>
        <w:t>á</w:t>
      </w:r>
      <w:r w:rsidR="00F60029">
        <w:rPr>
          <w:rFonts w:ascii="Times New Roman" w:hAnsi="Times New Roman"/>
          <w:sz w:val="24"/>
          <w:szCs w:val="24"/>
          <w:lang w:eastAsia="cs-CZ"/>
        </w:rPr>
        <w:t xml:space="preserve"> </w:t>
      </w:r>
      <w:r w:rsidR="00960BE8">
        <w:rPr>
          <w:rFonts w:ascii="Times New Roman" w:hAnsi="Times New Roman"/>
          <w:sz w:val="24"/>
          <w:szCs w:val="24"/>
          <w:lang w:eastAsia="cs-CZ"/>
        </w:rPr>
        <w:t>příjemce dotace</w:t>
      </w:r>
      <w:r w:rsidR="00036E80">
        <w:rPr>
          <w:rFonts w:ascii="Times New Roman" w:hAnsi="Times New Roman"/>
          <w:sz w:val="24"/>
          <w:szCs w:val="24"/>
          <w:lang w:eastAsia="cs-CZ"/>
        </w:rPr>
        <w:t xml:space="preserve"> správci programu</w:t>
      </w:r>
      <w:r w:rsidR="00960BE8">
        <w:rPr>
          <w:rFonts w:ascii="Times New Roman" w:hAnsi="Times New Roman"/>
          <w:sz w:val="24"/>
          <w:szCs w:val="24"/>
          <w:lang w:eastAsia="cs-CZ"/>
        </w:rPr>
        <w:t xml:space="preserve"> </w:t>
      </w:r>
      <w:r w:rsidR="00036E80">
        <w:rPr>
          <w:rFonts w:ascii="Times New Roman" w:hAnsi="Times New Roman"/>
          <w:sz w:val="24"/>
          <w:szCs w:val="24"/>
          <w:lang w:eastAsia="cs-CZ"/>
        </w:rPr>
        <w:t xml:space="preserve">příslušný dokument (např. </w:t>
      </w:r>
      <w:r>
        <w:rPr>
          <w:rFonts w:ascii="Times New Roman" w:hAnsi="Times New Roman"/>
          <w:sz w:val="24"/>
          <w:szCs w:val="24"/>
          <w:lang w:eastAsia="cs-CZ"/>
        </w:rPr>
        <w:t>změnov</w:t>
      </w:r>
      <w:r w:rsidR="00960BE8">
        <w:rPr>
          <w:rFonts w:ascii="Times New Roman" w:hAnsi="Times New Roman"/>
          <w:sz w:val="24"/>
          <w:szCs w:val="24"/>
          <w:lang w:eastAsia="cs-CZ"/>
        </w:rPr>
        <w:t>ý</w:t>
      </w:r>
      <w:r>
        <w:rPr>
          <w:rFonts w:ascii="Times New Roman" w:hAnsi="Times New Roman"/>
          <w:sz w:val="24"/>
          <w:szCs w:val="24"/>
          <w:lang w:eastAsia="cs-CZ"/>
        </w:rPr>
        <w:t xml:space="preserve"> list</w:t>
      </w:r>
      <w:r w:rsidR="00036E80">
        <w:rPr>
          <w:rFonts w:ascii="Times New Roman" w:hAnsi="Times New Roman"/>
          <w:sz w:val="24"/>
          <w:szCs w:val="24"/>
          <w:lang w:eastAsia="cs-CZ"/>
        </w:rPr>
        <w:t>)</w:t>
      </w:r>
      <w:r w:rsidR="00F60029">
        <w:rPr>
          <w:rFonts w:ascii="Times New Roman" w:hAnsi="Times New Roman"/>
          <w:sz w:val="24"/>
          <w:szCs w:val="24"/>
          <w:lang w:eastAsia="cs-CZ"/>
        </w:rPr>
        <w:t xml:space="preserve"> </w:t>
      </w:r>
      <w:r w:rsidR="00036E80">
        <w:rPr>
          <w:rFonts w:ascii="Times New Roman" w:hAnsi="Times New Roman"/>
          <w:sz w:val="24"/>
          <w:szCs w:val="24"/>
          <w:lang w:eastAsia="cs-CZ"/>
        </w:rPr>
        <w:t>podepsaný všemi stanovenými osobami na vědomí.</w:t>
      </w:r>
      <w:r>
        <w:rPr>
          <w:rFonts w:ascii="Times New Roman" w:hAnsi="Times New Roman"/>
          <w:sz w:val="24"/>
          <w:szCs w:val="24"/>
          <w:lang w:eastAsia="cs-CZ"/>
        </w:rPr>
        <w:t xml:space="preserve"> Na základě </w:t>
      </w:r>
      <w:r w:rsidR="00036E80">
        <w:rPr>
          <w:rFonts w:ascii="Times New Roman" w:hAnsi="Times New Roman"/>
          <w:sz w:val="24"/>
          <w:szCs w:val="24"/>
          <w:lang w:eastAsia="cs-CZ"/>
        </w:rPr>
        <w:t>kontroly předložených dokumentů</w:t>
      </w:r>
      <w:r>
        <w:rPr>
          <w:rFonts w:ascii="Times New Roman" w:hAnsi="Times New Roman"/>
          <w:sz w:val="24"/>
          <w:szCs w:val="24"/>
          <w:lang w:eastAsia="cs-CZ"/>
        </w:rPr>
        <w:t xml:space="preserve"> může být dle postupu v § 14o rozpočtových pravidel provedena změna Rozhodnutí.</w:t>
      </w:r>
      <w:r w:rsidR="00250708">
        <w:rPr>
          <w:rFonts w:ascii="Times New Roman" w:hAnsi="Times New Roman"/>
          <w:sz w:val="24"/>
          <w:szCs w:val="24"/>
          <w:lang w:eastAsia="cs-CZ"/>
        </w:rPr>
        <w:t xml:space="preserve"> Příjemce dotace může předložit dokumenty ke kontrole i před jejich podepsáním.</w:t>
      </w:r>
    </w:p>
    <w:p w:rsidR="009B70C0" w:rsidRDefault="009B70C0" w:rsidP="00C67F0A">
      <w:pPr>
        <w:pStyle w:val="Odstavecseseznamem1"/>
        <w:numPr>
          <w:ilvl w:val="0"/>
          <w:numId w:val="3"/>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 xml:space="preserve">Pokud u akce bude zavedena položka „Rezerva na změny věcné“, čerpání uvedené položky je možné pouze na základě předchozího schválení MŠMT. </w:t>
      </w:r>
    </w:p>
    <w:p w:rsidR="009B70C0" w:rsidRDefault="009B70C0" w:rsidP="00C67F0A">
      <w:pPr>
        <w:pStyle w:val="Odstavecseseznamem1"/>
        <w:numPr>
          <w:ilvl w:val="0"/>
          <w:numId w:val="3"/>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Žádost o odsouhlasení změny IZ a žádost o změnu Rozhodnutí musí být podána nejpozději do termínu realizace akce stanoveného v Rozhodnutí.    </w:t>
      </w:r>
    </w:p>
    <w:p w:rsidR="009D7077" w:rsidRPr="00497D1F" w:rsidRDefault="009D7077" w:rsidP="009D7077">
      <w:pPr>
        <w:pStyle w:val="Odstavecseseznamem"/>
        <w:autoSpaceDE w:val="0"/>
        <w:autoSpaceDN w:val="0"/>
        <w:adjustRightInd w:val="0"/>
        <w:spacing w:after="0" w:line="240" w:lineRule="auto"/>
        <w:ind w:left="360"/>
        <w:jc w:val="both"/>
        <w:rPr>
          <w:rFonts w:ascii="Times New Roman" w:hAnsi="Times New Roman"/>
          <w:sz w:val="24"/>
          <w:szCs w:val="24"/>
          <w:lang w:eastAsia="cs-CZ"/>
        </w:rPr>
      </w:pPr>
    </w:p>
    <w:p w:rsidR="009D7077" w:rsidRPr="00497D1F" w:rsidRDefault="009D7077" w:rsidP="00C67F0A">
      <w:pPr>
        <w:pStyle w:val="Odstavecseseznamem"/>
        <w:numPr>
          <w:ilvl w:val="0"/>
          <w:numId w:val="2"/>
        </w:numPr>
        <w:tabs>
          <w:tab w:val="left" w:pos="567"/>
          <w:tab w:val="left" w:pos="993"/>
        </w:tabs>
        <w:spacing w:after="240" w:line="240" w:lineRule="auto"/>
        <w:ind w:left="714" w:hanging="357"/>
        <w:contextualSpacing w:val="0"/>
        <w:rPr>
          <w:rFonts w:ascii="Times New Roman" w:eastAsia="Times New Roman" w:hAnsi="Times New Roman"/>
          <w:b/>
          <w:sz w:val="24"/>
          <w:szCs w:val="24"/>
          <w:lang w:eastAsia="cs-CZ"/>
        </w:rPr>
      </w:pPr>
      <w:r w:rsidRPr="00497D1F">
        <w:rPr>
          <w:rFonts w:ascii="Times New Roman" w:eastAsia="Times New Roman" w:hAnsi="Times New Roman"/>
          <w:b/>
          <w:sz w:val="24"/>
          <w:szCs w:val="24"/>
          <w:lang w:eastAsia="cs-CZ"/>
        </w:rPr>
        <w:t>Vymezení obchodních a platebních podmínek</w:t>
      </w:r>
      <w:r>
        <w:rPr>
          <w:rFonts w:ascii="Times New Roman" w:eastAsia="Times New Roman" w:hAnsi="Times New Roman"/>
          <w:b/>
          <w:sz w:val="24"/>
          <w:szCs w:val="24"/>
          <w:lang w:eastAsia="cs-CZ"/>
        </w:rPr>
        <w:t xml:space="preserve"> pro všechny závazky hrazené z dotace</w:t>
      </w:r>
    </w:p>
    <w:p w:rsidR="009B70C0" w:rsidRDefault="009B70C0" w:rsidP="00C67F0A">
      <w:pPr>
        <w:pStyle w:val="Odstavecseseznamem1"/>
        <w:numPr>
          <w:ilvl w:val="0"/>
          <w:numId w:val="4"/>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t xml:space="preserve">Příjemce dotace je povinen zpravidla smluvně vázat všechny účastníky realizace akce k dodržení závazných údajů uvedených v Rozhodnutí. </w:t>
      </w:r>
    </w:p>
    <w:p w:rsidR="009B70C0" w:rsidRDefault="009B70C0" w:rsidP="00C67F0A">
      <w:pPr>
        <w:pStyle w:val="Odstavecseseznamem1"/>
        <w:numPr>
          <w:ilvl w:val="0"/>
          <w:numId w:val="4"/>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Příjemce dotace výslovně zakotví do smluvních podmínek se svými dodavateli jejich povinnost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w:t>
      </w:r>
    </w:p>
    <w:p w:rsidR="009B70C0" w:rsidRDefault="009B70C0" w:rsidP="00C67F0A">
      <w:pPr>
        <w:pStyle w:val="Odstavecseseznamem1"/>
        <w:numPr>
          <w:ilvl w:val="0"/>
          <w:numId w:val="4"/>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V každém závazku bude minimálně specifikována cena celková s vyčíslením částky bez DPH a cena celková s vyčíslením částky včetně DPH. </w:t>
      </w:r>
    </w:p>
    <w:p w:rsidR="009B70C0" w:rsidRDefault="009B70C0" w:rsidP="00C67F0A">
      <w:pPr>
        <w:pStyle w:val="Odstavecseseznamem1"/>
        <w:numPr>
          <w:ilvl w:val="0"/>
          <w:numId w:val="4"/>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V obchodních a platebních podmínkách nebude povoleno poskytování záloh. </w:t>
      </w:r>
    </w:p>
    <w:p w:rsidR="009B70C0" w:rsidRDefault="009B70C0" w:rsidP="00C67F0A">
      <w:pPr>
        <w:pStyle w:val="Odstavecseseznamem1"/>
        <w:numPr>
          <w:ilvl w:val="0"/>
          <w:numId w:val="4"/>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Faktury mohou být zhotovitelům a dodavatelům propláceny měsíčně proti předložení dokladu o provedení prací nebo dodávek. </w:t>
      </w:r>
    </w:p>
    <w:p w:rsidR="009B70C0" w:rsidRDefault="009B70C0" w:rsidP="00C67F0A">
      <w:pPr>
        <w:pStyle w:val="Odstavecseseznamem1"/>
        <w:numPr>
          <w:ilvl w:val="0"/>
          <w:numId w:val="4"/>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Případné smluvní pokuty za nedodržení smluvních závazků ze strany dodavatele náleží v plné výši příjemci dotace.</w:t>
      </w:r>
    </w:p>
    <w:p w:rsidR="009D7077" w:rsidRDefault="009D7077" w:rsidP="009D7077">
      <w:pPr>
        <w:spacing w:after="0" w:line="240" w:lineRule="auto"/>
        <w:jc w:val="both"/>
        <w:rPr>
          <w:rFonts w:ascii="Times New Roman" w:hAnsi="Times New Roman"/>
          <w:sz w:val="24"/>
          <w:szCs w:val="24"/>
          <w:lang w:eastAsia="cs-CZ"/>
        </w:rPr>
      </w:pPr>
    </w:p>
    <w:p w:rsidR="009D7077" w:rsidRPr="006E7D5B" w:rsidRDefault="009D7077" w:rsidP="00C67F0A">
      <w:pPr>
        <w:pStyle w:val="Odstavecseseznamem"/>
        <w:numPr>
          <w:ilvl w:val="0"/>
          <w:numId w:val="2"/>
        </w:numPr>
        <w:tabs>
          <w:tab w:val="left" w:pos="567"/>
          <w:tab w:val="left" w:pos="993"/>
        </w:tabs>
        <w:spacing w:after="240" w:line="240" w:lineRule="auto"/>
        <w:ind w:left="714" w:hanging="357"/>
        <w:contextualSpacing w:val="0"/>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Vymezení podmínek pro čerpání dotace</w:t>
      </w:r>
    </w:p>
    <w:p w:rsidR="00F27048" w:rsidRDefault="009B70C0" w:rsidP="00C67F0A">
      <w:pPr>
        <w:pStyle w:val="Odstavecseseznamem1"/>
        <w:numPr>
          <w:ilvl w:val="0"/>
          <w:numId w:val="5"/>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t xml:space="preserve">Prostředky státního rozpočtu budou převedeny v souladu s platebními podmínkami stanovenými v Rozhodnutí.  </w:t>
      </w:r>
    </w:p>
    <w:p w:rsidR="009B70C0" w:rsidRDefault="009B70C0" w:rsidP="009873E9">
      <w:pPr>
        <w:pStyle w:val="Odstavecseseznamem1"/>
        <w:numPr>
          <w:ilvl w:val="0"/>
          <w:numId w:val="5"/>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lastRenderedPageBreak/>
        <w:t>V případě porušení Rozhodnutí nebo některého z ustanovení těchto Podmínek a pokynů pro poskytnutí dotace bude správce programu postupovat podle § 14f rozpočtových pravidel. Dále lze uplatnit postup podle § 14e rozpočtových pravidel a finanční prostředky nevyplatit.</w:t>
      </w:r>
    </w:p>
    <w:p w:rsidR="009B70C0" w:rsidRDefault="009B70C0" w:rsidP="009873E9">
      <w:pPr>
        <w:pStyle w:val="Odstavecseseznamem1"/>
        <w:numPr>
          <w:ilvl w:val="0"/>
          <w:numId w:val="5"/>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rPr>
        <w:t xml:space="preserve">Dotace bude převedena </w:t>
      </w:r>
      <w:r>
        <w:rPr>
          <w:rFonts w:ascii="Times New Roman" w:hAnsi="Times New Roman"/>
          <w:sz w:val="24"/>
          <w:szCs w:val="24"/>
          <w:lang w:eastAsia="cs-CZ"/>
        </w:rPr>
        <w:t>na základě písemné žádosti příjemce dotace. Žádost musí obsahovat vyčíslení přesné požadované částky dotace (v rozdělení na investiční a neinvestiční výdaje)</w:t>
      </w:r>
      <w:r w:rsidR="00D00380">
        <w:rPr>
          <w:rFonts w:ascii="Times New Roman" w:hAnsi="Times New Roman"/>
          <w:sz w:val="24"/>
          <w:szCs w:val="24"/>
          <w:lang w:eastAsia="cs-CZ"/>
        </w:rPr>
        <w:t xml:space="preserve"> a číslo účtu, na který má být dotace zaslána</w:t>
      </w:r>
      <w:r>
        <w:rPr>
          <w:rFonts w:ascii="Times New Roman" w:hAnsi="Times New Roman"/>
          <w:sz w:val="24"/>
          <w:szCs w:val="24"/>
          <w:lang w:eastAsia="cs-CZ"/>
        </w:rPr>
        <w:t>. Součástí žádosti bude kopie platné oboustranně podepsané smlouvy nebo objednávky potvrzené dodavatelem.</w:t>
      </w:r>
    </w:p>
    <w:p w:rsidR="00304976" w:rsidRPr="00F60029" w:rsidRDefault="00304976" w:rsidP="009873E9">
      <w:pPr>
        <w:pStyle w:val="Zpat"/>
        <w:numPr>
          <w:ilvl w:val="0"/>
          <w:numId w:val="5"/>
        </w:numPr>
        <w:tabs>
          <w:tab w:val="left" w:pos="4395"/>
        </w:tabs>
        <w:spacing w:after="120"/>
        <w:jc w:val="both"/>
        <w:rPr>
          <w:rFonts w:ascii="Times New Roman" w:eastAsia="Times New Roman" w:hAnsi="Times New Roman"/>
          <w:sz w:val="24"/>
          <w:szCs w:val="24"/>
        </w:rPr>
      </w:pPr>
      <w:r w:rsidRPr="00F60029">
        <w:rPr>
          <w:rFonts w:ascii="Times New Roman" w:eastAsia="Times New Roman" w:hAnsi="Times New Roman"/>
          <w:sz w:val="24"/>
          <w:szCs w:val="24"/>
        </w:rPr>
        <w:t>Ze státního rozpočtu lze zpětně proplatit pouze výdaje aktuálního rozpočtového roku, nikoli výdaje let předchozích.</w:t>
      </w:r>
    </w:p>
    <w:p w:rsidR="009B70C0" w:rsidRDefault="009B70C0" w:rsidP="009873E9">
      <w:pPr>
        <w:pStyle w:val="Odstavecseseznamem1"/>
        <w:numPr>
          <w:ilvl w:val="0"/>
          <w:numId w:val="5"/>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rPr>
        <w:t xml:space="preserve">Dotace bude </w:t>
      </w:r>
      <w:r>
        <w:rPr>
          <w:rFonts w:ascii="Times New Roman" w:hAnsi="Times New Roman"/>
          <w:sz w:val="24"/>
          <w:szCs w:val="24"/>
          <w:lang w:eastAsia="cs-CZ"/>
        </w:rPr>
        <w:t xml:space="preserve">převedena na účet příjemce dotace zřízený u České národní banky (dále jen “ČNB“). Příjemce dotace může hradit jednotlivé faktury související s akcí z účtu u ČNB, na který byla dotace převedena, případně může prostředky dotace převést na svůj běžný účet, ze kterého bude realizovat financování akce.    </w:t>
      </w:r>
    </w:p>
    <w:p w:rsidR="009B70C0" w:rsidRDefault="009B70C0" w:rsidP="009873E9">
      <w:pPr>
        <w:pStyle w:val="Odstavecseseznamem1"/>
        <w:numPr>
          <w:ilvl w:val="0"/>
          <w:numId w:val="5"/>
        </w:numPr>
        <w:tabs>
          <w:tab w:val="left" w:pos="4395"/>
        </w:tabs>
        <w:spacing w:after="120" w:line="240" w:lineRule="auto"/>
        <w:ind w:left="714" w:hanging="357"/>
        <w:contextualSpacing w:val="0"/>
        <w:jc w:val="both"/>
        <w:rPr>
          <w:rFonts w:ascii="Times New Roman" w:hAnsi="Times New Roman"/>
          <w:sz w:val="24"/>
          <w:szCs w:val="24"/>
          <w:lang w:eastAsia="cs-CZ"/>
        </w:rPr>
      </w:pPr>
      <w:r>
        <w:rPr>
          <w:rFonts w:ascii="Times New Roman" w:hAnsi="Times New Roman"/>
          <w:sz w:val="24"/>
          <w:szCs w:val="24"/>
          <w:lang w:eastAsia="cs-CZ"/>
        </w:rPr>
        <w:t>Pokud příjemce dotace v průběhu roku zjistí, že není schopen v daném roce ani v letech následujících převedené prostředky dotace, popřípadě její část, vyčerpat, je povinen neprodleně oznámit tuto skutečnost správci programu.</w:t>
      </w:r>
    </w:p>
    <w:p w:rsidR="009B70C0" w:rsidRDefault="009B70C0" w:rsidP="009873E9">
      <w:pPr>
        <w:pStyle w:val="Odstavecseseznamem1"/>
        <w:numPr>
          <w:ilvl w:val="0"/>
          <w:numId w:val="5"/>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t>Příjemce dotace je povinen vypořádat dotaci se státním rozpočtem v souladu se zákonem č. 218/2000 Sb., o rozpočtových pravidlech a o změně některých souvisejících zákonů (rozpočtová pravidla) a platnou vyhláškou vydanou Ministerstvem financí č. 367/2015 Sb., o zásadách a lhůtách finančního vypořádání vztahů se státním rozpočtem, státními finančními aktivy nebo Národním fondem (vyhláška o finančním vypořádání), ve znění pozdějších předpisů. Nevyčerpané finanční prostředky příjemce dotace vrátí na:</w:t>
      </w:r>
    </w:p>
    <w:p w:rsidR="009B70C0" w:rsidRDefault="009B70C0" w:rsidP="009873E9">
      <w:pPr>
        <w:pStyle w:val="Odstavecseseznamem1"/>
        <w:numPr>
          <w:ilvl w:val="1"/>
          <w:numId w:val="6"/>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t>výdajový účet MŠMT č. 0000821001/0710, nejpozději do 31. 12. daného rozpočtového roku (prostředky musí být připsány na účet MŠMT), pokud příjemce dotace vrací nevyčerpané prostředky v průběhu kalendářního roku, ve kterém byla dotace převedena,</w:t>
      </w:r>
    </w:p>
    <w:p w:rsidR="009B70C0" w:rsidRDefault="009B70C0" w:rsidP="009873E9">
      <w:pPr>
        <w:pStyle w:val="Odstavecseseznamem1"/>
        <w:numPr>
          <w:ilvl w:val="1"/>
          <w:numId w:val="6"/>
        </w:numPr>
        <w:tabs>
          <w:tab w:val="left" w:pos="4395"/>
        </w:tabs>
        <w:spacing w:after="120" w:line="240" w:lineRule="auto"/>
        <w:contextualSpacing w:val="0"/>
        <w:jc w:val="both"/>
        <w:rPr>
          <w:rFonts w:ascii="Times New Roman" w:hAnsi="Times New Roman"/>
          <w:sz w:val="24"/>
          <w:szCs w:val="24"/>
          <w:lang w:eastAsia="cs-CZ"/>
        </w:rPr>
      </w:pPr>
      <w:r>
        <w:rPr>
          <w:rFonts w:ascii="Times New Roman" w:hAnsi="Times New Roman"/>
          <w:sz w:val="24"/>
          <w:szCs w:val="24"/>
          <w:lang w:eastAsia="cs-CZ"/>
        </w:rPr>
        <w:t>účet cizích prostředků MŠMT č. 6015-821001/0710, pokud příjemce vrací nevyčerpané prostředky v rámci finančního vypořádání vztahů se státním rozpočtem.</w:t>
      </w:r>
    </w:p>
    <w:p w:rsidR="009B70C0" w:rsidRDefault="009B70C0" w:rsidP="009873E9">
      <w:pPr>
        <w:pStyle w:val="Odstavecseseznamem1"/>
        <w:tabs>
          <w:tab w:val="left" w:pos="4395"/>
        </w:tabs>
        <w:spacing w:after="120" w:line="240" w:lineRule="auto"/>
        <w:ind w:left="708"/>
        <w:contextualSpacing w:val="0"/>
        <w:jc w:val="both"/>
        <w:rPr>
          <w:rFonts w:ascii="Times New Roman" w:hAnsi="Times New Roman"/>
          <w:sz w:val="24"/>
          <w:szCs w:val="24"/>
          <w:lang w:eastAsia="cs-CZ"/>
        </w:rPr>
      </w:pPr>
      <w:r>
        <w:rPr>
          <w:rFonts w:ascii="Times New Roman" w:hAnsi="Times New Roman"/>
          <w:sz w:val="24"/>
          <w:szCs w:val="24"/>
          <w:lang w:eastAsia="cs-CZ"/>
        </w:rPr>
        <w:t xml:space="preserve">Příjemce dotace vypořádá dotaci v termínu do 15. 2. roku následujícího za rokem, ve kterém předložil správci programu podklady pro závěrečné vyhodnocení akce. </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MŠMT– č. </w:t>
      </w:r>
      <w:proofErr w:type="spellStart"/>
      <w:r>
        <w:rPr>
          <w:rFonts w:ascii="Times New Roman" w:hAnsi="Times New Roman"/>
          <w:sz w:val="24"/>
          <w:szCs w:val="24"/>
          <w:lang w:eastAsia="cs-CZ"/>
        </w:rPr>
        <w:t>ú.</w:t>
      </w:r>
      <w:proofErr w:type="spellEnd"/>
      <w:r>
        <w:rPr>
          <w:rFonts w:ascii="Times New Roman" w:hAnsi="Times New Roman"/>
          <w:sz w:val="24"/>
          <w:szCs w:val="24"/>
          <w:lang w:eastAsia="cs-CZ"/>
        </w:rPr>
        <w:t xml:space="preserve"> </w:t>
      </w:r>
      <w:proofErr w:type="gramStart"/>
      <w:r>
        <w:rPr>
          <w:rFonts w:ascii="Times New Roman" w:hAnsi="Times New Roman"/>
          <w:sz w:val="24"/>
          <w:szCs w:val="24"/>
          <w:lang w:eastAsia="cs-CZ"/>
        </w:rPr>
        <w:t>6015 - 821001</w:t>
      </w:r>
      <w:proofErr w:type="gramEnd"/>
      <w:r>
        <w:rPr>
          <w:rFonts w:ascii="Times New Roman" w:hAnsi="Times New Roman"/>
          <w:sz w:val="24"/>
          <w:szCs w:val="24"/>
          <w:lang w:eastAsia="cs-CZ"/>
        </w:rPr>
        <w:t>/0710.</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Majetek pořízený z dotace dle Rozhodnutí bude využíván v souladu se zákonem č. 586/1992 Sb., o daních z příjmu, ve znění pozdějších předpisů.  U staveb bude využíván po dobu 10 let od jeho pořízení za účelem, pro který je dotace poskytována. Termínem pořízení je termín ukončení realizace akce stanovený v Rozhodnutí.</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Majetek pořízený z dotace nebude po dobu 10 let od jeho pořízení převeden na jinou osobu a po dobu 10 let od jeho pořízení je účastník programu povinen jej řádně provozovat.</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Příjemce dotace je povinen po dobu nejméně 10 let od termínu ukončení závěrečného vyhodnocení akce uchovávat veškeré doklady a písemnosti potřebné k řádnému provedení kontroly použití dotace.</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Příjemce dotace je povinen vést účetnictví dle zákona č. 563/1991 Sb., o účetnictví a vést analytickou evidenci s vazbou na akci.</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lastRenderedPageBreak/>
        <w:t xml:space="preserve">Po ukončení realizace akce příjemce dotace předloží správci programu v souladu s § 6 vyhlášky </w:t>
      </w:r>
      <w:r>
        <w:rPr>
          <w:rFonts w:ascii="Times New Roman" w:hAnsi="Times New Roman"/>
          <w:sz w:val="24"/>
          <w:szCs w:val="24"/>
          <w:lang w:eastAsia="cs-CZ"/>
        </w:rPr>
        <w:br/>
        <w:t>ve stanoveném termínu dokumentaci závěrečného vyhodnocení akce. Tento termín je uveden v Rozhodnutí.</w:t>
      </w:r>
    </w:p>
    <w:p w:rsidR="009B70C0" w:rsidRDefault="009B70C0" w:rsidP="00C67F0A">
      <w:pPr>
        <w:pStyle w:val="Odstavecseseznamem1"/>
        <w:numPr>
          <w:ilvl w:val="0"/>
          <w:numId w:val="5"/>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 xml:space="preserve">O poskytnutí dotace a výši dotace rozhoduje poskytovatel dotace. </w:t>
      </w:r>
    </w:p>
    <w:p w:rsidR="009D7077" w:rsidRDefault="009D7077" w:rsidP="00C67F0A">
      <w:pPr>
        <w:spacing w:after="0" w:line="240" w:lineRule="auto"/>
        <w:rPr>
          <w:rFonts w:ascii="Times New Roman" w:hAnsi="Times New Roman"/>
          <w:sz w:val="24"/>
          <w:szCs w:val="24"/>
          <w:lang w:eastAsia="cs-CZ"/>
        </w:rPr>
      </w:pPr>
    </w:p>
    <w:p w:rsidR="009D7077" w:rsidRPr="0061443F" w:rsidRDefault="009D7077" w:rsidP="00C67F0A">
      <w:pPr>
        <w:pStyle w:val="Odstavecseseznamem"/>
        <w:numPr>
          <w:ilvl w:val="0"/>
          <w:numId w:val="2"/>
        </w:numPr>
        <w:tabs>
          <w:tab w:val="left" w:pos="567"/>
          <w:tab w:val="left" w:pos="993"/>
        </w:tabs>
        <w:spacing w:after="240" w:line="240" w:lineRule="auto"/>
        <w:ind w:left="714" w:hanging="357"/>
        <w:contextualSpacing w:val="0"/>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Vymezení dalších</w:t>
      </w:r>
      <w:r w:rsidRPr="0061443F">
        <w:rPr>
          <w:rFonts w:ascii="Times New Roman" w:eastAsia="Times New Roman" w:hAnsi="Times New Roman"/>
          <w:b/>
          <w:sz w:val="24"/>
          <w:szCs w:val="24"/>
          <w:lang w:eastAsia="cs-CZ"/>
        </w:rPr>
        <w:t xml:space="preserve"> podmín</w:t>
      </w:r>
      <w:r>
        <w:rPr>
          <w:rFonts w:ascii="Times New Roman" w:eastAsia="Times New Roman" w:hAnsi="Times New Roman"/>
          <w:b/>
          <w:sz w:val="24"/>
          <w:szCs w:val="24"/>
          <w:lang w:eastAsia="cs-CZ"/>
        </w:rPr>
        <w:t>e</w:t>
      </w:r>
      <w:r w:rsidRPr="0061443F">
        <w:rPr>
          <w:rFonts w:ascii="Times New Roman" w:eastAsia="Times New Roman" w:hAnsi="Times New Roman"/>
          <w:b/>
          <w:sz w:val="24"/>
          <w:szCs w:val="24"/>
          <w:lang w:eastAsia="cs-CZ"/>
        </w:rPr>
        <w:t xml:space="preserve">k </w:t>
      </w:r>
    </w:p>
    <w:p w:rsidR="009B70C0" w:rsidRDefault="009B70C0" w:rsidP="00C67F0A">
      <w:pPr>
        <w:pStyle w:val="Odstavecseseznamem1"/>
        <w:numPr>
          <w:ilvl w:val="0"/>
          <w:numId w:val="7"/>
        </w:numPr>
        <w:tabs>
          <w:tab w:val="left" w:pos="4395"/>
        </w:tabs>
        <w:spacing w:after="120" w:line="240" w:lineRule="auto"/>
        <w:contextualSpacing w:val="0"/>
        <w:rPr>
          <w:rFonts w:ascii="Times New Roman" w:hAnsi="Times New Roman"/>
          <w:sz w:val="24"/>
          <w:szCs w:val="24"/>
          <w:lang w:eastAsia="cs-CZ"/>
        </w:rPr>
      </w:pPr>
      <w:r>
        <w:rPr>
          <w:rFonts w:ascii="Times New Roman" w:hAnsi="Times New Roman"/>
          <w:sz w:val="24"/>
          <w:szCs w:val="24"/>
          <w:lang w:eastAsia="cs-CZ"/>
        </w:rPr>
        <w:t>Příjemce dotace je povinen zasílat minimálně 1x za 3 měsíce počínaje vydáním Registrace akce správci programu Situační zprávu o průběhu přípravy a realizace akce (dále také „Zpráva“) včetně informací o všech případných odchylkách od schválených parametrů a harmonogramu prací a přehledného seznamu fakturace (podmínka navazuje na podmínku z výzvy).</w:t>
      </w:r>
      <w:r w:rsidR="0001226B" w:rsidRPr="0001226B">
        <w:rPr>
          <w:rFonts w:ascii="Times New Roman" w:hAnsi="Times New Roman"/>
          <w:sz w:val="24"/>
          <w:szCs w:val="24"/>
          <w:lang w:eastAsia="cs-CZ"/>
        </w:rPr>
        <w:t xml:space="preserve"> </w:t>
      </w:r>
      <w:r w:rsidR="0001226B">
        <w:rPr>
          <w:rFonts w:ascii="Times New Roman" w:hAnsi="Times New Roman"/>
          <w:sz w:val="24"/>
          <w:szCs w:val="24"/>
          <w:lang w:eastAsia="cs-CZ"/>
        </w:rPr>
        <w:t>Součástí Zprávy bude rovněž Evidenční list akce.</w:t>
      </w:r>
    </w:p>
    <w:p w:rsidR="009B70C0" w:rsidRDefault="009B70C0" w:rsidP="00C67F0A">
      <w:pPr>
        <w:pStyle w:val="Odstavecseseznamem1"/>
        <w:numPr>
          <w:ilvl w:val="0"/>
          <w:numId w:val="7"/>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Příjemce dotace je povinen předávat elektronicky správci programu zápisy z kontrolních dnů stavebních akcí. Jedenkrát do roka budou vyzváni zástupci správce programu k účasti na kontrolním dnu.</w:t>
      </w:r>
    </w:p>
    <w:p w:rsidR="009B70C0" w:rsidRDefault="009B70C0" w:rsidP="00C67F0A">
      <w:pPr>
        <w:pStyle w:val="Odstavecseseznamem1"/>
        <w:numPr>
          <w:ilvl w:val="0"/>
          <w:numId w:val="7"/>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 xml:space="preserve">Příjemce dotace umožní MŠMT průběžnou i závěrečnou kontrolu dokladů a dodržení podmínek užití dotace. </w:t>
      </w:r>
    </w:p>
    <w:p w:rsidR="009B70C0" w:rsidRDefault="009B70C0" w:rsidP="00C67F0A">
      <w:pPr>
        <w:pStyle w:val="Odstavecseseznamem1"/>
        <w:numPr>
          <w:ilvl w:val="0"/>
          <w:numId w:val="7"/>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lang w:eastAsia="cs-CZ"/>
        </w:rPr>
        <w:t xml:space="preserve">Příjemce dotace odpovídá za to, že veškeré doklady jsou úplné a pravdivé a že věcný obsah IZ </w:t>
      </w:r>
      <w:r>
        <w:rPr>
          <w:rFonts w:ascii="Times New Roman" w:hAnsi="Times New Roman"/>
          <w:sz w:val="24"/>
          <w:szCs w:val="24"/>
          <w:lang w:eastAsia="cs-CZ"/>
        </w:rPr>
        <w:br/>
        <w:t>z pohledu uživatele je úplný a odpovídá jeho požadavkům.</w:t>
      </w:r>
    </w:p>
    <w:p w:rsidR="009B70C0" w:rsidRDefault="009B70C0" w:rsidP="00C67F0A">
      <w:pPr>
        <w:pStyle w:val="Odstavecseseznamem1"/>
        <w:numPr>
          <w:ilvl w:val="0"/>
          <w:numId w:val="7"/>
        </w:numPr>
        <w:tabs>
          <w:tab w:val="left" w:pos="4395"/>
        </w:tabs>
        <w:spacing w:after="120" w:line="240" w:lineRule="auto"/>
        <w:ind w:left="714" w:hanging="357"/>
        <w:contextualSpacing w:val="0"/>
        <w:rPr>
          <w:rFonts w:ascii="Times New Roman" w:hAnsi="Times New Roman"/>
          <w:sz w:val="24"/>
          <w:szCs w:val="24"/>
          <w:lang w:eastAsia="cs-CZ"/>
        </w:rPr>
      </w:pPr>
      <w:r>
        <w:rPr>
          <w:rFonts w:ascii="Times New Roman" w:hAnsi="Times New Roman"/>
          <w:sz w:val="24"/>
          <w:szCs w:val="24"/>
        </w:rPr>
        <w:t xml:space="preserve">Správce programu si rovněž vyhrazuje právo na rozložení financování schválené akce v letech dle možností státního rozpočtu. </w:t>
      </w:r>
    </w:p>
    <w:p w:rsidR="00204210" w:rsidRDefault="00204210"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Pr="00710873" w:rsidRDefault="00C67F0A" w:rsidP="00C67F0A">
      <w:pPr>
        <w:spacing w:after="0" w:line="240" w:lineRule="auto"/>
        <w:ind w:left="425" w:hanging="425"/>
        <w:jc w:val="right"/>
        <w:rPr>
          <w:rFonts w:ascii="Arial" w:hAnsi="Arial"/>
          <w:lang w:eastAsia="cs-CZ"/>
        </w:rPr>
      </w:pPr>
      <w:bookmarkStart w:id="0" w:name="_GoBack"/>
      <w:bookmarkEnd w:id="0"/>
      <w:r w:rsidRPr="003866A6">
        <w:rPr>
          <w:rFonts w:ascii="Times New Roman" w:hAnsi="Times New Roman"/>
          <w:sz w:val="24"/>
          <w:szCs w:val="24"/>
          <w:lang w:eastAsia="cs-CZ"/>
        </w:rPr>
        <w:lastRenderedPageBreak/>
        <w:t>Identifikační číslo EDS akce 133D2</w:t>
      </w:r>
      <w:r>
        <w:rPr>
          <w:rFonts w:ascii="Times New Roman" w:hAnsi="Times New Roman"/>
          <w:sz w:val="24"/>
          <w:szCs w:val="24"/>
          <w:lang w:eastAsia="cs-CZ"/>
        </w:rPr>
        <w:t>2x</w:t>
      </w:r>
      <w:r w:rsidRPr="003866A6">
        <w:rPr>
          <w:rFonts w:ascii="Times New Roman" w:hAnsi="Times New Roman"/>
          <w:sz w:val="24"/>
          <w:szCs w:val="24"/>
          <w:lang w:eastAsia="cs-CZ"/>
        </w:rPr>
        <w:t>00</w:t>
      </w:r>
      <w:r>
        <w:rPr>
          <w:rFonts w:ascii="Times New Roman" w:hAnsi="Times New Roman"/>
          <w:sz w:val="24"/>
          <w:szCs w:val="24"/>
          <w:lang w:eastAsia="cs-CZ"/>
        </w:rPr>
        <w:t>xxx</w:t>
      </w:r>
    </w:p>
    <w:p w:rsidR="00C67F0A" w:rsidRDefault="00C67F0A" w:rsidP="009B70C0">
      <w:pPr>
        <w:pStyle w:val="Odstavecseseznamem1"/>
        <w:tabs>
          <w:tab w:val="left" w:pos="4395"/>
        </w:tabs>
        <w:spacing w:after="120" w:line="240" w:lineRule="auto"/>
        <w:jc w:val="both"/>
        <w:rPr>
          <w:rFonts w:ascii="Times New Roman" w:hAnsi="Times New Roman"/>
          <w:sz w:val="24"/>
          <w:szCs w:val="24"/>
          <w:lang w:eastAsia="cs-CZ"/>
        </w:rPr>
      </w:pPr>
    </w:p>
    <w:p w:rsidR="00C67F0A" w:rsidRDefault="00C67F0A" w:rsidP="00C67F0A">
      <w:pPr>
        <w:spacing w:before="480" w:after="480" w:line="240" w:lineRule="auto"/>
        <w:jc w:val="center"/>
        <w:rPr>
          <w:rFonts w:ascii="Times New Roman" w:hAnsi="Times New Roman"/>
          <w:sz w:val="24"/>
          <w:szCs w:val="24"/>
          <w:lang w:eastAsia="cs-CZ"/>
        </w:rPr>
      </w:pPr>
      <w:r w:rsidRPr="00C67F0A">
        <w:rPr>
          <w:rFonts w:ascii="Times New Roman" w:hAnsi="Times New Roman"/>
          <w:b/>
          <w:sz w:val="28"/>
          <w:szCs w:val="28"/>
        </w:rPr>
        <w:t xml:space="preserve">Pravidla způsobilosti </w:t>
      </w:r>
      <w:proofErr w:type="gramStart"/>
      <w:r w:rsidRPr="00C67F0A">
        <w:rPr>
          <w:rFonts w:ascii="Times New Roman" w:hAnsi="Times New Roman"/>
          <w:b/>
          <w:sz w:val="28"/>
          <w:szCs w:val="28"/>
        </w:rPr>
        <w:t>výdajů</w:t>
      </w:r>
      <w:r>
        <w:rPr>
          <w:rFonts w:ascii="Times New Roman" w:hAnsi="Times New Roman"/>
          <w:b/>
          <w:sz w:val="28"/>
          <w:szCs w:val="28"/>
        </w:rPr>
        <w:t xml:space="preserve"> - vzor</w:t>
      </w:r>
      <w:proofErr w:type="gramEnd"/>
    </w:p>
    <w:p w:rsidR="00C67F0A" w:rsidRPr="00EC4912" w:rsidRDefault="00C67F0A" w:rsidP="00EC4912">
      <w:pPr>
        <w:pStyle w:val="Odstavecseseznamem"/>
        <w:numPr>
          <w:ilvl w:val="0"/>
          <w:numId w:val="12"/>
        </w:numPr>
        <w:tabs>
          <w:tab w:val="left" w:pos="567"/>
          <w:tab w:val="left" w:pos="993"/>
        </w:tabs>
        <w:spacing w:after="240" w:line="240" w:lineRule="auto"/>
        <w:contextualSpacing w:val="0"/>
        <w:rPr>
          <w:rFonts w:ascii="Times New Roman" w:eastAsia="Times New Roman" w:hAnsi="Times New Roman"/>
          <w:b/>
          <w:sz w:val="24"/>
          <w:szCs w:val="24"/>
          <w:lang w:eastAsia="cs-CZ"/>
        </w:rPr>
      </w:pPr>
      <w:r w:rsidRPr="00EC4912">
        <w:rPr>
          <w:rFonts w:ascii="Times New Roman" w:eastAsia="Times New Roman" w:hAnsi="Times New Roman"/>
          <w:b/>
          <w:sz w:val="24"/>
          <w:szCs w:val="24"/>
          <w:lang w:eastAsia="cs-CZ"/>
        </w:rPr>
        <w:t>Způsobilost výdajů</w:t>
      </w:r>
    </w:p>
    <w:p w:rsidR="00C67F0A" w:rsidRPr="00652B0D" w:rsidRDefault="00C67F0A" w:rsidP="00C67F0A">
      <w:p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Konkrétní výdaje musí být vynaloženy v souladu s věcným zaměřením a cíli výzvy. Způsobilé výdaje musí splňovat obecné principy způsobilosti výdajů z hlediska </w:t>
      </w:r>
      <w:r w:rsidRPr="00652B0D">
        <w:rPr>
          <w:rFonts w:ascii="Times New Roman" w:hAnsi="Times New Roman"/>
          <w:i/>
          <w:sz w:val="24"/>
          <w:szCs w:val="24"/>
        </w:rPr>
        <w:t xml:space="preserve">času, umístění a účelu </w:t>
      </w:r>
      <w:r w:rsidRPr="00652B0D">
        <w:rPr>
          <w:rFonts w:ascii="Times New Roman" w:hAnsi="Times New Roman"/>
          <w:sz w:val="24"/>
          <w:szCs w:val="24"/>
        </w:rPr>
        <w:t xml:space="preserve">a musejí být vynaloženy v souladu se zásadami </w:t>
      </w:r>
      <w:r w:rsidRPr="00652B0D">
        <w:rPr>
          <w:rFonts w:ascii="Times New Roman" w:hAnsi="Times New Roman"/>
          <w:i/>
          <w:sz w:val="24"/>
          <w:szCs w:val="24"/>
        </w:rPr>
        <w:t>hospodárnosti, efektivnosti a účelnosti</w:t>
      </w:r>
      <w:r w:rsidRPr="00652B0D">
        <w:rPr>
          <w:rFonts w:ascii="Times New Roman" w:hAnsi="Times New Roman"/>
          <w:sz w:val="24"/>
          <w:szCs w:val="24"/>
        </w:rPr>
        <w:t>.</w:t>
      </w:r>
      <w:r w:rsidRPr="00652B0D">
        <w:rPr>
          <w:rFonts w:ascii="Times New Roman" w:hAnsi="Times New Roman"/>
          <w:sz w:val="24"/>
          <w:szCs w:val="24"/>
        </w:rPr>
        <w:tab/>
      </w:r>
    </w:p>
    <w:p w:rsidR="00C67F0A" w:rsidRPr="00652B0D" w:rsidRDefault="00C67F0A" w:rsidP="00C67F0A">
      <w:p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Za způsobilé (výdaje zahrnuté do celkové bilance potřeb a zdrojů, ze které se vypočítává % podíl účasti vlastních zdrojů </w:t>
      </w:r>
      <w:r>
        <w:rPr>
          <w:rFonts w:ascii="Times New Roman" w:hAnsi="Times New Roman"/>
          <w:sz w:val="24"/>
          <w:szCs w:val="24"/>
        </w:rPr>
        <w:t>žadatele</w:t>
      </w:r>
      <w:r w:rsidRPr="00652B0D">
        <w:rPr>
          <w:rFonts w:ascii="Times New Roman" w:hAnsi="Times New Roman"/>
          <w:sz w:val="24"/>
          <w:szCs w:val="24"/>
        </w:rPr>
        <w:t xml:space="preserve">) se v rámci akce považují výdaje, které prokazatelně souvisí s předmětem investičního záměru (včetně výdajů uskutečněných před podáním žádosti). </w:t>
      </w:r>
    </w:p>
    <w:p w:rsidR="00C67F0A" w:rsidRPr="00652B0D" w:rsidRDefault="00C67F0A" w:rsidP="00C67F0A">
      <w:pPr>
        <w:spacing w:after="0" w:line="240" w:lineRule="auto"/>
        <w:contextualSpacing/>
        <w:jc w:val="both"/>
        <w:rPr>
          <w:rFonts w:ascii="Times New Roman" w:hAnsi="Times New Roman"/>
          <w:sz w:val="24"/>
          <w:szCs w:val="24"/>
        </w:rPr>
      </w:pPr>
      <w:r w:rsidRPr="00652B0D">
        <w:rPr>
          <w:rFonts w:ascii="Times New Roman" w:hAnsi="Times New Roman"/>
          <w:sz w:val="24"/>
          <w:szCs w:val="24"/>
        </w:rPr>
        <w:t>Omezení způsobilosti:</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Čas – Způsobilými výdaji jsou výdaje vzniklé v průběhu realizace akce, nejdříve však 1. 1. 2016. Do způsobilých výdajů, které vznikly před vydáním rozhodnutí o poskytnutí dotace, lze zahrnout pouze výdaje na aktivity spojené s přípravou akce. Jedná se zejména o výdaje dle dále uvedeného seznamu způsobilých výdajů upřesněné konkrétní výzvou. </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Účel – každý způsobilý výdaj musí být prokazatelně nezbytný pro realizaci akce a mít přímý vztah k</w:t>
      </w:r>
      <w:r>
        <w:rPr>
          <w:rFonts w:ascii="Times New Roman" w:hAnsi="Times New Roman"/>
          <w:sz w:val="24"/>
          <w:szCs w:val="24"/>
        </w:rPr>
        <w:t> </w:t>
      </w:r>
      <w:r w:rsidRPr="00652B0D">
        <w:rPr>
          <w:rFonts w:ascii="Times New Roman" w:hAnsi="Times New Roman"/>
          <w:sz w:val="24"/>
          <w:szCs w:val="24"/>
        </w:rPr>
        <w:t>účelu programu a zacílené podpory v rámci konkrétní výzvy.</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w:t>
      </w:r>
      <w:r>
        <w:rPr>
          <w:rFonts w:ascii="Times New Roman" w:hAnsi="Times New Roman"/>
          <w:sz w:val="24"/>
          <w:szCs w:val="24"/>
        </w:rPr>
        <w:t>, řádným stanovením předpokládané hodnoty veřejné zakázky a </w:t>
      </w:r>
      <w:r w:rsidRPr="00652B0D">
        <w:rPr>
          <w:rFonts w:ascii="Times New Roman" w:hAnsi="Times New Roman"/>
          <w:sz w:val="24"/>
          <w:szCs w:val="24"/>
        </w:rPr>
        <w:t xml:space="preserve">porovnáním v daném okamžiku srovnatelných nabídek. </w:t>
      </w:r>
    </w:p>
    <w:p w:rsidR="00C67F0A" w:rsidRPr="00652B0D" w:rsidRDefault="00C67F0A" w:rsidP="000F6AFC">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Efektivnost – takové použití prostředků, kterým se dosáhne nejvýše možného rozsahu, kvality a</w:t>
      </w:r>
      <w:r>
        <w:rPr>
          <w:rFonts w:ascii="Times New Roman" w:hAnsi="Times New Roman"/>
          <w:sz w:val="24"/>
          <w:szCs w:val="24"/>
        </w:rPr>
        <w:t> </w:t>
      </w:r>
      <w:r w:rsidRPr="00652B0D">
        <w:rPr>
          <w:rFonts w:ascii="Times New Roman" w:hAnsi="Times New Roman"/>
          <w:sz w:val="24"/>
          <w:szCs w:val="24"/>
        </w:rPr>
        <w:t>přínosu plněných úkolů ve srovnání s objemem prostředků vynaložených na jejich plnění (tj.</w:t>
      </w:r>
      <w:r w:rsidR="000F6AFC">
        <w:rPr>
          <w:rFonts w:ascii="Times New Roman" w:hAnsi="Times New Roman"/>
          <w:sz w:val="24"/>
          <w:szCs w:val="24"/>
        </w:rPr>
        <w:t> </w:t>
      </w:r>
      <w:r w:rsidRPr="00652B0D">
        <w:rPr>
          <w:rFonts w:ascii="Times New Roman" w:hAnsi="Times New Roman"/>
          <w:sz w:val="24"/>
          <w:szCs w:val="24"/>
        </w:rPr>
        <w:t>maximalizace poměru mezi výstupy a vstupy). Správcem program stanoví v jednotlivých výzvách hodnoty jednotkových cen na jejich pravidelné ověřování s ceníky stavebních prací nebo vývojem cen stavebních prací zveřejňovaným Českým statistickým úřadem</w:t>
      </w:r>
      <w:r>
        <w:rPr>
          <w:rFonts w:ascii="Times New Roman" w:hAnsi="Times New Roman"/>
          <w:sz w:val="24"/>
          <w:szCs w:val="24"/>
        </w:rPr>
        <w:t>,</w:t>
      </w:r>
      <w:r w:rsidRPr="00652B0D">
        <w:rPr>
          <w:rFonts w:ascii="Times New Roman" w:hAnsi="Times New Roman"/>
          <w:sz w:val="24"/>
          <w:szCs w:val="24"/>
        </w:rPr>
        <w:t xml:space="preserve"> </w:t>
      </w:r>
      <w:r>
        <w:rPr>
          <w:rFonts w:ascii="Times New Roman" w:hAnsi="Times New Roman"/>
          <w:sz w:val="24"/>
          <w:szCs w:val="24"/>
        </w:rPr>
        <w:t xml:space="preserve">případně </w:t>
      </w:r>
      <w:r w:rsidRPr="00652B0D">
        <w:rPr>
          <w:rFonts w:ascii="Times New Roman" w:hAnsi="Times New Roman"/>
          <w:sz w:val="24"/>
          <w:szCs w:val="24"/>
        </w:rPr>
        <w:t>posudky soudních znalců pro příslušné oblasti.</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Účelnost – takové použití prostředků, které zajistí optimální míru dosažení cílů při plnění stanovených úkolů. Zásada je naplněna, pokud akce splňuje kritéria přijatelnosti programu</w:t>
      </w:r>
      <w:r>
        <w:rPr>
          <w:rFonts w:ascii="Times New Roman" w:hAnsi="Times New Roman"/>
          <w:sz w:val="24"/>
          <w:szCs w:val="24"/>
        </w:rPr>
        <w:t>, definici účelu akce v rozhodnutí o poskytnutí dotace</w:t>
      </w:r>
      <w:r w:rsidRPr="00652B0D">
        <w:rPr>
          <w:rFonts w:ascii="Times New Roman" w:hAnsi="Times New Roman"/>
          <w:sz w:val="24"/>
          <w:szCs w:val="24"/>
        </w:rPr>
        <w:t xml:space="preserve"> a vede k naplnění stanovených indikátorů programu a splnění cílů vytyčených pro realizaci akce.</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Nikdy nesmí dojít </w:t>
      </w:r>
      <w:proofErr w:type="gramStart"/>
      <w:r w:rsidRPr="00652B0D">
        <w:rPr>
          <w:rFonts w:ascii="Times New Roman" w:hAnsi="Times New Roman"/>
          <w:sz w:val="24"/>
          <w:szCs w:val="24"/>
        </w:rPr>
        <w:t>k</w:t>
      </w:r>
      <w:proofErr w:type="gramEnd"/>
      <w:r w:rsidRPr="00652B0D">
        <w:rPr>
          <w:rFonts w:ascii="Times New Roman" w:hAnsi="Times New Roman"/>
          <w:sz w:val="24"/>
          <w:szCs w:val="24"/>
        </w:rPr>
        <w:t xml:space="preserve"> dvojímu financování konkrétního výdaje z jiného veřejného zdroje (národního, zdroje Evropské unie).</w:t>
      </w:r>
    </w:p>
    <w:p w:rsidR="00C67F0A" w:rsidRPr="00652B0D"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Daň z přidané hodnoty </w:t>
      </w:r>
      <w:r w:rsidR="008912B9">
        <w:rPr>
          <w:rFonts w:ascii="Times New Roman" w:hAnsi="Times New Roman"/>
          <w:sz w:val="24"/>
          <w:szCs w:val="24"/>
        </w:rPr>
        <w:t xml:space="preserve">(dále také DPH“) </w:t>
      </w:r>
      <w:r w:rsidRPr="00652B0D">
        <w:rPr>
          <w:rFonts w:ascii="Times New Roman" w:hAnsi="Times New Roman"/>
          <w:sz w:val="24"/>
          <w:szCs w:val="24"/>
        </w:rPr>
        <w:t xml:space="preserve">podle zvláštního právního předpisu může být způsobilým 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 za předpokladu, </w:t>
      </w:r>
      <w:r>
        <w:rPr>
          <w:rFonts w:ascii="Times New Roman" w:hAnsi="Times New Roman"/>
          <w:sz w:val="24"/>
          <w:szCs w:val="24"/>
        </w:rPr>
        <w:br/>
      </w:r>
      <w:r w:rsidRPr="00652B0D">
        <w:rPr>
          <w:rFonts w:ascii="Times New Roman" w:hAnsi="Times New Roman"/>
          <w:sz w:val="24"/>
          <w:szCs w:val="24"/>
        </w:rPr>
        <w:t xml:space="preserve">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w:t>
      </w:r>
      <w:r w:rsidRPr="00652B0D">
        <w:rPr>
          <w:rFonts w:ascii="Times New Roman" w:hAnsi="Times New Roman"/>
          <w:sz w:val="24"/>
          <w:szCs w:val="24"/>
        </w:rPr>
        <w:lastRenderedPageBreak/>
        <w:t>vyměřeného správcem daně. Platí však, že i po vyúčtování DPH musí být zachován % podíl zdrojů stanovený ve výzvě.</w:t>
      </w:r>
    </w:p>
    <w:p w:rsidR="00C67F0A" w:rsidRDefault="00C67F0A" w:rsidP="00C67F0A">
      <w:pPr>
        <w:numPr>
          <w:ilvl w:val="0"/>
          <w:numId w:val="10"/>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V případě žádosti o poskytnutí dotace na technické zhodnocení majetku, který není ve vlastnictví žadatele o dotaci, bude předmět dotace zabezpečen opatřením pro zajištění vkládaných finančních prostředků státního rozpočtu. Způsob smluvního zajištění musí být předem odsouhlasen poskytovatelem dotace. </w:t>
      </w:r>
    </w:p>
    <w:p w:rsidR="00C67F0A" w:rsidRDefault="00C67F0A" w:rsidP="00C67F0A">
      <w:pPr>
        <w:spacing w:after="0" w:line="240" w:lineRule="auto"/>
        <w:ind w:left="708"/>
        <w:contextualSpacing/>
        <w:jc w:val="both"/>
        <w:rPr>
          <w:rFonts w:ascii="Times New Roman" w:hAnsi="Times New Roman"/>
          <w:sz w:val="24"/>
          <w:szCs w:val="24"/>
        </w:rPr>
      </w:pPr>
      <w:r w:rsidRPr="00652B0D">
        <w:rPr>
          <w:rFonts w:ascii="Times New Roman" w:hAnsi="Times New Roman"/>
          <w:sz w:val="24"/>
          <w:szCs w:val="24"/>
        </w:rPr>
        <w:t>Investiční dotací může být podpořen majetek v dlouhodobém užívání žadatele na základě nájemní smlouvy, práva stavby, výpůjčky, pachtu či jiné smlouvy dle § 1746 odst. 2 zákona č. 89/2012 Sb., občanský zákoník, ve znění pozdějších předpisů. Podmínkou je smluvní zajištění mezi žadatelem a</w:t>
      </w:r>
      <w:r>
        <w:rPr>
          <w:rFonts w:ascii="Times New Roman" w:hAnsi="Times New Roman"/>
          <w:sz w:val="24"/>
          <w:szCs w:val="24"/>
        </w:rPr>
        <w:t> </w:t>
      </w:r>
      <w:r w:rsidRPr="00652B0D">
        <w:rPr>
          <w:rFonts w:ascii="Times New Roman" w:hAnsi="Times New Roman"/>
          <w:sz w:val="24"/>
          <w:szCs w:val="24"/>
        </w:rPr>
        <w:t>vlastníkem nemovité věci, a to alespoň na dobu realizace akce a její tzv. udržitelnosti dle tohoto programu. Povinnou náležitostí smlouvy musí být úprava vzájemného vypořádání finančních prostředků investovaných ze strany žadatele, kterými došlo ke zhodnocení nemovité věci vlastníka, a</w:t>
      </w:r>
      <w:r>
        <w:rPr>
          <w:rFonts w:ascii="Times New Roman" w:hAnsi="Times New Roman"/>
          <w:sz w:val="24"/>
          <w:szCs w:val="24"/>
        </w:rPr>
        <w:t> </w:t>
      </w:r>
      <w:r w:rsidRPr="00652B0D">
        <w:rPr>
          <w:rFonts w:ascii="Times New Roman" w:hAnsi="Times New Roman"/>
          <w:sz w:val="24"/>
          <w:szCs w:val="24"/>
        </w:rPr>
        <w:t>to i pro případ předčasného ukončení smluvního vztahu. Smlouvou rovněž musí být zajištěno, že akci bude ze strany žadatele možné realizovat dle podmínek stanovených v programu a rozhodnutí o</w:t>
      </w:r>
      <w:r>
        <w:rPr>
          <w:rFonts w:ascii="Times New Roman" w:hAnsi="Times New Roman"/>
          <w:sz w:val="24"/>
          <w:szCs w:val="24"/>
        </w:rPr>
        <w:t> </w:t>
      </w:r>
      <w:r w:rsidRPr="00652B0D">
        <w:rPr>
          <w:rFonts w:ascii="Times New Roman" w:hAnsi="Times New Roman"/>
          <w:sz w:val="24"/>
          <w:szCs w:val="24"/>
        </w:rPr>
        <w:t>poskytnutí dotace, a to po celou dobu stanovenou v rozhodnutí o poskytnutí dotace včetně tzv.</w:t>
      </w:r>
      <w:r w:rsidR="006563A1">
        <w:rPr>
          <w:rFonts w:ascii="Times New Roman" w:hAnsi="Times New Roman"/>
          <w:sz w:val="24"/>
          <w:szCs w:val="24"/>
        </w:rPr>
        <w:t> </w:t>
      </w:r>
      <w:r w:rsidRPr="00652B0D">
        <w:rPr>
          <w:rFonts w:ascii="Times New Roman" w:hAnsi="Times New Roman"/>
          <w:sz w:val="24"/>
          <w:szCs w:val="24"/>
        </w:rPr>
        <w:t>udržitelnosti. Je tedy nezbytné, aby byla po tuto dobu tam, kde kogentní ustanovení zákona nestanoví jinak, vyloučena práva vlastníka smlouvou vypovědět nebo od ní ustoupit, s výjimkou odstoupení od smlouvy z důvodu samotného neposkytnutí dotace z tohoto programu. Toto se týká i</w:t>
      </w:r>
      <w:r w:rsidR="006563A1">
        <w:rPr>
          <w:rFonts w:ascii="Times New Roman" w:hAnsi="Times New Roman"/>
          <w:sz w:val="24"/>
          <w:szCs w:val="24"/>
        </w:rPr>
        <w:t> </w:t>
      </w:r>
      <w:r w:rsidRPr="00652B0D">
        <w:rPr>
          <w:rFonts w:ascii="Times New Roman" w:hAnsi="Times New Roman"/>
          <w:sz w:val="24"/>
          <w:szCs w:val="24"/>
        </w:rPr>
        <w:t>ostatních nemovitostí či jejich částí, které má žadatel v dlouhodobém užívání a které nemají přímou souvislost s požadovanými finančními prostředky, pokud tyto mají souvislost s účelem poskytované dotace, resp. bez dlouhodobého užívání těchto nemovitostí či jejich části nebude možné akci realizovat.</w:t>
      </w:r>
    </w:p>
    <w:p w:rsidR="00C67F0A" w:rsidRPr="00652B0D" w:rsidRDefault="00C67F0A" w:rsidP="00C67F0A">
      <w:pPr>
        <w:spacing w:after="0" w:line="240" w:lineRule="auto"/>
        <w:ind w:left="708"/>
        <w:contextualSpacing/>
        <w:jc w:val="both"/>
        <w:rPr>
          <w:rFonts w:ascii="Times New Roman" w:hAnsi="Times New Roman"/>
          <w:sz w:val="24"/>
          <w:szCs w:val="24"/>
        </w:rPr>
      </w:pPr>
    </w:p>
    <w:p w:rsidR="00C67F0A" w:rsidRPr="00652B0D" w:rsidRDefault="00C67F0A" w:rsidP="00C67F0A">
      <w:pPr>
        <w:spacing w:after="0" w:line="240" w:lineRule="auto"/>
        <w:contextualSpacing/>
        <w:jc w:val="both"/>
        <w:rPr>
          <w:rFonts w:ascii="Times New Roman" w:hAnsi="Times New Roman"/>
          <w:sz w:val="24"/>
          <w:szCs w:val="24"/>
          <w:u w:val="single"/>
        </w:rPr>
      </w:pPr>
      <w:r w:rsidRPr="00652B0D">
        <w:rPr>
          <w:rFonts w:ascii="Times New Roman" w:hAnsi="Times New Roman"/>
          <w:sz w:val="24"/>
          <w:szCs w:val="24"/>
        </w:rPr>
        <w:t>Jedná se konkrétně o výdaje na</w:t>
      </w:r>
      <w:r w:rsidRPr="00652B0D">
        <w:rPr>
          <w:rFonts w:ascii="Times New Roman" w:hAnsi="Times New Roman"/>
          <w:sz w:val="24"/>
          <w:szCs w:val="24"/>
          <w:u w:val="single"/>
        </w:rPr>
        <w:t xml:space="preserve"> </w:t>
      </w:r>
    </w:p>
    <w:p w:rsidR="00C67F0A" w:rsidRPr="00652B0D" w:rsidRDefault="00C67F0A" w:rsidP="00C67F0A">
      <w:pPr>
        <w:numPr>
          <w:ilvl w:val="0"/>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projektovou činnost a související přípravné činnosti (např. průzkumy, statické posudky…), </w:t>
      </w:r>
    </w:p>
    <w:p w:rsidR="00C67F0A" w:rsidRPr="00652B0D" w:rsidRDefault="00C67F0A" w:rsidP="00C67F0A">
      <w:pPr>
        <w:numPr>
          <w:ilvl w:val="0"/>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inženýrskou činnost (technický dozor investora, koordinátor BOZP, organizátor výběrových </w:t>
      </w:r>
      <w:proofErr w:type="gramStart"/>
      <w:r w:rsidRPr="00652B0D">
        <w:rPr>
          <w:rFonts w:ascii="Times New Roman" w:hAnsi="Times New Roman"/>
          <w:sz w:val="24"/>
          <w:szCs w:val="24"/>
        </w:rPr>
        <w:t>řízení</w:t>
      </w:r>
      <w:r w:rsidR="006563A1">
        <w:rPr>
          <w:rFonts w:ascii="Times New Roman" w:hAnsi="Times New Roman"/>
          <w:sz w:val="24"/>
          <w:szCs w:val="24"/>
        </w:rPr>
        <w:t xml:space="preserve">,  </w:t>
      </w:r>
      <w:r w:rsidRPr="00652B0D">
        <w:rPr>
          <w:rFonts w:ascii="Times New Roman" w:hAnsi="Times New Roman"/>
          <w:sz w:val="24"/>
          <w:szCs w:val="24"/>
        </w:rPr>
        <w:t>apod.</w:t>
      </w:r>
      <w:proofErr w:type="gramEnd"/>
      <w:r w:rsidRPr="00652B0D">
        <w:rPr>
          <w:rFonts w:ascii="Times New Roman" w:hAnsi="Times New Roman"/>
          <w:sz w:val="24"/>
          <w:szCs w:val="24"/>
        </w:rPr>
        <w:t xml:space="preserve">), </w:t>
      </w:r>
    </w:p>
    <w:p w:rsidR="00C67F0A" w:rsidRPr="00652B0D" w:rsidRDefault="00C67F0A" w:rsidP="00C67F0A">
      <w:pPr>
        <w:numPr>
          <w:ilvl w:val="0"/>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stavební práce související s účelovým určením dotace, </w:t>
      </w:r>
      <w:proofErr w:type="spellStart"/>
      <w:r w:rsidRPr="00652B0D">
        <w:rPr>
          <w:rFonts w:ascii="Times New Roman" w:hAnsi="Times New Roman"/>
          <w:sz w:val="24"/>
          <w:szCs w:val="24"/>
        </w:rPr>
        <w:t>např</w:t>
      </w:r>
      <w:proofErr w:type="spellEnd"/>
      <w:r w:rsidRPr="00652B0D">
        <w:rPr>
          <w:rFonts w:ascii="Times New Roman" w:hAnsi="Times New Roman"/>
          <w:sz w:val="24"/>
          <w:szCs w:val="24"/>
        </w:rPr>
        <w:t>:</w:t>
      </w:r>
    </w:p>
    <w:p w:rsidR="00C67F0A" w:rsidRPr="00652B0D" w:rsidRDefault="00C67F0A" w:rsidP="00C67F0A">
      <w:pPr>
        <w:numPr>
          <w:ilvl w:val="1"/>
          <w:numId w:val="8"/>
        </w:numPr>
        <w:spacing w:after="0" w:line="240" w:lineRule="auto"/>
        <w:contextualSpacing/>
        <w:jc w:val="both"/>
        <w:rPr>
          <w:rFonts w:ascii="Times New Roman" w:hAnsi="Times New Roman"/>
          <w:bCs/>
          <w:sz w:val="24"/>
          <w:szCs w:val="24"/>
        </w:rPr>
      </w:pPr>
      <w:r w:rsidRPr="00652B0D">
        <w:rPr>
          <w:rFonts w:ascii="Times New Roman" w:hAnsi="Times New Roman"/>
          <w:bCs/>
          <w:sz w:val="24"/>
          <w:szCs w:val="24"/>
        </w:rPr>
        <w:t>odůvodněným pořízením nových ploch v souvislosti s potřebou optimalizace a rozmístění plošných kapacit, tj. například opuštěním nepotřebného majetku, sdílením prostor pro výuku i</w:t>
      </w:r>
      <w:r w:rsidR="006563A1">
        <w:rPr>
          <w:rFonts w:ascii="Times New Roman" w:hAnsi="Times New Roman"/>
          <w:bCs/>
          <w:sz w:val="24"/>
          <w:szCs w:val="24"/>
        </w:rPr>
        <w:t> </w:t>
      </w:r>
      <w:r w:rsidRPr="00652B0D">
        <w:rPr>
          <w:rFonts w:ascii="Times New Roman" w:hAnsi="Times New Roman"/>
          <w:bCs/>
          <w:sz w:val="24"/>
          <w:szCs w:val="24"/>
        </w:rPr>
        <w:t>jiné činnosti VVŠ</w:t>
      </w:r>
      <w:r w:rsidRPr="00652B0D">
        <w:rPr>
          <w:rFonts w:ascii="Times New Roman" w:hAnsi="Times New Roman"/>
          <w:sz w:val="24"/>
          <w:szCs w:val="24"/>
        </w:rPr>
        <w:t xml:space="preserve">, </w:t>
      </w:r>
    </w:p>
    <w:p w:rsidR="00C67F0A" w:rsidRPr="00652B0D" w:rsidRDefault="00C67F0A" w:rsidP="00C67F0A">
      <w:pPr>
        <w:numPr>
          <w:ilvl w:val="1"/>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objektů apod.,</w:t>
      </w:r>
    </w:p>
    <w:p w:rsidR="00C67F0A" w:rsidRPr="00652B0D" w:rsidRDefault="00C67F0A" w:rsidP="00C67F0A">
      <w:pPr>
        <w:numPr>
          <w:ilvl w:val="1"/>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úpravy venkovních ploch, demolice nepotřebných </w:t>
      </w:r>
      <w:proofErr w:type="gramStart"/>
      <w:r w:rsidRPr="00652B0D">
        <w:rPr>
          <w:rFonts w:ascii="Times New Roman" w:hAnsi="Times New Roman"/>
          <w:sz w:val="24"/>
          <w:szCs w:val="24"/>
        </w:rPr>
        <w:t>objektů,</w:t>
      </w:r>
      <w:proofErr w:type="gramEnd"/>
      <w:r w:rsidRPr="00652B0D">
        <w:rPr>
          <w:rFonts w:ascii="Times New Roman" w:hAnsi="Times New Roman"/>
          <w:sz w:val="24"/>
          <w:szCs w:val="24"/>
        </w:rPr>
        <w:t xml:space="preserve"> apod.,</w:t>
      </w:r>
    </w:p>
    <w:p w:rsidR="00C67F0A" w:rsidRPr="00652B0D" w:rsidRDefault="00C67F0A" w:rsidP="00C67F0A">
      <w:pPr>
        <w:numPr>
          <w:ilvl w:val="1"/>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energeticko-úsporná opatření – rekonstrukce rozvodů tepla, otopných soustav, výměna oken a</w:t>
      </w:r>
      <w:r w:rsidR="006316BD">
        <w:rPr>
          <w:rFonts w:ascii="Times New Roman" w:hAnsi="Times New Roman"/>
          <w:sz w:val="24"/>
          <w:szCs w:val="24"/>
        </w:rPr>
        <w:t> </w:t>
      </w:r>
      <w:r w:rsidRPr="00652B0D">
        <w:rPr>
          <w:rFonts w:ascii="Times New Roman" w:hAnsi="Times New Roman"/>
          <w:sz w:val="24"/>
          <w:szCs w:val="24"/>
        </w:rPr>
        <w:t>dveří, kotelen, zařízení pro měření a dodávek tepla, zateplení obvodového pláště, střešního pláště apod.,</w:t>
      </w:r>
    </w:p>
    <w:p w:rsidR="00C67F0A" w:rsidRPr="00652B0D" w:rsidRDefault="00C67F0A" w:rsidP="00C67F0A">
      <w:pPr>
        <w:numPr>
          <w:ilvl w:val="1"/>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rekonstrukce vnitřních prostor – výukových, a ostatních souvisejících prostor, sociálních zařízení, podlah a podlahových krytin, technologického vybavení (např. výtahů), přístupové </w:t>
      </w:r>
      <w:proofErr w:type="gramStart"/>
      <w:r w:rsidRPr="00652B0D">
        <w:rPr>
          <w:rFonts w:ascii="Times New Roman" w:hAnsi="Times New Roman"/>
          <w:sz w:val="24"/>
          <w:szCs w:val="24"/>
        </w:rPr>
        <w:t>systémy,</w:t>
      </w:r>
      <w:proofErr w:type="gramEnd"/>
      <w:r w:rsidRPr="00652B0D">
        <w:rPr>
          <w:rFonts w:ascii="Times New Roman" w:hAnsi="Times New Roman"/>
          <w:sz w:val="24"/>
          <w:szCs w:val="24"/>
        </w:rPr>
        <w:t xml:space="preserve"> apod.,</w:t>
      </w:r>
    </w:p>
    <w:p w:rsidR="00C67F0A" w:rsidRDefault="00C67F0A" w:rsidP="00C67F0A">
      <w:pPr>
        <w:numPr>
          <w:ilvl w:val="0"/>
          <w:numId w:val="8"/>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pořízení a technické zhodnocení interiérového, strojního a přístrojového vybavení pro zajištění výuky a souvisejících činností,  </w:t>
      </w:r>
    </w:p>
    <w:p w:rsidR="00C67F0A" w:rsidRPr="00791FC6" w:rsidRDefault="00C67F0A" w:rsidP="00C67F0A">
      <w:pPr>
        <w:numPr>
          <w:ilvl w:val="0"/>
          <w:numId w:val="8"/>
        </w:numPr>
        <w:spacing w:after="0" w:line="240" w:lineRule="auto"/>
        <w:jc w:val="both"/>
        <w:rPr>
          <w:rFonts w:ascii="Times New Roman" w:eastAsia="Times New Roman" w:hAnsi="Times New Roman"/>
          <w:sz w:val="24"/>
          <w:szCs w:val="20"/>
          <w:lang w:eastAsia="cs-CZ"/>
        </w:rPr>
      </w:pPr>
      <w:r w:rsidRPr="00791FC6">
        <w:rPr>
          <w:rFonts w:ascii="Times New Roman" w:eastAsia="Times New Roman" w:hAnsi="Times New Roman"/>
          <w:sz w:val="24"/>
          <w:szCs w:val="20"/>
          <w:lang w:eastAsia="cs-CZ"/>
        </w:rPr>
        <w:t xml:space="preserve">rozvoj, obnovu nebo vytvoření kapacit určených </w:t>
      </w:r>
      <w:r w:rsidR="00696D56">
        <w:rPr>
          <w:rFonts w:ascii="Times New Roman" w:eastAsia="Times New Roman" w:hAnsi="Times New Roman"/>
          <w:sz w:val="24"/>
          <w:szCs w:val="20"/>
          <w:lang w:eastAsia="cs-CZ"/>
        </w:rPr>
        <w:t>ke</w:t>
      </w:r>
      <w:r w:rsidRPr="00791FC6">
        <w:rPr>
          <w:rFonts w:ascii="Times New Roman" w:eastAsia="Times New Roman" w:hAnsi="Times New Roman"/>
          <w:sz w:val="24"/>
          <w:szCs w:val="20"/>
          <w:lang w:eastAsia="cs-CZ"/>
        </w:rPr>
        <w:t xml:space="preserve"> komerčnímu pronájmu (pronájem provozovatelů stravovacích </w:t>
      </w:r>
      <w:proofErr w:type="gramStart"/>
      <w:r w:rsidRPr="00791FC6">
        <w:rPr>
          <w:rFonts w:ascii="Times New Roman" w:eastAsia="Times New Roman" w:hAnsi="Times New Roman"/>
          <w:sz w:val="24"/>
          <w:szCs w:val="20"/>
          <w:lang w:eastAsia="cs-CZ"/>
        </w:rPr>
        <w:t>zařízení,</w:t>
      </w:r>
      <w:proofErr w:type="gramEnd"/>
      <w:r w:rsidRPr="00791FC6">
        <w:rPr>
          <w:rFonts w:ascii="Times New Roman" w:eastAsia="Times New Roman" w:hAnsi="Times New Roman"/>
          <w:sz w:val="24"/>
          <w:szCs w:val="20"/>
          <w:lang w:eastAsia="cs-CZ"/>
        </w:rPr>
        <w:t xml:space="preserve"> apod.), nebo spravované na základě komerčního pronájmu</w:t>
      </w:r>
      <w:r>
        <w:rPr>
          <w:rFonts w:ascii="Times New Roman" w:eastAsia="Times New Roman" w:hAnsi="Times New Roman"/>
          <w:sz w:val="24"/>
          <w:szCs w:val="20"/>
          <w:lang w:eastAsia="cs-CZ"/>
        </w:rPr>
        <w:t>,</w:t>
      </w:r>
      <w:r>
        <w:t xml:space="preserve">  </w:t>
      </w:r>
      <w:r>
        <w:rPr>
          <w:rFonts w:ascii="Times New Roman" w:eastAsia="Times New Roman" w:hAnsi="Times New Roman"/>
          <w:sz w:val="24"/>
          <w:lang w:eastAsia="cs-CZ"/>
        </w:rPr>
        <w:t xml:space="preserve"> </w:t>
      </w:r>
    </w:p>
    <w:p w:rsidR="00C67F0A" w:rsidRDefault="00C67F0A" w:rsidP="00C67F0A">
      <w:pPr>
        <w:numPr>
          <w:ilvl w:val="0"/>
          <w:numId w:val="8"/>
        </w:numPr>
        <w:spacing w:after="0" w:line="240" w:lineRule="auto"/>
        <w:contextualSpacing/>
        <w:jc w:val="both"/>
        <w:rPr>
          <w:rFonts w:ascii="Times New Roman" w:hAnsi="Times New Roman"/>
          <w:sz w:val="24"/>
          <w:szCs w:val="24"/>
        </w:rPr>
      </w:pPr>
      <w:r w:rsidRPr="00594E61">
        <w:rPr>
          <w:rFonts w:ascii="Times New Roman" w:hAnsi="Times New Roman"/>
          <w:sz w:val="24"/>
          <w:szCs w:val="24"/>
        </w:rPr>
        <w:t>nákup pozemku nebo stavby (nemovitosti), pokud je předmětem vlastního investičního záměru. Nemovitost bude oceněna znaleckým posudkem od příslušného soudního znalce. Způsobilým výdajem bude pořizovací cena maximálně však do výše ceny zjištěné znaleckým posudkem. K ověření ceny správce programu požaduje vypracování minimálně dvou nezávislých znaleckých posudků ověřujících kupní cenu v místě a čase obvyklou.</w:t>
      </w:r>
    </w:p>
    <w:p w:rsidR="00C67F0A" w:rsidRDefault="00C67F0A" w:rsidP="00C67F0A">
      <w:pPr>
        <w:spacing w:after="0" w:line="240" w:lineRule="auto"/>
        <w:contextualSpacing/>
        <w:jc w:val="both"/>
        <w:rPr>
          <w:rFonts w:ascii="Times New Roman" w:hAnsi="Times New Roman"/>
          <w:sz w:val="24"/>
          <w:szCs w:val="24"/>
        </w:rPr>
      </w:pPr>
    </w:p>
    <w:p w:rsidR="008912B9" w:rsidRDefault="008912B9" w:rsidP="00C67F0A">
      <w:pPr>
        <w:spacing w:after="0" w:line="240" w:lineRule="auto"/>
        <w:contextualSpacing/>
        <w:jc w:val="both"/>
        <w:rPr>
          <w:rFonts w:ascii="Times New Roman" w:hAnsi="Times New Roman"/>
          <w:sz w:val="24"/>
          <w:szCs w:val="24"/>
        </w:rPr>
      </w:pPr>
    </w:p>
    <w:p w:rsidR="008912B9" w:rsidRDefault="008912B9" w:rsidP="00C67F0A">
      <w:pPr>
        <w:spacing w:after="0" w:line="240" w:lineRule="auto"/>
        <w:contextualSpacing/>
        <w:jc w:val="both"/>
        <w:rPr>
          <w:rFonts w:ascii="Times New Roman" w:hAnsi="Times New Roman"/>
          <w:sz w:val="24"/>
          <w:szCs w:val="24"/>
        </w:rPr>
      </w:pPr>
    </w:p>
    <w:p w:rsidR="00C67F0A" w:rsidRPr="00EC4912" w:rsidRDefault="00C67F0A" w:rsidP="00EC4912">
      <w:pPr>
        <w:pStyle w:val="Odstavecseseznamem"/>
        <w:numPr>
          <w:ilvl w:val="0"/>
          <w:numId w:val="12"/>
        </w:numPr>
        <w:tabs>
          <w:tab w:val="left" w:pos="567"/>
          <w:tab w:val="left" w:pos="993"/>
        </w:tabs>
        <w:spacing w:after="240" w:line="240" w:lineRule="auto"/>
        <w:contextualSpacing w:val="0"/>
        <w:rPr>
          <w:rFonts w:ascii="Times New Roman" w:eastAsia="Times New Roman" w:hAnsi="Times New Roman"/>
          <w:b/>
          <w:sz w:val="24"/>
          <w:szCs w:val="24"/>
          <w:lang w:eastAsia="cs-CZ"/>
        </w:rPr>
      </w:pPr>
      <w:r w:rsidRPr="00EC4912">
        <w:rPr>
          <w:rFonts w:ascii="Times New Roman" w:eastAsia="Times New Roman" w:hAnsi="Times New Roman"/>
          <w:b/>
          <w:sz w:val="24"/>
          <w:szCs w:val="24"/>
          <w:lang w:eastAsia="cs-CZ"/>
        </w:rPr>
        <w:t>Nezpůsobilé výdaje</w:t>
      </w:r>
    </w:p>
    <w:p w:rsidR="00C67F0A" w:rsidRPr="00C67F0A" w:rsidRDefault="00C67F0A" w:rsidP="00C67F0A">
      <w:pPr>
        <w:spacing w:after="0"/>
        <w:jc w:val="both"/>
        <w:rPr>
          <w:rFonts w:ascii="Times New Roman" w:hAnsi="Times New Roman"/>
          <w:sz w:val="24"/>
          <w:szCs w:val="24"/>
        </w:rPr>
      </w:pPr>
      <w:r w:rsidRPr="00C67F0A">
        <w:rPr>
          <w:rFonts w:ascii="Times New Roman" w:hAnsi="Times New Roman"/>
          <w:sz w:val="24"/>
          <w:szCs w:val="24"/>
        </w:rPr>
        <w:t xml:space="preserve">Za způsobilé výdaje se v rámci investičního záměru nepovažují: </w:t>
      </w:r>
    </w:p>
    <w:p w:rsidR="00C67F0A" w:rsidRPr="00C67F0A" w:rsidRDefault="00C67F0A" w:rsidP="00C67F0A">
      <w:pPr>
        <w:numPr>
          <w:ilvl w:val="0"/>
          <w:numId w:val="9"/>
        </w:numPr>
        <w:spacing w:after="0" w:line="240" w:lineRule="auto"/>
        <w:ind w:left="714" w:hanging="357"/>
        <w:jc w:val="both"/>
        <w:rPr>
          <w:rFonts w:ascii="Times New Roman" w:eastAsia="Times New Roman" w:hAnsi="Times New Roman"/>
          <w:sz w:val="24"/>
          <w:szCs w:val="20"/>
          <w:lang w:eastAsia="cs-CZ"/>
        </w:rPr>
      </w:pPr>
      <w:r w:rsidRPr="00C67F0A">
        <w:rPr>
          <w:rFonts w:ascii="Times New Roman" w:eastAsia="Times New Roman" w:hAnsi="Times New Roman"/>
          <w:sz w:val="24"/>
          <w:szCs w:val="20"/>
          <w:lang w:eastAsia="cs-CZ"/>
        </w:rPr>
        <w:t xml:space="preserve">výdaje, které prokazatelně nesouvisí s věcným zaměřením a cíli výzvy a předmětem </w:t>
      </w:r>
      <w:r w:rsidR="008912B9">
        <w:rPr>
          <w:rFonts w:ascii="Times New Roman" w:eastAsia="Times New Roman" w:hAnsi="Times New Roman"/>
          <w:sz w:val="24"/>
          <w:szCs w:val="20"/>
          <w:lang w:eastAsia="cs-CZ"/>
        </w:rPr>
        <w:t>investičního záměru</w:t>
      </w:r>
      <w:r w:rsidRPr="00C67F0A">
        <w:rPr>
          <w:rFonts w:ascii="Times New Roman" w:eastAsia="Times New Roman" w:hAnsi="Times New Roman"/>
          <w:sz w:val="24"/>
          <w:szCs w:val="20"/>
          <w:lang w:eastAsia="cs-CZ"/>
        </w:rPr>
        <w:t>,</w:t>
      </w:r>
    </w:p>
    <w:p w:rsidR="00C67F0A" w:rsidRPr="00C67F0A" w:rsidRDefault="00C67F0A" w:rsidP="00C67F0A">
      <w:pPr>
        <w:numPr>
          <w:ilvl w:val="0"/>
          <w:numId w:val="9"/>
        </w:numPr>
        <w:spacing w:after="0" w:line="240" w:lineRule="auto"/>
        <w:ind w:left="714" w:hanging="357"/>
        <w:jc w:val="both"/>
        <w:rPr>
          <w:rFonts w:ascii="Times New Roman" w:eastAsia="Times New Roman" w:hAnsi="Times New Roman"/>
          <w:sz w:val="24"/>
          <w:szCs w:val="20"/>
          <w:lang w:eastAsia="cs-CZ"/>
        </w:rPr>
      </w:pPr>
      <w:r w:rsidRPr="00C67F0A">
        <w:rPr>
          <w:rFonts w:ascii="Times New Roman" w:eastAsia="Times New Roman" w:hAnsi="Times New Roman"/>
          <w:sz w:val="24"/>
          <w:szCs w:val="20"/>
          <w:lang w:eastAsia="cs-CZ"/>
        </w:rPr>
        <w:t xml:space="preserve">výdaje na rozvoj, obnovu nebo vytvoření kapacit určených ke komerčnímu pronájmu (např. pronájem provozovatelů stravovacích </w:t>
      </w:r>
      <w:proofErr w:type="gramStart"/>
      <w:r w:rsidRPr="00C67F0A">
        <w:rPr>
          <w:rFonts w:ascii="Times New Roman" w:eastAsia="Times New Roman" w:hAnsi="Times New Roman"/>
          <w:sz w:val="24"/>
          <w:szCs w:val="20"/>
          <w:lang w:eastAsia="cs-CZ"/>
        </w:rPr>
        <w:t>zařízení,</w:t>
      </w:r>
      <w:proofErr w:type="gramEnd"/>
      <w:r w:rsidRPr="00C67F0A">
        <w:rPr>
          <w:rFonts w:ascii="Times New Roman" w:eastAsia="Times New Roman" w:hAnsi="Times New Roman"/>
          <w:sz w:val="24"/>
          <w:szCs w:val="20"/>
          <w:lang w:eastAsia="cs-CZ"/>
        </w:rPr>
        <w:t xml:space="preserve"> apod.), nebo spravované na základě komerčního pronájmu</w:t>
      </w:r>
      <w:r w:rsidR="00A60442">
        <w:rPr>
          <w:rFonts w:ascii="Times New Roman" w:eastAsia="Times New Roman" w:hAnsi="Times New Roman"/>
          <w:sz w:val="24"/>
          <w:szCs w:val="20"/>
          <w:lang w:eastAsia="cs-CZ"/>
        </w:rPr>
        <w:t>,</w:t>
      </w:r>
      <w:r w:rsidRPr="00C67F0A">
        <w:rPr>
          <w:rFonts w:ascii="Times New Roman" w:hAnsi="Times New Roman"/>
        </w:rPr>
        <w:t xml:space="preserve">  </w:t>
      </w:r>
      <w:r w:rsidRPr="00C67F0A">
        <w:rPr>
          <w:rFonts w:ascii="Times New Roman" w:eastAsia="Times New Roman" w:hAnsi="Times New Roman"/>
          <w:sz w:val="24"/>
          <w:lang w:eastAsia="cs-CZ"/>
        </w:rPr>
        <w:t xml:space="preserve"> </w:t>
      </w:r>
    </w:p>
    <w:p w:rsidR="00C67F0A" w:rsidRPr="00C67F0A" w:rsidRDefault="00C67F0A" w:rsidP="00C67F0A">
      <w:pPr>
        <w:numPr>
          <w:ilvl w:val="0"/>
          <w:numId w:val="9"/>
        </w:numPr>
        <w:spacing w:after="0" w:line="240" w:lineRule="auto"/>
        <w:ind w:left="714" w:hanging="357"/>
        <w:jc w:val="both"/>
        <w:rPr>
          <w:rFonts w:ascii="Times New Roman" w:eastAsia="Times New Roman" w:hAnsi="Times New Roman"/>
          <w:sz w:val="24"/>
          <w:szCs w:val="20"/>
          <w:lang w:eastAsia="cs-CZ"/>
        </w:rPr>
      </w:pPr>
      <w:r w:rsidRPr="00C67F0A">
        <w:rPr>
          <w:rFonts w:ascii="Times New Roman" w:eastAsia="Times New Roman" w:hAnsi="Times New Roman"/>
          <w:sz w:val="24"/>
          <w:szCs w:val="20"/>
          <w:lang w:eastAsia="cs-CZ"/>
        </w:rPr>
        <w:t xml:space="preserve">výdaje na realizaci části projektu spolufinancovaného stejným poskytovatelem dotace </w:t>
      </w:r>
      <w:r w:rsidRPr="00C67F0A">
        <w:rPr>
          <w:rFonts w:ascii="Times New Roman" w:eastAsia="Times New Roman" w:hAnsi="Times New Roman"/>
          <w:sz w:val="24"/>
          <w:szCs w:val="24"/>
          <w:lang w:eastAsia="cs-CZ"/>
        </w:rPr>
        <w:t>(např. Operačního programu Výzkum, vývoj a vzdělávání)</w:t>
      </w:r>
      <w:r w:rsidRPr="00C67F0A">
        <w:rPr>
          <w:rFonts w:ascii="Times New Roman" w:eastAsia="Times New Roman" w:hAnsi="Times New Roman"/>
          <w:sz w:val="24"/>
          <w:szCs w:val="20"/>
          <w:lang w:eastAsia="cs-CZ"/>
        </w:rPr>
        <w:t>,</w:t>
      </w:r>
    </w:p>
    <w:p w:rsidR="00C67F0A" w:rsidRPr="00C67F0A" w:rsidRDefault="00C67F0A" w:rsidP="00C67F0A">
      <w:pPr>
        <w:numPr>
          <w:ilvl w:val="0"/>
          <w:numId w:val="9"/>
        </w:numPr>
        <w:spacing w:after="0" w:line="240" w:lineRule="auto"/>
        <w:ind w:left="714" w:hanging="357"/>
        <w:jc w:val="both"/>
        <w:rPr>
          <w:rFonts w:ascii="Times New Roman" w:eastAsia="Times New Roman" w:hAnsi="Times New Roman"/>
          <w:sz w:val="24"/>
          <w:szCs w:val="20"/>
          <w:lang w:eastAsia="cs-CZ"/>
        </w:rPr>
      </w:pPr>
      <w:r w:rsidRPr="00C67F0A">
        <w:rPr>
          <w:rFonts w:ascii="Times New Roman" w:eastAsia="Times New Roman" w:hAnsi="Times New Roman"/>
          <w:sz w:val="24"/>
          <w:szCs w:val="20"/>
          <w:lang w:eastAsia="cs-CZ"/>
        </w:rPr>
        <w:t xml:space="preserve">výdaje přípravné ve vazbě na nákup nemovitosti vstupující dle účetních pravidel příjemce do hodnoty pořizovaných </w:t>
      </w:r>
      <w:proofErr w:type="gramStart"/>
      <w:r w:rsidRPr="00C67F0A">
        <w:rPr>
          <w:rFonts w:ascii="Times New Roman" w:eastAsia="Times New Roman" w:hAnsi="Times New Roman"/>
          <w:sz w:val="24"/>
          <w:szCs w:val="20"/>
          <w:lang w:eastAsia="cs-CZ"/>
        </w:rPr>
        <w:t>pozemků - znalecké</w:t>
      </w:r>
      <w:proofErr w:type="gramEnd"/>
      <w:r w:rsidRPr="00C67F0A">
        <w:rPr>
          <w:rFonts w:ascii="Times New Roman" w:eastAsia="Times New Roman" w:hAnsi="Times New Roman"/>
          <w:sz w:val="24"/>
          <w:szCs w:val="20"/>
          <w:lang w:eastAsia="cs-CZ"/>
        </w:rPr>
        <w:t xml:space="preserve"> posudky, zaměření, geodetické práce apod.,</w:t>
      </w:r>
    </w:p>
    <w:p w:rsidR="00C67F0A" w:rsidRPr="00C67F0A" w:rsidRDefault="00C67F0A" w:rsidP="00C67F0A">
      <w:pPr>
        <w:numPr>
          <w:ilvl w:val="0"/>
          <w:numId w:val="9"/>
        </w:numPr>
        <w:spacing w:after="0" w:line="240" w:lineRule="auto"/>
        <w:ind w:left="714" w:hanging="357"/>
        <w:jc w:val="both"/>
        <w:rPr>
          <w:rFonts w:ascii="Times New Roman" w:eastAsia="Times New Roman" w:hAnsi="Times New Roman"/>
          <w:sz w:val="24"/>
          <w:szCs w:val="20"/>
          <w:lang w:eastAsia="cs-CZ"/>
        </w:rPr>
      </w:pPr>
      <w:r w:rsidRPr="00C67F0A">
        <w:rPr>
          <w:rFonts w:ascii="Times New Roman" w:eastAsia="Times New Roman" w:hAnsi="Times New Roman"/>
          <w:sz w:val="24"/>
          <w:szCs w:val="20"/>
          <w:lang w:eastAsia="cs-CZ"/>
        </w:rPr>
        <w:t>výdaje na pořízení nebo technické zhodnocení drobného hmotného a nehmotného dlouhodobého majetku,</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 xml:space="preserve">provozní výdaje, </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 xml:space="preserve">běžné výdaje na opravy a údržbu, </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 xml:space="preserve">mzdové náklady, </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 xml:space="preserve">výdaje související s použitím dočasných náhradních prostor za rekonstruované prostory </w:t>
      </w:r>
      <w:r w:rsidRPr="00C67F0A">
        <w:rPr>
          <w:rFonts w:ascii="Times New Roman" w:hAnsi="Times New Roman" w:cs="Times New Roman"/>
          <w:sz w:val="23"/>
          <w:szCs w:val="23"/>
        </w:rPr>
        <w:br/>
        <w:t>vč. výdajů na stěhování,</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 xml:space="preserve">výdaje na zpracování a administraci žádosti o poskytnutí dotace vč. výdajů na související poradenství (vyjma organizace veřejných zakázek na stavební práce, dodávky a služby), právní služby, bankovní a jiné poplatky, bankovní záruky, </w:t>
      </w:r>
    </w:p>
    <w:p w:rsidR="00C67F0A" w:rsidRPr="00C67F0A" w:rsidRDefault="00C67F0A" w:rsidP="00C67F0A">
      <w:pPr>
        <w:pStyle w:val="Default"/>
        <w:numPr>
          <w:ilvl w:val="0"/>
          <w:numId w:val="9"/>
        </w:numPr>
        <w:ind w:left="714" w:hanging="357"/>
        <w:jc w:val="both"/>
        <w:rPr>
          <w:rFonts w:ascii="Times New Roman" w:hAnsi="Times New Roman" w:cs="Times New Roman"/>
          <w:sz w:val="23"/>
          <w:szCs w:val="23"/>
        </w:rPr>
      </w:pPr>
      <w:r w:rsidRPr="00C67F0A">
        <w:rPr>
          <w:rFonts w:ascii="Times New Roman" w:hAnsi="Times New Roman" w:cs="Times New Roman"/>
          <w:sz w:val="23"/>
          <w:szCs w:val="23"/>
        </w:rPr>
        <w:t>znalecký posudek soudního znalce.</w:t>
      </w:r>
    </w:p>
    <w:p w:rsidR="00C67F0A" w:rsidRPr="00C67F0A" w:rsidRDefault="00C67F0A" w:rsidP="00C67F0A">
      <w:pPr>
        <w:pStyle w:val="Odstavecseseznamem1"/>
        <w:tabs>
          <w:tab w:val="left" w:pos="4395"/>
        </w:tabs>
        <w:spacing w:after="120" w:line="240" w:lineRule="auto"/>
        <w:jc w:val="both"/>
        <w:rPr>
          <w:rFonts w:ascii="Times New Roman" w:hAnsi="Times New Roman"/>
          <w:sz w:val="24"/>
          <w:szCs w:val="24"/>
          <w:lang w:eastAsia="cs-CZ"/>
        </w:rPr>
      </w:pPr>
    </w:p>
    <w:sectPr w:rsidR="00C67F0A" w:rsidRPr="00C67F0A" w:rsidSect="002E747A">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B5B" w:rsidRDefault="00370B5B" w:rsidP="00FB2CF2">
      <w:pPr>
        <w:spacing w:after="0" w:line="240" w:lineRule="auto"/>
      </w:pPr>
      <w:r>
        <w:separator/>
      </w:r>
    </w:p>
  </w:endnote>
  <w:endnote w:type="continuationSeparator" w:id="0">
    <w:p w:rsidR="00370B5B" w:rsidRDefault="00370B5B" w:rsidP="00FB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933056"/>
      <w:docPartObj>
        <w:docPartGallery w:val="Page Numbers (Bottom of Page)"/>
        <w:docPartUnique/>
      </w:docPartObj>
    </w:sdtPr>
    <w:sdtEndPr/>
    <w:sdtContent>
      <w:p w:rsidR="00FB2CF2" w:rsidRDefault="00FB2CF2">
        <w:pPr>
          <w:pStyle w:val="Zpat"/>
        </w:pPr>
        <w:r>
          <w:rPr>
            <w:noProof/>
            <w:lang w:eastAsia="cs-CZ"/>
          </w:rPr>
          <mc:AlternateContent>
            <mc:Choice Requires="wps">
              <w:drawing>
                <wp:anchor distT="0" distB="0" distL="114300" distR="114300" simplePos="0" relativeHeight="251659264" behindDoc="0" locked="0" layoutInCell="1" allowOverlap="1" wp14:anchorId="74DA18FE" wp14:editId="6DFDBB83">
                  <wp:simplePos x="0" y="0"/>
                  <wp:positionH relativeFrom="leftMargin">
                    <wp:align>center</wp:align>
                  </wp:positionH>
                  <wp:positionV relativeFrom="bottomMargin">
                    <wp:align>center</wp:align>
                  </wp:positionV>
                  <wp:extent cx="565785" cy="191770"/>
                  <wp:effectExtent l="0" t="0" r="0" b="0"/>
                  <wp:wrapNone/>
                  <wp:docPr id="649" name="Obdélní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B2CF2" w:rsidRDefault="00FB2CF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27048" w:rsidRPr="00F27048">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DA18FE" id="Obdélní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3wU6TxwIAAK4FAAAOAAAAAAAAAAAAAAAAAC4CAABkcnMvZTJvRG9jLnhtbFBLAQItABQA&#10;BgAIAAAAIQAj5Xrx2wAAAAMBAAAPAAAAAAAAAAAAAAAAACEFAABkcnMvZG93bnJldi54bWxQSwUG&#10;AAAAAAQABADzAAAAKQYAAAAA&#10;" filled="f" fillcolor="#c0504d" stroked="f" strokecolor="#5c83b4" strokeweight="2.25pt">
                  <v:textbox inset=",0,,0">
                    <w:txbxContent>
                      <w:p w:rsidR="00FB2CF2" w:rsidRDefault="00FB2CF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27048" w:rsidRPr="00F27048">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B5B" w:rsidRDefault="00370B5B" w:rsidP="00FB2CF2">
      <w:pPr>
        <w:spacing w:after="0" w:line="240" w:lineRule="auto"/>
      </w:pPr>
      <w:r>
        <w:separator/>
      </w:r>
    </w:p>
  </w:footnote>
  <w:footnote w:type="continuationSeparator" w:id="0">
    <w:p w:rsidR="00370B5B" w:rsidRDefault="00370B5B" w:rsidP="00FB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092" w:rsidRPr="004645CC" w:rsidRDefault="00510092" w:rsidP="00510092">
    <w:pPr>
      <w:spacing w:after="0" w:line="240" w:lineRule="auto"/>
      <w:ind w:left="425" w:hanging="425"/>
      <w:jc w:val="right"/>
      <w:rPr>
        <w:rFonts w:ascii="Times New Roman" w:hAnsi="Times New Roman"/>
        <w:sz w:val="24"/>
        <w:szCs w:val="24"/>
        <w:lang w:eastAsia="cs-CZ"/>
      </w:rPr>
    </w:pPr>
    <w:r w:rsidRPr="003866A6">
      <w:rPr>
        <w:rFonts w:ascii="Times New Roman" w:hAnsi="Times New Roman"/>
        <w:sz w:val="24"/>
        <w:szCs w:val="24"/>
        <w:lang w:eastAsia="cs-CZ"/>
      </w:rPr>
      <w:t>Příloha</w:t>
    </w:r>
    <w:r>
      <w:rPr>
        <w:rFonts w:ascii="Times New Roman" w:hAnsi="Times New Roman"/>
        <w:sz w:val="24"/>
        <w:szCs w:val="24"/>
        <w:lang w:eastAsia="cs-CZ"/>
      </w:rPr>
      <w:t xml:space="preserve"> č. 1</w:t>
    </w:r>
    <w:r w:rsidRPr="003866A6">
      <w:rPr>
        <w:rFonts w:ascii="Times New Roman" w:hAnsi="Times New Roman"/>
        <w:sz w:val="24"/>
        <w:szCs w:val="24"/>
        <w:lang w:eastAsia="cs-CZ"/>
      </w:rPr>
      <w:t xml:space="preserve"> </w:t>
    </w:r>
    <w:r>
      <w:rPr>
        <w:rFonts w:ascii="Times New Roman" w:hAnsi="Times New Roman"/>
        <w:sz w:val="24"/>
        <w:szCs w:val="24"/>
        <w:lang w:eastAsia="cs-CZ"/>
      </w:rPr>
      <w:t>výzvy -</w:t>
    </w:r>
    <w:r w:rsidRPr="003866A6">
      <w:rPr>
        <w:rFonts w:ascii="Times New Roman" w:hAnsi="Times New Roman"/>
        <w:sz w:val="24"/>
        <w:szCs w:val="24"/>
        <w:lang w:eastAsia="cs-CZ"/>
      </w:rPr>
      <w:t> </w:t>
    </w:r>
    <w:r>
      <w:rPr>
        <w:sz w:val="24"/>
        <w:szCs w:val="24"/>
      </w:rPr>
      <w:t xml:space="preserve">č. j.: </w:t>
    </w:r>
    <w:r w:rsidRPr="009B70C0">
      <w:rPr>
        <w:rFonts w:ascii="Times New Roman" w:hAnsi="Times New Roman"/>
        <w:sz w:val="24"/>
        <w:szCs w:val="24"/>
      </w:rPr>
      <w:t>MSMT-37381/2019-1</w:t>
    </w:r>
  </w:p>
  <w:p w:rsidR="00420D1C" w:rsidRPr="00710873" w:rsidRDefault="00D5515F" w:rsidP="00C67F0A">
    <w:pPr>
      <w:spacing w:after="0" w:line="240" w:lineRule="auto"/>
      <w:ind w:left="425" w:hanging="425"/>
      <w:jc w:val="right"/>
      <w:rPr>
        <w:rFonts w:ascii="Arial" w:hAnsi="Arial"/>
        <w:lang w:eastAsia="cs-CZ"/>
      </w:rPr>
    </w:pPr>
    <w:r>
      <w:rPr>
        <w:rFonts w:ascii="Arial" w:hAnsi="Arial"/>
        <w:sz w:val="28"/>
        <w:szCs w:val="28"/>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42BC7"/>
    <w:multiLevelType w:val="hybridMultilevel"/>
    <w:tmpl w:val="471EA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2F0A5F"/>
    <w:multiLevelType w:val="multilevel"/>
    <w:tmpl w:val="9FA4CA94"/>
    <w:lvl w:ilvl="0">
      <w:start w:val="1"/>
      <w:numFmt w:val="decimal"/>
      <w:pStyle w:val="Styl1"/>
      <w:lvlText w:val="%1)"/>
      <w:lvlJc w:val="left"/>
      <w:pPr>
        <w:tabs>
          <w:tab w:val="num" w:pos="360"/>
        </w:tabs>
        <w:ind w:left="340" w:hanging="340"/>
      </w:pPr>
      <w:rPr>
        <w:rFonts w:cs="Times New Roman"/>
      </w:rPr>
    </w:lvl>
    <w:lvl w:ilvl="1">
      <w:start w:val="1"/>
      <w:numFmt w:val="lowerLetter"/>
      <w:lvlText w:val="%2)"/>
      <w:lvlJc w:val="left"/>
      <w:pPr>
        <w:tabs>
          <w:tab w:val="num" w:pos="700"/>
        </w:tabs>
        <w:ind w:left="340"/>
      </w:pPr>
      <w:rPr>
        <w:rFonts w:cs="Times New Roman"/>
      </w:r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51D514C9"/>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F038BB"/>
    <w:multiLevelType w:val="hybridMultilevel"/>
    <w:tmpl w:val="33780BF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abstractNumId w:val="7"/>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4"/>
  </w:num>
  <w:num w:numId="11">
    <w:abstractNumId w:val="1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9E"/>
    <w:rsid w:val="000000E6"/>
    <w:rsid w:val="0000385D"/>
    <w:rsid w:val="000105E0"/>
    <w:rsid w:val="00010F09"/>
    <w:rsid w:val="0001152A"/>
    <w:rsid w:val="00011B3A"/>
    <w:rsid w:val="0001226B"/>
    <w:rsid w:val="00017058"/>
    <w:rsid w:val="00024B31"/>
    <w:rsid w:val="00036E80"/>
    <w:rsid w:val="00037E52"/>
    <w:rsid w:val="00042C44"/>
    <w:rsid w:val="0004559B"/>
    <w:rsid w:val="00051A6A"/>
    <w:rsid w:val="000522BB"/>
    <w:rsid w:val="00057AA1"/>
    <w:rsid w:val="00057D0C"/>
    <w:rsid w:val="0006029F"/>
    <w:rsid w:val="00060E25"/>
    <w:rsid w:val="0006116C"/>
    <w:rsid w:val="000675AE"/>
    <w:rsid w:val="00067841"/>
    <w:rsid w:val="00072DB2"/>
    <w:rsid w:val="00073F8B"/>
    <w:rsid w:val="00081327"/>
    <w:rsid w:val="00081D2A"/>
    <w:rsid w:val="00082FBA"/>
    <w:rsid w:val="00084DDB"/>
    <w:rsid w:val="000A0627"/>
    <w:rsid w:val="000A0C1D"/>
    <w:rsid w:val="000A3D0C"/>
    <w:rsid w:val="000A7C29"/>
    <w:rsid w:val="000C3653"/>
    <w:rsid w:val="000C4FE6"/>
    <w:rsid w:val="000C67DD"/>
    <w:rsid w:val="000D1576"/>
    <w:rsid w:val="000E1BA5"/>
    <w:rsid w:val="000E1C26"/>
    <w:rsid w:val="000E774A"/>
    <w:rsid w:val="000F07CD"/>
    <w:rsid w:val="000F1250"/>
    <w:rsid w:val="000F4A55"/>
    <w:rsid w:val="000F6AFC"/>
    <w:rsid w:val="00100E2A"/>
    <w:rsid w:val="00106A77"/>
    <w:rsid w:val="00110096"/>
    <w:rsid w:val="00114433"/>
    <w:rsid w:val="00124724"/>
    <w:rsid w:val="00126A28"/>
    <w:rsid w:val="001346F3"/>
    <w:rsid w:val="00137D21"/>
    <w:rsid w:val="001444B3"/>
    <w:rsid w:val="001458ED"/>
    <w:rsid w:val="00147A7E"/>
    <w:rsid w:val="0015151D"/>
    <w:rsid w:val="00153D93"/>
    <w:rsid w:val="00156BE5"/>
    <w:rsid w:val="00156FAC"/>
    <w:rsid w:val="0016195D"/>
    <w:rsid w:val="001702C4"/>
    <w:rsid w:val="0017236D"/>
    <w:rsid w:val="00173AEA"/>
    <w:rsid w:val="00174EDA"/>
    <w:rsid w:val="0018152D"/>
    <w:rsid w:val="0018442D"/>
    <w:rsid w:val="00185D19"/>
    <w:rsid w:val="001901F2"/>
    <w:rsid w:val="001A1D34"/>
    <w:rsid w:val="001A21F8"/>
    <w:rsid w:val="001A6287"/>
    <w:rsid w:val="001B61E5"/>
    <w:rsid w:val="001C24E0"/>
    <w:rsid w:val="001C2D45"/>
    <w:rsid w:val="001C6990"/>
    <w:rsid w:val="001C70CE"/>
    <w:rsid w:val="001D48FE"/>
    <w:rsid w:val="001E2B17"/>
    <w:rsid w:val="001F0F14"/>
    <w:rsid w:val="00204210"/>
    <w:rsid w:val="0021268A"/>
    <w:rsid w:val="00212E16"/>
    <w:rsid w:val="00213824"/>
    <w:rsid w:val="00221BC8"/>
    <w:rsid w:val="002228E3"/>
    <w:rsid w:val="002243A0"/>
    <w:rsid w:val="002324AA"/>
    <w:rsid w:val="00236292"/>
    <w:rsid w:val="0024291F"/>
    <w:rsid w:val="002432C5"/>
    <w:rsid w:val="0025015C"/>
    <w:rsid w:val="00250708"/>
    <w:rsid w:val="00251119"/>
    <w:rsid w:val="00252565"/>
    <w:rsid w:val="00263E0D"/>
    <w:rsid w:val="0026629B"/>
    <w:rsid w:val="00273448"/>
    <w:rsid w:val="0027351B"/>
    <w:rsid w:val="002837BA"/>
    <w:rsid w:val="002A13AD"/>
    <w:rsid w:val="002A1450"/>
    <w:rsid w:val="002B56E3"/>
    <w:rsid w:val="002B7525"/>
    <w:rsid w:val="002C39A2"/>
    <w:rsid w:val="002C713A"/>
    <w:rsid w:val="002D4B08"/>
    <w:rsid w:val="002E04C6"/>
    <w:rsid w:val="002E747A"/>
    <w:rsid w:val="002F0B35"/>
    <w:rsid w:val="002F2889"/>
    <w:rsid w:val="002F46A2"/>
    <w:rsid w:val="002F7D6F"/>
    <w:rsid w:val="00300194"/>
    <w:rsid w:val="00304976"/>
    <w:rsid w:val="003126E1"/>
    <w:rsid w:val="00312EAF"/>
    <w:rsid w:val="0031380F"/>
    <w:rsid w:val="00313B9A"/>
    <w:rsid w:val="003229F8"/>
    <w:rsid w:val="003232AE"/>
    <w:rsid w:val="0033519C"/>
    <w:rsid w:val="00336FA7"/>
    <w:rsid w:val="003421B7"/>
    <w:rsid w:val="00355ACD"/>
    <w:rsid w:val="00356B81"/>
    <w:rsid w:val="0036426D"/>
    <w:rsid w:val="0036490A"/>
    <w:rsid w:val="00370B5B"/>
    <w:rsid w:val="003848F3"/>
    <w:rsid w:val="00391E85"/>
    <w:rsid w:val="003B275D"/>
    <w:rsid w:val="003B4251"/>
    <w:rsid w:val="003C14E5"/>
    <w:rsid w:val="003C24AF"/>
    <w:rsid w:val="003C5429"/>
    <w:rsid w:val="003D3B11"/>
    <w:rsid w:val="003E0C67"/>
    <w:rsid w:val="003E275B"/>
    <w:rsid w:val="003E4AA3"/>
    <w:rsid w:val="003E4D34"/>
    <w:rsid w:val="003F1BC6"/>
    <w:rsid w:val="003F5283"/>
    <w:rsid w:val="004143C3"/>
    <w:rsid w:val="00415265"/>
    <w:rsid w:val="004159C5"/>
    <w:rsid w:val="00420D1C"/>
    <w:rsid w:val="00427668"/>
    <w:rsid w:val="00432C57"/>
    <w:rsid w:val="00432DE8"/>
    <w:rsid w:val="00440016"/>
    <w:rsid w:val="00444E90"/>
    <w:rsid w:val="004542A8"/>
    <w:rsid w:val="0045431C"/>
    <w:rsid w:val="004557AF"/>
    <w:rsid w:val="004611F2"/>
    <w:rsid w:val="004645CC"/>
    <w:rsid w:val="00470824"/>
    <w:rsid w:val="004816F2"/>
    <w:rsid w:val="00481A2F"/>
    <w:rsid w:val="00497D1F"/>
    <w:rsid w:val="004A3B93"/>
    <w:rsid w:val="004A49D3"/>
    <w:rsid w:val="004B201F"/>
    <w:rsid w:val="004B5D1E"/>
    <w:rsid w:val="004C1B17"/>
    <w:rsid w:val="004C5B15"/>
    <w:rsid w:val="004D4ED3"/>
    <w:rsid w:val="004E4657"/>
    <w:rsid w:val="004F2E5B"/>
    <w:rsid w:val="004F509A"/>
    <w:rsid w:val="005014FE"/>
    <w:rsid w:val="00503610"/>
    <w:rsid w:val="00510092"/>
    <w:rsid w:val="00510835"/>
    <w:rsid w:val="00512DE7"/>
    <w:rsid w:val="0052609C"/>
    <w:rsid w:val="00530FE9"/>
    <w:rsid w:val="0054759F"/>
    <w:rsid w:val="00550037"/>
    <w:rsid w:val="00550A97"/>
    <w:rsid w:val="005514AF"/>
    <w:rsid w:val="005550F0"/>
    <w:rsid w:val="00563515"/>
    <w:rsid w:val="00564868"/>
    <w:rsid w:val="00571700"/>
    <w:rsid w:val="0058008D"/>
    <w:rsid w:val="005834DE"/>
    <w:rsid w:val="00587B63"/>
    <w:rsid w:val="005916F5"/>
    <w:rsid w:val="00593BFB"/>
    <w:rsid w:val="00594C47"/>
    <w:rsid w:val="005A3168"/>
    <w:rsid w:val="005A74D4"/>
    <w:rsid w:val="005A7C89"/>
    <w:rsid w:val="005B03CE"/>
    <w:rsid w:val="005B2873"/>
    <w:rsid w:val="005C001E"/>
    <w:rsid w:val="005C0268"/>
    <w:rsid w:val="005D5887"/>
    <w:rsid w:val="006009CB"/>
    <w:rsid w:val="00600CD6"/>
    <w:rsid w:val="00606659"/>
    <w:rsid w:val="0061443F"/>
    <w:rsid w:val="00614860"/>
    <w:rsid w:val="00621925"/>
    <w:rsid w:val="00623B52"/>
    <w:rsid w:val="00624503"/>
    <w:rsid w:val="00630175"/>
    <w:rsid w:val="006316BD"/>
    <w:rsid w:val="00641983"/>
    <w:rsid w:val="0064245F"/>
    <w:rsid w:val="00651854"/>
    <w:rsid w:val="00651CD1"/>
    <w:rsid w:val="00655799"/>
    <w:rsid w:val="006563A1"/>
    <w:rsid w:val="006564D8"/>
    <w:rsid w:val="0066089D"/>
    <w:rsid w:val="0066390C"/>
    <w:rsid w:val="00672B24"/>
    <w:rsid w:val="00682CB5"/>
    <w:rsid w:val="00684F1C"/>
    <w:rsid w:val="00685CF6"/>
    <w:rsid w:val="006862D2"/>
    <w:rsid w:val="00693CB3"/>
    <w:rsid w:val="0069696A"/>
    <w:rsid w:val="00696D56"/>
    <w:rsid w:val="00697030"/>
    <w:rsid w:val="006A1A21"/>
    <w:rsid w:val="006A3E75"/>
    <w:rsid w:val="006B0FCD"/>
    <w:rsid w:val="006B1119"/>
    <w:rsid w:val="006B5DEF"/>
    <w:rsid w:val="006B5F9C"/>
    <w:rsid w:val="006C3866"/>
    <w:rsid w:val="006D0D5C"/>
    <w:rsid w:val="006D55CE"/>
    <w:rsid w:val="006D71B0"/>
    <w:rsid w:val="006E6024"/>
    <w:rsid w:val="006E7D5B"/>
    <w:rsid w:val="006F5676"/>
    <w:rsid w:val="007045DE"/>
    <w:rsid w:val="00710873"/>
    <w:rsid w:val="00713810"/>
    <w:rsid w:val="00715AF3"/>
    <w:rsid w:val="007412AB"/>
    <w:rsid w:val="0074715B"/>
    <w:rsid w:val="007558C5"/>
    <w:rsid w:val="0076568B"/>
    <w:rsid w:val="007724DC"/>
    <w:rsid w:val="00776DD4"/>
    <w:rsid w:val="007772D6"/>
    <w:rsid w:val="007839CA"/>
    <w:rsid w:val="00785B42"/>
    <w:rsid w:val="0079267F"/>
    <w:rsid w:val="00794087"/>
    <w:rsid w:val="007A6390"/>
    <w:rsid w:val="007A75C7"/>
    <w:rsid w:val="007B199C"/>
    <w:rsid w:val="007B7392"/>
    <w:rsid w:val="007C5F56"/>
    <w:rsid w:val="007D6964"/>
    <w:rsid w:val="007E123B"/>
    <w:rsid w:val="007E3548"/>
    <w:rsid w:val="007F0F6B"/>
    <w:rsid w:val="007F6F32"/>
    <w:rsid w:val="00803296"/>
    <w:rsid w:val="008173AE"/>
    <w:rsid w:val="00817455"/>
    <w:rsid w:val="00821076"/>
    <w:rsid w:val="008260C5"/>
    <w:rsid w:val="008404A6"/>
    <w:rsid w:val="00844402"/>
    <w:rsid w:val="00846F14"/>
    <w:rsid w:val="008531B6"/>
    <w:rsid w:val="008700AE"/>
    <w:rsid w:val="00875F04"/>
    <w:rsid w:val="0087684B"/>
    <w:rsid w:val="0087760F"/>
    <w:rsid w:val="00880277"/>
    <w:rsid w:val="008912B9"/>
    <w:rsid w:val="008945AD"/>
    <w:rsid w:val="00894CEE"/>
    <w:rsid w:val="00897F49"/>
    <w:rsid w:val="008A01D5"/>
    <w:rsid w:val="008A18A5"/>
    <w:rsid w:val="008A60F5"/>
    <w:rsid w:val="008B339F"/>
    <w:rsid w:val="008B38B3"/>
    <w:rsid w:val="008B4472"/>
    <w:rsid w:val="008B507C"/>
    <w:rsid w:val="008C3804"/>
    <w:rsid w:val="008C5CB3"/>
    <w:rsid w:val="008C78B1"/>
    <w:rsid w:val="008D60C1"/>
    <w:rsid w:val="008E2367"/>
    <w:rsid w:val="008F550B"/>
    <w:rsid w:val="009002F0"/>
    <w:rsid w:val="009067EC"/>
    <w:rsid w:val="00910A6F"/>
    <w:rsid w:val="00913216"/>
    <w:rsid w:val="00913DDE"/>
    <w:rsid w:val="00916C4B"/>
    <w:rsid w:val="00923CBA"/>
    <w:rsid w:val="00927CB8"/>
    <w:rsid w:val="0093396F"/>
    <w:rsid w:val="0095549C"/>
    <w:rsid w:val="00960BE8"/>
    <w:rsid w:val="00961EB2"/>
    <w:rsid w:val="00965211"/>
    <w:rsid w:val="00966D0B"/>
    <w:rsid w:val="009728C8"/>
    <w:rsid w:val="00973748"/>
    <w:rsid w:val="00975862"/>
    <w:rsid w:val="00980421"/>
    <w:rsid w:val="00981137"/>
    <w:rsid w:val="00984491"/>
    <w:rsid w:val="00985512"/>
    <w:rsid w:val="0098632B"/>
    <w:rsid w:val="00987223"/>
    <w:rsid w:val="009873E9"/>
    <w:rsid w:val="0099516C"/>
    <w:rsid w:val="0099588B"/>
    <w:rsid w:val="00996799"/>
    <w:rsid w:val="009A4399"/>
    <w:rsid w:val="009B2771"/>
    <w:rsid w:val="009B3799"/>
    <w:rsid w:val="009B4146"/>
    <w:rsid w:val="009B70C0"/>
    <w:rsid w:val="009C7A4B"/>
    <w:rsid w:val="009D4619"/>
    <w:rsid w:val="009D7077"/>
    <w:rsid w:val="009E052D"/>
    <w:rsid w:val="009E2ABB"/>
    <w:rsid w:val="009E38F9"/>
    <w:rsid w:val="009F1DA7"/>
    <w:rsid w:val="009F2C57"/>
    <w:rsid w:val="009F54AA"/>
    <w:rsid w:val="00A166E0"/>
    <w:rsid w:val="00A21DF3"/>
    <w:rsid w:val="00A30AAC"/>
    <w:rsid w:val="00A42632"/>
    <w:rsid w:val="00A477EF"/>
    <w:rsid w:val="00A55B58"/>
    <w:rsid w:val="00A60442"/>
    <w:rsid w:val="00A67350"/>
    <w:rsid w:val="00A74124"/>
    <w:rsid w:val="00A7550E"/>
    <w:rsid w:val="00A77EA4"/>
    <w:rsid w:val="00A8140F"/>
    <w:rsid w:val="00A9062B"/>
    <w:rsid w:val="00AA015A"/>
    <w:rsid w:val="00AA6BCB"/>
    <w:rsid w:val="00AB1D21"/>
    <w:rsid w:val="00AC17D2"/>
    <w:rsid w:val="00AC374B"/>
    <w:rsid w:val="00AC486C"/>
    <w:rsid w:val="00AC57F6"/>
    <w:rsid w:val="00AE177C"/>
    <w:rsid w:val="00AE3DFB"/>
    <w:rsid w:val="00AF2250"/>
    <w:rsid w:val="00B10359"/>
    <w:rsid w:val="00B1246A"/>
    <w:rsid w:val="00B126AD"/>
    <w:rsid w:val="00B20A69"/>
    <w:rsid w:val="00B21D35"/>
    <w:rsid w:val="00B22F72"/>
    <w:rsid w:val="00B314C1"/>
    <w:rsid w:val="00B32455"/>
    <w:rsid w:val="00B32F38"/>
    <w:rsid w:val="00B3341D"/>
    <w:rsid w:val="00B34935"/>
    <w:rsid w:val="00B446BF"/>
    <w:rsid w:val="00B54744"/>
    <w:rsid w:val="00B56039"/>
    <w:rsid w:val="00B643AD"/>
    <w:rsid w:val="00B64B32"/>
    <w:rsid w:val="00B64E0A"/>
    <w:rsid w:val="00B669C6"/>
    <w:rsid w:val="00B712DC"/>
    <w:rsid w:val="00B72063"/>
    <w:rsid w:val="00B80573"/>
    <w:rsid w:val="00BB2CDC"/>
    <w:rsid w:val="00BB4F7A"/>
    <w:rsid w:val="00BB71D1"/>
    <w:rsid w:val="00BC0250"/>
    <w:rsid w:val="00BD2701"/>
    <w:rsid w:val="00BD71CF"/>
    <w:rsid w:val="00BD72B7"/>
    <w:rsid w:val="00BD7B0C"/>
    <w:rsid w:val="00BE121A"/>
    <w:rsid w:val="00C00C98"/>
    <w:rsid w:val="00C05943"/>
    <w:rsid w:val="00C06293"/>
    <w:rsid w:val="00C268B0"/>
    <w:rsid w:val="00C32E58"/>
    <w:rsid w:val="00C40118"/>
    <w:rsid w:val="00C407B8"/>
    <w:rsid w:val="00C41600"/>
    <w:rsid w:val="00C42C0C"/>
    <w:rsid w:val="00C430B8"/>
    <w:rsid w:val="00C516C5"/>
    <w:rsid w:val="00C64E53"/>
    <w:rsid w:val="00C67F0A"/>
    <w:rsid w:val="00C848F4"/>
    <w:rsid w:val="00C8767B"/>
    <w:rsid w:val="00C91040"/>
    <w:rsid w:val="00C94CEC"/>
    <w:rsid w:val="00C96CF5"/>
    <w:rsid w:val="00C97D1F"/>
    <w:rsid w:val="00CA2DDE"/>
    <w:rsid w:val="00CA5368"/>
    <w:rsid w:val="00CA59A3"/>
    <w:rsid w:val="00CB3F7F"/>
    <w:rsid w:val="00CB5A3D"/>
    <w:rsid w:val="00CC3536"/>
    <w:rsid w:val="00CD0F99"/>
    <w:rsid w:val="00CD557F"/>
    <w:rsid w:val="00CE2816"/>
    <w:rsid w:val="00CE72CC"/>
    <w:rsid w:val="00CE7B3E"/>
    <w:rsid w:val="00CF5821"/>
    <w:rsid w:val="00D00380"/>
    <w:rsid w:val="00D04681"/>
    <w:rsid w:val="00D06456"/>
    <w:rsid w:val="00D1114F"/>
    <w:rsid w:val="00D130FA"/>
    <w:rsid w:val="00D228D6"/>
    <w:rsid w:val="00D34A7E"/>
    <w:rsid w:val="00D42BE2"/>
    <w:rsid w:val="00D50C5D"/>
    <w:rsid w:val="00D5515F"/>
    <w:rsid w:val="00D71C10"/>
    <w:rsid w:val="00D72547"/>
    <w:rsid w:val="00D72D0E"/>
    <w:rsid w:val="00D9174D"/>
    <w:rsid w:val="00D93F62"/>
    <w:rsid w:val="00DA28E8"/>
    <w:rsid w:val="00DB3C8B"/>
    <w:rsid w:val="00DC28C7"/>
    <w:rsid w:val="00DC2F34"/>
    <w:rsid w:val="00DC37FF"/>
    <w:rsid w:val="00DC5883"/>
    <w:rsid w:val="00DD2705"/>
    <w:rsid w:val="00DD6C0C"/>
    <w:rsid w:val="00DD7C92"/>
    <w:rsid w:val="00DF1C8B"/>
    <w:rsid w:val="00DF1E3C"/>
    <w:rsid w:val="00DF6B43"/>
    <w:rsid w:val="00E06ADA"/>
    <w:rsid w:val="00E123F9"/>
    <w:rsid w:val="00E12A7B"/>
    <w:rsid w:val="00E154B4"/>
    <w:rsid w:val="00E1555C"/>
    <w:rsid w:val="00E23D8E"/>
    <w:rsid w:val="00E270FD"/>
    <w:rsid w:val="00E40BD9"/>
    <w:rsid w:val="00E42BD6"/>
    <w:rsid w:val="00E45901"/>
    <w:rsid w:val="00E516F8"/>
    <w:rsid w:val="00E56ECA"/>
    <w:rsid w:val="00E73F80"/>
    <w:rsid w:val="00E774EE"/>
    <w:rsid w:val="00E777C5"/>
    <w:rsid w:val="00E81D5D"/>
    <w:rsid w:val="00E84571"/>
    <w:rsid w:val="00E91493"/>
    <w:rsid w:val="00E921ED"/>
    <w:rsid w:val="00E95B10"/>
    <w:rsid w:val="00EA4669"/>
    <w:rsid w:val="00EA518C"/>
    <w:rsid w:val="00EA6223"/>
    <w:rsid w:val="00EB5050"/>
    <w:rsid w:val="00EC0B0A"/>
    <w:rsid w:val="00EC16AA"/>
    <w:rsid w:val="00EC3CB4"/>
    <w:rsid w:val="00EC4912"/>
    <w:rsid w:val="00ED19AB"/>
    <w:rsid w:val="00ED6510"/>
    <w:rsid w:val="00ED6CB5"/>
    <w:rsid w:val="00EE3850"/>
    <w:rsid w:val="00EE415D"/>
    <w:rsid w:val="00EF44F0"/>
    <w:rsid w:val="00F05125"/>
    <w:rsid w:val="00F07C20"/>
    <w:rsid w:val="00F122D2"/>
    <w:rsid w:val="00F1636D"/>
    <w:rsid w:val="00F22006"/>
    <w:rsid w:val="00F27048"/>
    <w:rsid w:val="00F31532"/>
    <w:rsid w:val="00F33F9E"/>
    <w:rsid w:val="00F4038E"/>
    <w:rsid w:val="00F4057C"/>
    <w:rsid w:val="00F42E1C"/>
    <w:rsid w:val="00F5425C"/>
    <w:rsid w:val="00F60029"/>
    <w:rsid w:val="00F640EC"/>
    <w:rsid w:val="00F7490C"/>
    <w:rsid w:val="00F83314"/>
    <w:rsid w:val="00F92186"/>
    <w:rsid w:val="00F93807"/>
    <w:rsid w:val="00F97803"/>
    <w:rsid w:val="00FA2E56"/>
    <w:rsid w:val="00FA76C0"/>
    <w:rsid w:val="00FB0739"/>
    <w:rsid w:val="00FB14EA"/>
    <w:rsid w:val="00FB2CF2"/>
    <w:rsid w:val="00FB6DDE"/>
    <w:rsid w:val="00FC2B59"/>
    <w:rsid w:val="00FC38A6"/>
    <w:rsid w:val="00FC6A71"/>
    <w:rsid w:val="00FC7708"/>
    <w:rsid w:val="00FD1320"/>
    <w:rsid w:val="00FD520E"/>
    <w:rsid w:val="00FE029A"/>
    <w:rsid w:val="00FF06E6"/>
    <w:rsid w:val="00FF0B75"/>
    <w:rsid w:val="00FF1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FEB177B4-21EF-494E-A87B-BF17DA8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07CD"/>
    <w:pPr>
      <w:spacing w:after="200" w:line="276" w:lineRule="auto"/>
    </w:pPr>
    <w:rPr>
      <w:lang w:eastAsia="en-US"/>
    </w:rPr>
  </w:style>
  <w:style w:type="paragraph" w:styleId="Nadpis1">
    <w:name w:val="heading 1"/>
    <w:basedOn w:val="Normln"/>
    <w:next w:val="Normln"/>
    <w:link w:val="Nadpis1Char"/>
    <w:uiPriority w:val="9"/>
    <w:qFormat/>
    <w:locked/>
    <w:rsid w:val="005108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locked/>
    <w:rsid w:val="00252565"/>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EC0B0A"/>
    <w:pPr>
      <w:numPr>
        <w:numId w:val="1"/>
      </w:numPr>
      <w:spacing w:after="0" w:line="240" w:lineRule="auto"/>
      <w:jc w:val="both"/>
    </w:pPr>
    <w:rPr>
      <w:rFonts w:ascii="Times New Roman" w:eastAsia="Times New Roman" w:hAnsi="Times New Roman"/>
      <w:sz w:val="26"/>
      <w:szCs w:val="20"/>
      <w:lang w:eastAsia="cs-CZ"/>
    </w:rPr>
  </w:style>
  <w:style w:type="paragraph" w:styleId="Textbubliny">
    <w:name w:val="Balloon Text"/>
    <w:basedOn w:val="Normln"/>
    <w:link w:val="TextbublinyChar"/>
    <w:uiPriority w:val="99"/>
    <w:semiHidden/>
    <w:rsid w:val="000E1C26"/>
    <w:rPr>
      <w:rFonts w:ascii="Tahoma" w:hAnsi="Tahoma" w:cs="Tahoma"/>
      <w:sz w:val="16"/>
      <w:szCs w:val="16"/>
    </w:rPr>
  </w:style>
  <w:style w:type="character" w:customStyle="1" w:styleId="TextbublinyChar">
    <w:name w:val="Text bubliny Char"/>
    <w:basedOn w:val="Standardnpsmoodstavce"/>
    <w:link w:val="Textbubliny"/>
    <w:uiPriority w:val="99"/>
    <w:semiHidden/>
    <w:rsid w:val="00B15F78"/>
    <w:rPr>
      <w:rFonts w:ascii="Times New Roman" w:hAnsi="Times New Roman"/>
      <w:sz w:val="0"/>
      <w:szCs w:val="0"/>
      <w:lang w:eastAsia="en-US"/>
    </w:rPr>
  </w:style>
  <w:style w:type="paragraph" w:styleId="Normlnweb">
    <w:name w:val="Normal (Web)"/>
    <w:basedOn w:val="Normln"/>
    <w:uiPriority w:val="99"/>
    <w:semiHidden/>
    <w:unhideWhenUsed/>
    <w:rsid w:val="0088027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B10359"/>
    <w:pPr>
      <w:autoSpaceDE w:val="0"/>
      <w:autoSpaceDN w:val="0"/>
      <w:adjustRightInd w:val="0"/>
    </w:pPr>
    <w:rPr>
      <w:rFonts w:cs="Calibri"/>
      <w:color w:val="000000"/>
      <w:sz w:val="24"/>
      <w:szCs w:val="24"/>
    </w:rPr>
  </w:style>
  <w:style w:type="character" w:customStyle="1" w:styleId="CharStyle7">
    <w:name w:val="Char Style 7"/>
    <w:link w:val="Style6"/>
    <w:uiPriority w:val="99"/>
    <w:rsid w:val="00B10359"/>
    <w:rPr>
      <w:i/>
      <w:iCs/>
      <w:shd w:val="clear" w:color="auto" w:fill="FFFFFF"/>
    </w:rPr>
  </w:style>
  <w:style w:type="paragraph" w:customStyle="1" w:styleId="Style6">
    <w:name w:val="Style 6"/>
    <w:basedOn w:val="Normln"/>
    <w:link w:val="CharStyle7"/>
    <w:uiPriority w:val="99"/>
    <w:rsid w:val="00B10359"/>
    <w:pPr>
      <w:widowControl w:val="0"/>
      <w:shd w:val="clear" w:color="auto" w:fill="FFFFFF"/>
      <w:spacing w:before="660" w:after="1200" w:line="278" w:lineRule="exact"/>
    </w:pPr>
    <w:rPr>
      <w:i/>
      <w:iCs/>
      <w:lang w:eastAsia="cs-CZ"/>
    </w:rPr>
  </w:style>
  <w:style w:type="character" w:customStyle="1" w:styleId="Nadpis2Char">
    <w:name w:val="Nadpis 2 Char"/>
    <w:basedOn w:val="Standardnpsmoodstavce"/>
    <w:link w:val="Nadpis2"/>
    <w:uiPriority w:val="9"/>
    <w:rsid w:val="00252565"/>
    <w:rPr>
      <w:rFonts w:ascii="Times New Roman" w:eastAsia="Times New Roman" w:hAnsi="Times New Roman"/>
      <w:b/>
      <w:bCs/>
      <w:sz w:val="36"/>
      <w:szCs w:val="36"/>
    </w:rPr>
  </w:style>
  <w:style w:type="character" w:customStyle="1" w:styleId="cleaner">
    <w:name w:val="cleaner"/>
    <w:basedOn w:val="Standardnpsmoodstavce"/>
    <w:rsid w:val="00252565"/>
  </w:style>
  <w:style w:type="character" w:styleId="Siln">
    <w:name w:val="Strong"/>
    <w:basedOn w:val="Standardnpsmoodstavce"/>
    <w:uiPriority w:val="22"/>
    <w:qFormat/>
    <w:locked/>
    <w:rsid w:val="00252565"/>
    <w:rPr>
      <w:b/>
      <w:bCs/>
    </w:rPr>
  </w:style>
  <w:style w:type="paragraph" w:styleId="Odstavecseseznamem">
    <w:name w:val="List Paragraph"/>
    <w:basedOn w:val="Normln"/>
    <w:link w:val="OdstavecseseznamemChar"/>
    <w:uiPriority w:val="34"/>
    <w:qFormat/>
    <w:rsid w:val="006B5DEF"/>
    <w:pPr>
      <w:ind w:left="720"/>
      <w:contextualSpacing/>
    </w:pPr>
  </w:style>
  <w:style w:type="character" w:styleId="Hypertextovodkaz">
    <w:name w:val="Hyperlink"/>
    <w:basedOn w:val="Standardnpsmoodstavce"/>
    <w:uiPriority w:val="99"/>
    <w:unhideWhenUsed/>
    <w:rsid w:val="00785B42"/>
    <w:rPr>
      <w:color w:val="0000FF" w:themeColor="hyperlink"/>
      <w:u w:val="single"/>
    </w:rPr>
  </w:style>
  <w:style w:type="paragraph" w:styleId="Zhlav">
    <w:name w:val="header"/>
    <w:basedOn w:val="Normln"/>
    <w:link w:val="ZhlavChar"/>
    <w:uiPriority w:val="99"/>
    <w:unhideWhenUsed/>
    <w:rsid w:val="00FB2C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2CF2"/>
    <w:rPr>
      <w:lang w:eastAsia="en-US"/>
    </w:rPr>
  </w:style>
  <w:style w:type="paragraph" w:styleId="Zpat">
    <w:name w:val="footer"/>
    <w:basedOn w:val="Normln"/>
    <w:link w:val="ZpatChar"/>
    <w:uiPriority w:val="99"/>
    <w:unhideWhenUsed/>
    <w:rsid w:val="00FB2C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B2CF2"/>
    <w:rPr>
      <w:lang w:eastAsia="en-US"/>
    </w:rPr>
  </w:style>
  <w:style w:type="character" w:customStyle="1" w:styleId="Nadpis1Char">
    <w:name w:val="Nadpis 1 Char"/>
    <w:basedOn w:val="Standardnpsmoodstavce"/>
    <w:link w:val="Nadpis1"/>
    <w:uiPriority w:val="9"/>
    <w:rsid w:val="00510835"/>
    <w:rPr>
      <w:rFonts w:asciiTheme="majorHAnsi" w:eastAsiaTheme="majorEastAsia" w:hAnsiTheme="majorHAnsi" w:cstheme="majorBidi"/>
      <w:color w:val="365F91" w:themeColor="accent1" w:themeShade="BF"/>
      <w:sz w:val="32"/>
      <w:szCs w:val="32"/>
      <w:lang w:eastAsia="en-US"/>
    </w:rPr>
  </w:style>
  <w:style w:type="character" w:styleId="Odkaznakoment">
    <w:name w:val="annotation reference"/>
    <w:basedOn w:val="Standardnpsmoodstavce"/>
    <w:semiHidden/>
    <w:unhideWhenUsed/>
    <w:rsid w:val="00C8767B"/>
    <w:rPr>
      <w:sz w:val="16"/>
      <w:szCs w:val="16"/>
    </w:rPr>
  </w:style>
  <w:style w:type="paragraph" w:styleId="Textkomente">
    <w:name w:val="annotation text"/>
    <w:basedOn w:val="Normln"/>
    <w:link w:val="TextkomenteChar"/>
    <w:uiPriority w:val="99"/>
    <w:unhideWhenUsed/>
    <w:rsid w:val="00C8767B"/>
    <w:pPr>
      <w:spacing w:line="240" w:lineRule="auto"/>
    </w:pPr>
    <w:rPr>
      <w:sz w:val="20"/>
      <w:szCs w:val="20"/>
    </w:rPr>
  </w:style>
  <w:style w:type="character" w:customStyle="1" w:styleId="TextkomenteChar">
    <w:name w:val="Text komentáře Char"/>
    <w:basedOn w:val="Standardnpsmoodstavce"/>
    <w:link w:val="Textkomente"/>
    <w:uiPriority w:val="99"/>
    <w:rsid w:val="00C8767B"/>
    <w:rPr>
      <w:sz w:val="20"/>
      <w:szCs w:val="20"/>
      <w:lang w:eastAsia="en-US"/>
    </w:rPr>
  </w:style>
  <w:style w:type="paragraph" w:styleId="Pedmtkomente">
    <w:name w:val="annotation subject"/>
    <w:basedOn w:val="Textkomente"/>
    <w:next w:val="Textkomente"/>
    <w:link w:val="PedmtkomenteChar"/>
    <w:uiPriority w:val="99"/>
    <w:semiHidden/>
    <w:unhideWhenUsed/>
    <w:rsid w:val="00C8767B"/>
    <w:rPr>
      <w:b/>
      <w:bCs/>
    </w:rPr>
  </w:style>
  <w:style w:type="character" w:customStyle="1" w:styleId="PedmtkomenteChar">
    <w:name w:val="Předmět komentáře Char"/>
    <w:basedOn w:val="TextkomenteChar"/>
    <w:link w:val="Pedmtkomente"/>
    <w:uiPriority w:val="99"/>
    <w:semiHidden/>
    <w:rsid w:val="00C8767B"/>
    <w:rPr>
      <w:b/>
      <w:bCs/>
      <w:sz w:val="20"/>
      <w:szCs w:val="20"/>
      <w:lang w:eastAsia="en-US"/>
    </w:rPr>
  </w:style>
  <w:style w:type="character" w:customStyle="1" w:styleId="OdstavecseseznamemChar">
    <w:name w:val="Odstavec se seznamem Char"/>
    <w:link w:val="Odstavecseseznamem"/>
    <w:uiPriority w:val="34"/>
    <w:rsid w:val="004B5D1E"/>
    <w:rPr>
      <w:lang w:eastAsia="en-US"/>
    </w:rPr>
  </w:style>
  <w:style w:type="paragraph" w:styleId="Revize">
    <w:name w:val="Revision"/>
    <w:hidden/>
    <w:uiPriority w:val="99"/>
    <w:semiHidden/>
    <w:rsid w:val="005A74D4"/>
    <w:rPr>
      <w:lang w:eastAsia="en-US"/>
    </w:rPr>
  </w:style>
  <w:style w:type="paragraph" w:customStyle="1" w:styleId="Odstavecseseznamem1">
    <w:name w:val="Odstavec se seznamem1"/>
    <w:basedOn w:val="Normln"/>
    <w:rsid w:val="0066390C"/>
    <w:pPr>
      <w:ind w:left="720"/>
      <w:contextualSpacing/>
    </w:pPr>
    <w:rPr>
      <w:rFonts w:eastAsia="Times New Roman"/>
    </w:rPr>
  </w:style>
  <w:style w:type="paragraph" w:styleId="Textpoznpodarou">
    <w:name w:val="footnote text"/>
    <w:basedOn w:val="Normln"/>
    <w:link w:val="TextpoznpodarouChar"/>
    <w:uiPriority w:val="99"/>
    <w:unhideWhenUsed/>
    <w:rsid w:val="0066390C"/>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66390C"/>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5686">
      <w:bodyDiv w:val="1"/>
      <w:marLeft w:val="0"/>
      <w:marRight w:val="0"/>
      <w:marTop w:val="0"/>
      <w:marBottom w:val="0"/>
      <w:divBdr>
        <w:top w:val="none" w:sz="0" w:space="0" w:color="auto"/>
        <w:left w:val="none" w:sz="0" w:space="0" w:color="auto"/>
        <w:bottom w:val="none" w:sz="0" w:space="0" w:color="auto"/>
        <w:right w:val="none" w:sz="0" w:space="0" w:color="auto"/>
      </w:divBdr>
    </w:div>
    <w:div w:id="141237470">
      <w:bodyDiv w:val="1"/>
      <w:marLeft w:val="0"/>
      <w:marRight w:val="0"/>
      <w:marTop w:val="0"/>
      <w:marBottom w:val="0"/>
      <w:divBdr>
        <w:top w:val="none" w:sz="0" w:space="0" w:color="auto"/>
        <w:left w:val="none" w:sz="0" w:space="0" w:color="auto"/>
        <w:bottom w:val="none" w:sz="0" w:space="0" w:color="auto"/>
        <w:right w:val="none" w:sz="0" w:space="0" w:color="auto"/>
      </w:divBdr>
      <w:divsChild>
        <w:div w:id="2064211858">
          <w:marLeft w:val="0"/>
          <w:marRight w:val="0"/>
          <w:marTop w:val="0"/>
          <w:marBottom w:val="0"/>
          <w:divBdr>
            <w:top w:val="none" w:sz="0" w:space="0" w:color="auto"/>
            <w:left w:val="none" w:sz="0" w:space="0" w:color="auto"/>
            <w:bottom w:val="none" w:sz="0" w:space="0" w:color="auto"/>
            <w:right w:val="none" w:sz="0" w:space="0" w:color="auto"/>
          </w:divBdr>
          <w:divsChild>
            <w:div w:id="56320744">
              <w:marLeft w:val="0"/>
              <w:marRight w:val="0"/>
              <w:marTop w:val="0"/>
              <w:marBottom w:val="0"/>
              <w:divBdr>
                <w:top w:val="none" w:sz="0" w:space="0" w:color="auto"/>
                <w:left w:val="none" w:sz="0" w:space="0" w:color="auto"/>
                <w:bottom w:val="none" w:sz="0" w:space="0" w:color="auto"/>
                <w:right w:val="none" w:sz="0" w:space="0" w:color="auto"/>
              </w:divBdr>
              <w:divsChild>
                <w:div w:id="735710436">
                  <w:marLeft w:val="0"/>
                  <w:marRight w:val="0"/>
                  <w:marTop w:val="0"/>
                  <w:marBottom w:val="0"/>
                  <w:divBdr>
                    <w:top w:val="none" w:sz="0" w:space="0" w:color="auto"/>
                    <w:left w:val="none" w:sz="0" w:space="0" w:color="auto"/>
                    <w:bottom w:val="none" w:sz="0" w:space="0" w:color="auto"/>
                    <w:right w:val="none" w:sz="0" w:space="0" w:color="auto"/>
                  </w:divBdr>
                  <w:divsChild>
                    <w:div w:id="1192184425">
                      <w:marLeft w:val="0"/>
                      <w:marRight w:val="0"/>
                      <w:marTop w:val="0"/>
                      <w:marBottom w:val="0"/>
                      <w:divBdr>
                        <w:top w:val="none" w:sz="0" w:space="0" w:color="auto"/>
                        <w:left w:val="none" w:sz="0" w:space="0" w:color="auto"/>
                        <w:bottom w:val="none" w:sz="0" w:space="0" w:color="auto"/>
                        <w:right w:val="none" w:sz="0" w:space="0" w:color="auto"/>
                      </w:divBdr>
                      <w:divsChild>
                        <w:div w:id="1667588215">
                          <w:marLeft w:val="0"/>
                          <w:marRight w:val="0"/>
                          <w:marTop w:val="0"/>
                          <w:marBottom w:val="0"/>
                          <w:divBdr>
                            <w:top w:val="none" w:sz="0" w:space="0" w:color="auto"/>
                            <w:left w:val="none" w:sz="0" w:space="0" w:color="auto"/>
                            <w:bottom w:val="none" w:sz="0" w:space="0" w:color="auto"/>
                            <w:right w:val="none" w:sz="0" w:space="0" w:color="auto"/>
                          </w:divBdr>
                          <w:divsChild>
                            <w:div w:id="132716498">
                              <w:marLeft w:val="0"/>
                              <w:marRight w:val="0"/>
                              <w:marTop w:val="0"/>
                              <w:marBottom w:val="0"/>
                              <w:divBdr>
                                <w:top w:val="none" w:sz="0" w:space="0" w:color="auto"/>
                                <w:left w:val="none" w:sz="0" w:space="0" w:color="auto"/>
                                <w:bottom w:val="none" w:sz="0" w:space="0" w:color="auto"/>
                                <w:right w:val="none" w:sz="0" w:space="0" w:color="auto"/>
                              </w:divBdr>
                              <w:divsChild>
                                <w:div w:id="55471362">
                                  <w:marLeft w:val="0"/>
                                  <w:marRight w:val="0"/>
                                  <w:marTop w:val="0"/>
                                  <w:marBottom w:val="0"/>
                                  <w:divBdr>
                                    <w:top w:val="none" w:sz="0" w:space="0" w:color="auto"/>
                                    <w:left w:val="none" w:sz="0" w:space="0" w:color="auto"/>
                                    <w:bottom w:val="none" w:sz="0" w:space="0" w:color="auto"/>
                                    <w:right w:val="none" w:sz="0" w:space="0" w:color="auto"/>
                                  </w:divBdr>
                                  <w:divsChild>
                                    <w:div w:id="916937321">
                                      <w:marLeft w:val="0"/>
                                      <w:marRight w:val="0"/>
                                      <w:marTop w:val="0"/>
                                      <w:marBottom w:val="0"/>
                                      <w:divBdr>
                                        <w:top w:val="none" w:sz="0" w:space="0" w:color="auto"/>
                                        <w:left w:val="none" w:sz="0" w:space="0" w:color="auto"/>
                                        <w:bottom w:val="none" w:sz="0" w:space="0" w:color="auto"/>
                                        <w:right w:val="none" w:sz="0" w:space="0" w:color="auto"/>
                                      </w:divBdr>
                                      <w:divsChild>
                                        <w:div w:id="1695571861">
                                          <w:marLeft w:val="0"/>
                                          <w:marRight w:val="0"/>
                                          <w:marTop w:val="0"/>
                                          <w:marBottom w:val="0"/>
                                          <w:divBdr>
                                            <w:top w:val="none" w:sz="0" w:space="0" w:color="auto"/>
                                            <w:left w:val="none" w:sz="0" w:space="0" w:color="auto"/>
                                            <w:bottom w:val="none" w:sz="0" w:space="0" w:color="auto"/>
                                            <w:right w:val="none" w:sz="0" w:space="0" w:color="auto"/>
                                          </w:divBdr>
                                        </w:div>
                                        <w:div w:id="18825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849904">
      <w:bodyDiv w:val="1"/>
      <w:marLeft w:val="0"/>
      <w:marRight w:val="0"/>
      <w:marTop w:val="0"/>
      <w:marBottom w:val="0"/>
      <w:divBdr>
        <w:top w:val="none" w:sz="0" w:space="0" w:color="auto"/>
        <w:left w:val="none" w:sz="0" w:space="0" w:color="auto"/>
        <w:bottom w:val="none" w:sz="0" w:space="0" w:color="auto"/>
        <w:right w:val="none" w:sz="0" w:space="0" w:color="auto"/>
      </w:divBdr>
    </w:div>
    <w:div w:id="605581976">
      <w:bodyDiv w:val="1"/>
      <w:marLeft w:val="0"/>
      <w:marRight w:val="0"/>
      <w:marTop w:val="0"/>
      <w:marBottom w:val="0"/>
      <w:divBdr>
        <w:top w:val="none" w:sz="0" w:space="0" w:color="auto"/>
        <w:left w:val="none" w:sz="0" w:space="0" w:color="auto"/>
        <w:bottom w:val="none" w:sz="0" w:space="0" w:color="auto"/>
        <w:right w:val="none" w:sz="0" w:space="0" w:color="auto"/>
      </w:divBdr>
    </w:div>
    <w:div w:id="876282619">
      <w:bodyDiv w:val="1"/>
      <w:marLeft w:val="0"/>
      <w:marRight w:val="0"/>
      <w:marTop w:val="0"/>
      <w:marBottom w:val="0"/>
      <w:divBdr>
        <w:top w:val="none" w:sz="0" w:space="0" w:color="auto"/>
        <w:left w:val="none" w:sz="0" w:space="0" w:color="auto"/>
        <w:bottom w:val="none" w:sz="0" w:space="0" w:color="auto"/>
        <w:right w:val="none" w:sz="0" w:space="0" w:color="auto"/>
      </w:divBdr>
    </w:div>
    <w:div w:id="979454332">
      <w:bodyDiv w:val="1"/>
      <w:marLeft w:val="0"/>
      <w:marRight w:val="0"/>
      <w:marTop w:val="0"/>
      <w:marBottom w:val="0"/>
      <w:divBdr>
        <w:top w:val="none" w:sz="0" w:space="0" w:color="auto"/>
        <w:left w:val="none" w:sz="0" w:space="0" w:color="auto"/>
        <w:bottom w:val="none" w:sz="0" w:space="0" w:color="auto"/>
        <w:right w:val="none" w:sz="0" w:space="0" w:color="auto"/>
      </w:divBdr>
    </w:div>
    <w:div w:id="1029645667">
      <w:bodyDiv w:val="1"/>
      <w:marLeft w:val="0"/>
      <w:marRight w:val="0"/>
      <w:marTop w:val="0"/>
      <w:marBottom w:val="0"/>
      <w:divBdr>
        <w:top w:val="none" w:sz="0" w:space="0" w:color="auto"/>
        <w:left w:val="none" w:sz="0" w:space="0" w:color="auto"/>
        <w:bottom w:val="none" w:sz="0" w:space="0" w:color="auto"/>
        <w:right w:val="none" w:sz="0" w:space="0" w:color="auto"/>
      </w:divBdr>
      <w:divsChild>
        <w:div w:id="426999031">
          <w:marLeft w:val="0"/>
          <w:marRight w:val="0"/>
          <w:marTop w:val="0"/>
          <w:marBottom w:val="0"/>
          <w:divBdr>
            <w:top w:val="none" w:sz="0" w:space="0" w:color="auto"/>
            <w:left w:val="none" w:sz="0" w:space="0" w:color="auto"/>
            <w:bottom w:val="none" w:sz="0" w:space="0" w:color="auto"/>
            <w:right w:val="none" w:sz="0" w:space="0" w:color="auto"/>
          </w:divBdr>
          <w:divsChild>
            <w:div w:id="1336759786">
              <w:marLeft w:val="0"/>
              <w:marRight w:val="0"/>
              <w:marTop w:val="0"/>
              <w:marBottom w:val="0"/>
              <w:divBdr>
                <w:top w:val="none" w:sz="0" w:space="0" w:color="auto"/>
                <w:left w:val="none" w:sz="0" w:space="0" w:color="auto"/>
                <w:bottom w:val="none" w:sz="0" w:space="0" w:color="auto"/>
                <w:right w:val="none" w:sz="0" w:space="0" w:color="auto"/>
              </w:divBdr>
              <w:divsChild>
                <w:div w:id="1619215880">
                  <w:marLeft w:val="0"/>
                  <w:marRight w:val="0"/>
                  <w:marTop w:val="0"/>
                  <w:marBottom w:val="0"/>
                  <w:divBdr>
                    <w:top w:val="none" w:sz="0" w:space="0" w:color="auto"/>
                    <w:left w:val="none" w:sz="0" w:space="0" w:color="auto"/>
                    <w:bottom w:val="none" w:sz="0" w:space="0" w:color="auto"/>
                    <w:right w:val="none" w:sz="0" w:space="0" w:color="auto"/>
                  </w:divBdr>
                  <w:divsChild>
                    <w:div w:id="1965768634">
                      <w:marLeft w:val="0"/>
                      <w:marRight w:val="0"/>
                      <w:marTop w:val="0"/>
                      <w:marBottom w:val="0"/>
                      <w:divBdr>
                        <w:top w:val="none" w:sz="0" w:space="0" w:color="auto"/>
                        <w:left w:val="none" w:sz="0" w:space="0" w:color="auto"/>
                        <w:bottom w:val="none" w:sz="0" w:space="0" w:color="auto"/>
                        <w:right w:val="none" w:sz="0" w:space="0" w:color="auto"/>
                      </w:divBdr>
                      <w:divsChild>
                        <w:div w:id="8836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89361">
      <w:bodyDiv w:val="1"/>
      <w:marLeft w:val="0"/>
      <w:marRight w:val="0"/>
      <w:marTop w:val="0"/>
      <w:marBottom w:val="0"/>
      <w:divBdr>
        <w:top w:val="none" w:sz="0" w:space="0" w:color="auto"/>
        <w:left w:val="none" w:sz="0" w:space="0" w:color="auto"/>
        <w:bottom w:val="none" w:sz="0" w:space="0" w:color="auto"/>
        <w:right w:val="none" w:sz="0" w:space="0" w:color="auto"/>
      </w:divBdr>
    </w:div>
    <w:div w:id="1059131435">
      <w:bodyDiv w:val="1"/>
      <w:marLeft w:val="0"/>
      <w:marRight w:val="0"/>
      <w:marTop w:val="0"/>
      <w:marBottom w:val="0"/>
      <w:divBdr>
        <w:top w:val="none" w:sz="0" w:space="0" w:color="auto"/>
        <w:left w:val="none" w:sz="0" w:space="0" w:color="auto"/>
        <w:bottom w:val="none" w:sz="0" w:space="0" w:color="auto"/>
        <w:right w:val="none" w:sz="0" w:space="0" w:color="auto"/>
      </w:divBdr>
    </w:div>
    <w:div w:id="1346443250">
      <w:bodyDiv w:val="1"/>
      <w:marLeft w:val="0"/>
      <w:marRight w:val="0"/>
      <w:marTop w:val="0"/>
      <w:marBottom w:val="0"/>
      <w:divBdr>
        <w:top w:val="none" w:sz="0" w:space="0" w:color="auto"/>
        <w:left w:val="none" w:sz="0" w:space="0" w:color="auto"/>
        <w:bottom w:val="none" w:sz="0" w:space="0" w:color="auto"/>
        <w:right w:val="none" w:sz="0" w:space="0" w:color="auto"/>
      </w:divBdr>
    </w:div>
    <w:div w:id="1559242874">
      <w:bodyDiv w:val="1"/>
      <w:marLeft w:val="0"/>
      <w:marRight w:val="0"/>
      <w:marTop w:val="0"/>
      <w:marBottom w:val="0"/>
      <w:divBdr>
        <w:top w:val="none" w:sz="0" w:space="0" w:color="auto"/>
        <w:left w:val="none" w:sz="0" w:space="0" w:color="auto"/>
        <w:bottom w:val="none" w:sz="0" w:space="0" w:color="auto"/>
        <w:right w:val="none" w:sz="0" w:space="0" w:color="auto"/>
      </w:divBdr>
    </w:div>
    <w:div w:id="1699961981">
      <w:bodyDiv w:val="1"/>
      <w:marLeft w:val="0"/>
      <w:marRight w:val="0"/>
      <w:marTop w:val="0"/>
      <w:marBottom w:val="0"/>
      <w:divBdr>
        <w:top w:val="none" w:sz="0" w:space="0" w:color="auto"/>
        <w:left w:val="none" w:sz="0" w:space="0" w:color="auto"/>
        <w:bottom w:val="none" w:sz="0" w:space="0" w:color="auto"/>
        <w:right w:val="none" w:sz="0" w:space="0" w:color="auto"/>
      </w:divBdr>
    </w:div>
    <w:div w:id="1970085343">
      <w:bodyDiv w:val="1"/>
      <w:marLeft w:val="0"/>
      <w:marRight w:val="0"/>
      <w:marTop w:val="0"/>
      <w:marBottom w:val="0"/>
      <w:divBdr>
        <w:top w:val="none" w:sz="0" w:space="0" w:color="auto"/>
        <w:left w:val="none" w:sz="0" w:space="0" w:color="auto"/>
        <w:bottom w:val="none" w:sz="0" w:space="0" w:color="auto"/>
        <w:right w:val="none" w:sz="0" w:space="0" w:color="auto"/>
      </w:divBdr>
    </w:div>
    <w:div w:id="20992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7DA4-BDB8-4383-9FDD-8598D540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2810</Words>
  <Characters>17089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Pavlíková Vladimíra</dc:creator>
  <cp:lastModifiedBy>Kurfürstová Yveta</cp:lastModifiedBy>
  <cp:revision>14</cp:revision>
  <cp:lastPrinted>2018-12-03T16:42:00Z</cp:lastPrinted>
  <dcterms:created xsi:type="dcterms:W3CDTF">2019-12-04T10:55:00Z</dcterms:created>
  <dcterms:modified xsi:type="dcterms:W3CDTF">2019-12-10T14:41:00Z</dcterms:modified>
</cp:coreProperties>
</file>