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EFE" w:rsidRPr="00825A1C" w:rsidRDefault="00755EFE" w:rsidP="005509B9">
      <w:pPr>
        <w:spacing w:before="360" w:after="600"/>
      </w:pPr>
      <w:r w:rsidRPr="00755EFE">
        <w:rPr>
          <w:rFonts w:cs="Courier New"/>
          <w:b/>
          <w:sz w:val="28"/>
          <w:szCs w:val="28"/>
        </w:rPr>
        <w:t xml:space="preserve">Informace </w:t>
      </w:r>
      <w:r w:rsidR="005509B9">
        <w:rPr>
          <w:rFonts w:cs="Courier New"/>
          <w:b/>
          <w:sz w:val="28"/>
          <w:szCs w:val="28"/>
        </w:rPr>
        <w:t xml:space="preserve">MŠMT </w:t>
      </w:r>
      <w:r w:rsidRPr="00755EFE">
        <w:rPr>
          <w:rFonts w:cs="Courier New"/>
          <w:b/>
          <w:sz w:val="28"/>
          <w:szCs w:val="28"/>
        </w:rPr>
        <w:t>k novému zákonu o přístupnosti internetových stránek a mobilních aplikací</w:t>
      </w:r>
    </w:p>
    <w:p w:rsidR="00506417" w:rsidRDefault="00506417" w:rsidP="00E93D5A">
      <w:pPr>
        <w:jc w:val="both"/>
      </w:pPr>
      <w:r>
        <w:t xml:space="preserve">Informace pro </w:t>
      </w:r>
      <w:r w:rsidR="00D569EF" w:rsidRPr="00506417">
        <w:t>vysok</w:t>
      </w:r>
      <w:r w:rsidR="00E93D5A" w:rsidRPr="00506417">
        <w:t>é</w:t>
      </w:r>
      <w:r w:rsidR="00D569EF" w:rsidRPr="00506417">
        <w:t xml:space="preserve"> škol</w:t>
      </w:r>
      <w:r w:rsidR="00E93D5A" w:rsidRPr="00506417">
        <w:t>y</w:t>
      </w:r>
      <w:r w:rsidR="00D569EF" w:rsidRPr="00506417">
        <w:t>, škol</w:t>
      </w:r>
      <w:r w:rsidR="00E93D5A" w:rsidRPr="00506417">
        <w:t>y</w:t>
      </w:r>
      <w:r w:rsidR="00D569EF" w:rsidRPr="00506417">
        <w:t xml:space="preserve"> </w:t>
      </w:r>
      <w:r w:rsidR="00E93D5A" w:rsidRPr="00506417">
        <w:t>a</w:t>
      </w:r>
      <w:r w:rsidR="00D569EF" w:rsidRPr="00506417">
        <w:t xml:space="preserve"> školsk</w:t>
      </w:r>
      <w:r w:rsidR="00E93D5A" w:rsidRPr="00506417">
        <w:t>á</w:t>
      </w:r>
      <w:r w:rsidR="00D569EF" w:rsidRPr="00506417">
        <w:t xml:space="preserve"> zařízení o některých povinnostech, které</w:t>
      </w:r>
      <w:r w:rsidR="00410D43" w:rsidRPr="00506417">
        <w:t xml:space="preserve"> jim</w:t>
      </w:r>
      <w:r w:rsidR="00D569EF" w:rsidRPr="00506417">
        <w:t xml:space="preserve"> vyplývají ze zákona č. 99/2019 Sb., o</w:t>
      </w:r>
      <w:r w:rsidR="004201A8" w:rsidRPr="00506417">
        <w:t> </w:t>
      </w:r>
      <w:r w:rsidR="00D569EF" w:rsidRPr="00506417">
        <w:t>přístupnosti internetových stránek a mobilních aplikací a o změně zákona č. 365/2000 Sb., o</w:t>
      </w:r>
      <w:r w:rsidR="004201A8" w:rsidRPr="00506417">
        <w:t> </w:t>
      </w:r>
      <w:r w:rsidR="00D569EF" w:rsidRPr="00506417">
        <w:t>informačních systémech veřejné správy a o změně některých dalších zákonů, ve znění pozdějších předpisů (dále jen „zákon o přístupnosti“).</w:t>
      </w:r>
      <w:r w:rsidR="00410D43" w:rsidRPr="00506417">
        <w:t xml:space="preserve"> </w:t>
      </w:r>
    </w:p>
    <w:p w:rsidR="00E93D5A" w:rsidRDefault="00504B7A" w:rsidP="00E93D5A">
      <w:pPr>
        <w:jc w:val="both"/>
      </w:pPr>
      <w:r w:rsidRPr="00506417">
        <w:t xml:space="preserve">Dle uvedeného zákona je vysoká škola, škola či školské zařízení povinným subjektem, který má zajistit, aby jím spravované </w:t>
      </w:r>
      <w:r w:rsidRPr="00BB43F7">
        <w:rPr>
          <w:b/>
        </w:rPr>
        <w:t>internetové stránky</w:t>
      </w:r>
      <w:r w:rsidRPr="00506417">
        <w:t xml:space="preserve"> a mobilní aplikace </w:t>
      </w:r>
      <w:r w:rsidRPr="00D5503B">
        <w:rPr>
          <w:b/>
        </w:rPr>
        <w:t>byly přístupné</w:t>
      </w:r>
      <w:r w:rsidRPr="00506417">
        <w:t xml:space="preserve"> pro jejich uživatele, a to zejména </w:t>
      </w:r>
      <w:r w:rsidRPr="00BB43F7">
        <w:rPr>
          <w:b/>
        </w:rPr>
        <w:t>pro osoby se zdravotním postižením</w:t>
      </w:r>
      <w:r w:rsidRPr="00506417">
        <w:t>,</w:t>
      </w:r>
      <w:r>
        <w:t xml:space="preserve"> jako jsou např. osoby slabozraké a osoby s</w:t>
      </w:r>
      <w:r w:rsidRPr="00234F13">
        <w:t xml:space="preserve"> kognitivními poruchami nebo poruchami učení</w:t>
      </w:r>
      <w:r>
        <w:t xml:space="preserve">. </w:t>
      </w:r>
      <w:r w:rsidR="00506417">
        <w:t>P</w:t>
      </w:r>
      <w:r w:rsidRPr="00504B7A">
        <w:t xml:space="preserve">ovinnost zajistit přístupnost </w:t>
      </w:r>
      <w:r>
        <w:t>určitého</w:t>
      </w:r>
      <w:r w:rsidRPr="00504B7A">
        <w:t xml:space="preserve"> obsahu </w:t>
      </w:r>
      <w:r>
        <w:t xml:space="preserve">existuje </w:t>
      </w:r>
      <w:r w:rsidRPr="00BB43F7">
        <w:rPr>
          <w:b/>
        </w:rPr>
        <w:t xml:space="preserve">v míře, která nezpůsobí </w:t>
      </w:r>
      <w:r w:rsidR="00F3574D" w:rsidRPr="00BB43F7">
        <w:rPr>
          <w:b/>
        </w:rPr>
        <w:t xml:space="preserve">povinnému subjektu </w:t>
      </w:r>
      <w:r w:rsidRPr="00BB43F7">
        <w:rPr>
          <w:b/>
        </w:rPr>
        <w:t>nepřiměřenou zátěž</w:t>
      </w:r>
      <w:r>
        <w:t>.</w:t>
      </w:r>
      <w:r w:rsidR="00506417">
        <w:t xml:space="preserve"> Vždy je však nezbytné splnit povinnost </w:t>
      </w:r>
      <w:r w:rsidR="00506417" w:rsidRPr="00506417">
        <w:t xml:space="preserve">zveřejnění tzv. Prohlášení o přístupnosti </w:t>
      </w:r>
      <w:r w:rsidR="00506417" w:rsidRPr="007D5762">
        <w:t>týkající se</w:t>
      </w:r>
      <w:r w:rsidR="00506417">
        <w:t> </w:t>
      </w:r>
      <w:r w:rsidR="00506417" w:rsidRPr="007D5762">
        <w:t>souladu jejich internetových stránek a mobilních aplikací</w:t>
      </w:r>
      <w:r w:rsidR="00506417">
        <w:t>.</w:t>
      </w:r>
    </w:p>
    <w:p w:rsidR="00E93D5A" w:rsidRPr="00F3574D" w:rsidRDefault="00F3574D" w:rsidP="00F3574D">
      <w:pPr>
        <w:pStyle w:val="Nadpis2"/>
        <w:spacing w:before="24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</w:t>
      </w:r>
      <w:r w:rsidRPr="00F3574D">
        <w:rPr>
          <w:rFonts w:asciiTheme="minorHAnsi" w:hAnsiTheme="minorHAnsi"/>
          <w:sz w:val="28"/>
          <w:szCs w:val="28"/>
        </w:rPr>
        <w:t>ákon</w:t>
      </w:r>
      <w:r>
        <w:rPr>
          <w:rFonts w:asciiTheme="minorHAnsi" w:hAnsiTheme="minorHAnsi"/>
          <w:sz w:val="28"/>
          <w:szCs w:val="28"/>
        </w:rPr>
        <w:t xml:space="preserve"> o přístupnosti</w:t>
      </w:r>
    </w:p>
    <w:p w:rsidR="00140F46" w:rsidRDefault="006B6242" w:rsidP="00F3574D">
      <w:pPr>
        <w:jc w:val="both"/>
      </w:pPr>
      <w:r>
        <w:t xml:space="preserve">Uvedený zákon </w:t>
      </w:r>
      <w:r w:rsidR="00094690">
        <w:t xml:space="preserve">v gesci Ministerstva vnitra </w:t>
      </w:r>
      <w:r>
        <w:t xml:space="preserve">transponuje </w:t>
      </w:r>
      <w:r w:rsidR="00E071A3">
        <w:t xml:space="preserve">směrnici </w:t>
      </w:r>
      <w:r>
        <w:t>Evropského parlamentu a Rady (EU) 2016/2102 ze dne 26. října 2016 o přístupnosti webových stránek a mobilních aplikací subjektů veřejného sektoru (dále jen „směrnice (EU)“)</w:t>
      </w:r>
      <w:r w:rsidR="002833C6">
        <w:t xml:space="preserve"> a zároveň ruší vyhlášku č. 64/2008 Sb., o formě uveřejňování informací souvisejících s výkonem veřejné správy prostřednictvím webových stránek pro osoby se zdravotním postižením (vyhláška o přístupnosti),</w:t>
      </w:r>
      <w:r w:rsidR="0040451D">
        <w:t xml:space="preserve"> která </w:t>
      </w:r>
      <w:r w:rsidR="00E27AAF">
        <w:t xml:space="preserve">doposud </w:t>
      </w:r>
      <w:r w:rsidR="0040451D">
        <w:t>stanovovala pravidla pro </w:t>
      </w:r>
      <w:r w:rsidR="002833C6">
        <w:t>tvorbu přístupných webových stránek</w:t>
      </w:r>
      <w:r>
        <w:t>.</w:t>
      </w:r>
    </w:p>
    <w:p w:rsidR="00916B63" w:rsidRDefault="007654D5" w:rsidP="00066A8D">
      <w:pPr>
        <w:pStyle w:val="Nadpis2"/>
        <w:spacing w:before="240"/>
      </w:pPr>
      <w:r>
        <w:rPr>
          <w:rFonts w:asciiTheme="minorHAnsi" w:hAnsiTheme="minorHAnsi"/>
          <w:sz w:val="28"/>
          <w:szCs w:val="28"/>
        </w:rPr>
        <w:t>Na jaký obsah internetových stránek se povinnosti vztahují</w:t>
      </w:r>
    </w:p>
    <w:p w:rsidR="00BB43F7" w:rsidRDefault="00506417" w:rsidP="00E2526C">
      <w:pPr>
        <w:jc w:val="both"/>
      </w:pPr>
      <w:r>
        <w:t>V</w:t>
      </w:r>
      <w:r w:rsidR="002131D3">
        <w:t xml:space="preserve">ysoká škola, </w:t>
      </w:r>
      <w:r w:rsidR="002131D3" w:rsidRPr="00384718">
        <w:t xml:space="preserve">škola a </w:t>
      </w:r>
      <w:r w:rsidR="002131D3" w:rsidRPr="00506417">
        <w:t>školské zařízení má uvedenou povinnost pouze ve vztahu k obsahu, který</w:t>
      </w:r>
      <w:r w:rsidR="00E07989" w:rsidRPr="00506417">
        <w:t xml:space="preserve"> </w:t>
      </w:r>
      <w:r w:rsidR="00E07989" w:rsidRPr="006B4656">
        <w:t>je </w:t>
      </w:r>
      <w:r w:rsidR="0083352C" w:rsidRPr="006B4656">
        <w:t xml:space="preserve">povinna </w:t>
      </w:r>
      <w:r w:rsidR="00A578C8" w:rsidRPr="006B4656">
        <w:t xml:space="preserve">zveřejňovat na svých internetových stránkách podle jiného právního předpisu </w:t>
      </w:r>
      <w:r w:rsidR="00A578C8" w:rsidRPr="00BB43F7">
        <w:rPr>
          <w:b/>
        </w:rPr>
        <w:t>v rámci výkonu působnosti v oblasti veřejné správy</w:t>
      </w:r>
      <w:r w:rsidR="00A578C8" w:rsidRPr="006B4656">
        <w:t xml:space="preserve"> na úseku školství, vědy, výzkumu, vývoje, inovací, jiné tvůrčí činnosti a péče o děti a mládež nebo podle zákona o svobodném přístupu k</w:t>
      </w:r>
      <w:r w:rsidR="00BB43F7">
        <w:t> </w:t>
      </w:r>
      <w:r w:rsidR="00A578C8" w:rsidRPr="006B4656">
        <w:t>informacím</w:t>
      </w:r>
      <w:r w:rsidR="00BB43F7">
        <w:t xml:space="preserve"> (konkrétní příklady jsou uvedeny dále v</w:t>
      </w:r>
      <w:r w:rsidR="001E77E1">
        <w:t> </w:t>
      </w:r>
      <w:r w:rsidR="00BB43F7">
        <w:t>textu)</w:t>
      </w:r>
      <w:r w:rsidR="002131D3" w:rsidRPr="006B4656">
        <w:t>.</w:t>
      </w:r>
      <w:r w:rsidR="002131D3" w:rsidRPr="00506417">
        <w:t xml:space="preserve"> </w:t>
      </w:r>
    </w:p>
    <w:p w:rsidR="0083352C" w:rsidRDefault="0083352C" w:rsidP="00E2526C">
      <w:pPr>
        <w:jc w:val="both"/>
      </w:pPr>
      <w:r w:rsidRPr="00506417">
        <w:t>Upozorňujeme, že jiné povinné subjekty, jako je např. stát, územní samosprávné celky, právnická osoba zřízená zákonem či dobrovolný svazek obcí</w:t>
      </w:r>
      <w:r w:rsidR="0051771A" w:rsidRPr="00506417">
        <w:t>,</w:t>
      </w:r>
      <w:r w:rsidRPr="00506417">
        <w:t xml:space="preserve"> </w:t>
      </w:r>
      <w:r w:rsidR="0051771A" w:rsidRPr="00506417">
        <w:t>zmíněné omezení nemají a musí tedy svoji povinnost plnit ve vztahu k veškerému obsahu svých internetových stránek.</w:t>
      </w:r>
      <w:r w:rsidR="00DF31B6" w:rsidRPr="00506417">
        <w:t xml:space="preserve"> Jakých konkrétních činností škol </w:t>
      </w:r>
      <w:r w:rsidR="00D67466" w:rsidRPr="00506417">
        <w:t xml:space="preserve">nebo školských zařízení </w:t>
      </w:r>
      <w:r w:rsidR="00DF31B6" w:rsidRPr="00506417">
        <w:t>se povinnosti týkají</w:t>
      </w:r>
      <w:r w:rsidR="00D67466" w:rsidRPr="00506417">
        <w:t>,</w:t>
      </w:r>
      <w:r w:rsidR="00DF31B6" w:rsidRPr="00506417">
        <w:t xml:space="preserve"> je uvedeno </w:t>
      </w:r>
      <w:r w:rsidR="00506417">
        <w:t>dále</w:t>
      </w:r>
      <w:r w:rsidR="00DF31B6" w:rsidRPr="00506417">
        <w:t>.</w:t>
      </w:r>
    </w:p>
    <w:p w:rsidR="00CB2046" w:rsidRDefault="007654D5" w:rsidP="00066A8D">
      <w:pPr>
        <w:pStyle w:val="Nadpis2"/>
        <w:spacing w:before="240"/>
      </w:pPr>
      <w:r>
        <w:rPr>
          <w:rFonts w:asciiTheme="minorHAnsi" w:hAnsiTheme="minorHAnsi"/>
          <w:sz w:val="28"/>
          <w:szCs w:val="28"/>
        </w:rPr>
        <w:t>Co znamená p</w:t>
      </w:r>
      <w:r w:rsidR="00140F46" w:rsidRPr="00140F46">
        <w:rPr>
          <w:rFonts w:asciiTheme="minorHAnsi" w:hAnsiTheme="minorHAnsi"/>
          <w:sz w:val="28"/>
          <w:szCs w:val="28"/>
        </w:rPr>
        <w:t>řístupnost</w:t>
      </w:r>
      <w:r>
        <w:rPr>
          <w:rFonts w:asciiTheme="minorHAnsi" w:hAnsiTheme="minorHAnsi"/>
          <w:sz w:val="28"/>
          <w:szCs w:val="28"/>
        </w:rPr>
        <w:t xml:space="preserve"> internetové stránky</w:t>
      </w:r>
    </w:p>
    <w:p w:rsidR="00140F46" w:rsidRDefault="00DF32FC" w:rsidP="00E2526C">
      <w:pPr>
        <w:jc w:val="both"/>
      </w:pPr>
      <w:r w:rsidRPr="00DF32FC">
        <w:t xml:space="preserve">Za přístupnou lze obecně považovat takovou </w:t>
      </w:r>
      <w:r w:rsidRPr="00506417">
        <w:t xml:space="preserve">internetovou stránku či mobilní aplikaci, kterou bude osoba se zdravotním postižením schopna i přes svůj zdravotní hendikep za pomocí </w:t>
      </w:r>
      <w:proofErr w:type="spellStart"/>
      <w:r w:rsidRPr="00506417">
        <w:t>asistivních</w:t>
      </w:r>
      <w:proofErr w:type="spellEnd"/>
      <w:r w:rsidRPr="00506417">
        <w:t xml:space="preserve"> technologií či specializovaných programů, které má k dispozici, efektivně používat</w:t>
      </w:r>
      <w:r w:rsidRPr="00DF32FC">
        <w:t>.</w:t>
      </w:r>
      <w:r w:rsidR="00915C26">
        <w:t xml:space="preserve"> </w:t>
      </w:r>
      <w:r w:rsidR="00C532DB">
        <w:t>Uvedeného bude dosaženo v případě, že budou</w:t>
      </w:r>
      <w:r w:rsidR="00915C26">
        <w:t xml:space="preserve"> internetové stránky a mobilní aplikace pro své uživatele vnímatelné, ovladatelné, srozumitelné a stabilní, </w:t>
      </w:r>
      <w:r w:rsidR="00C532DB">
        <w:t>a to na základě výše uvedené směrnice (EU)</w:t>
      </w:r>
      <w:r w:rsidR="00931E63">
        <w:t>.</w:t>
      </w:r>
      <w:r w:rsidR="0083352C" w:rsidRPr="0083352C">
        <w:t xml:space="preserve"> </w:t>
      </w:r>
      <w:r w:rsidR="0083352C">
        <w:t xml:space="preserve">Konkrétně zajištěním přístupnosti internetových stránek dojde </w:t>
      </w:r>
      <w:r w:rsidR="0083352C" w:rsidRPr="009D0F45">
        <w:t xml:space="preserve">např. </w:t>
      </w:r>
      <w:r w:rsidR="0083352C">
        <w:t xml:space="preserve">k </w:t>
      </w:r>
      <w:r w:rsidR="0083352C" w:rsidRPr="009D0F45">
        <w:t>možnost</w:t>
      </w:r>
      <w:r w:rsidR="0083352C">
        <w:t>i</w:t>
      </w:r>
      <w:r w:rsidR="0083352C" w:rsidRPr="009D0F45">
        <w:t xml:space="preserve"> zvětšit velikost písma, </w:t>
      </w:r>
      <w:r w:rsidR="0083352C">
        <w:t>veškerý netextový obsah bude opatřen textovými alternativami, bude umožněna</w:t>
      </w:r>
      <w:r w:rsidR="0083352C" w:rsidRPr="009D0F45">
        <w:t xml:space="preserve"> komunikace </w:t>
      </w:r>
      <w:r w:rsidR="0083352C">
        <w:t>internetové stránky</w:t>
      </w:r>
      <w:r w:rsidR="00151A5F">
        <w:t xml:space="preserve"> se </w:t>
      </w:r>
      <w:r w:rsidR="0083352C" w:rsidRPr="009D0F45">
        <w:t xml:space="preserve">čtečkou pro </w:t>
      </w:r>
      <w:r w:rsidR="0083352C">
        <w:t xml:space="preserve">zrakově postižené osoby, bude zajištěno </w:t>
      </w:r>
      <w:r w:rsidR="0083352C" w:rsidRPr="009D0F45">
        <w:t>dostatečné</w:t>
      </w:r>
      <w:r w:rsidR="0083352C">
        <w:t xml:space="preserve"> </w:t>
      </w:r>
      <w:r w:rsidR="0083352C" w:rsidRPr="009D0F45">
        <w:t>kon</w:t>
      </w:r>
      <w:r w:rsidR="00151A5F">
        <w:t>trastní rozlišení barev textu a </w:t>
      </w:r>
      <w:r w:rsidR="0083352C" w:rsidRPr="009D0F45">
        <w:t>pozadí stránky</w:t>
      </w:r>
      <w:r w:rsidR="0083352C">
        <w:t xml:space="preserve"> atd</w:t>
      </w:r>
      <w:r w:rsidR="0083352C" w:rsidRPr="009D0F45">
        <w:t>.</w:t>
      </w:r>
    </w:p>
    <w:p w:rsidR="008D2EC6" w:rsidRDefault="008D2EC6" w:rsidP="008D2EC6">
      <w:pPr>
        <w:jc w:val="both"/>
      </w:pPr>
      <w:r w:rsidRPr="00506417">
        <w:t>Obecně musí být informace a součásti uživatelského rozhraní prezentovány tak, aby je uživatelé byli schopni vnímat, všechny součásti uživatelského rozhraní a všechny navigační prvky ovladatelné, informace a ovládání uživatelského rozhraní srozumitelné</w:t>
      </w:r>
      <w:r>
        <w:t xml:space="preserve"> a obsah musí být dostatečně stabilní, aby</w:t>
      </w:r>
      <w:r w:rsidR="004201A8">
        <w:t> </w:t>
      </w:r>
      <w:r>
        <w:t>mohl být spolehlivě interpretován širokou škálou přístupových zařízení.</w:t>
      </w:r>
    </w:p>
    <w:p w:rsidR="00585868" w:rsidRDefault="0005167C" w:rsidP="00585868">
      <w:pPr>
        <w:jc w:val="both"/>
      </w:pPr>
      <w:r>
        <w:t>Ministerstvo vnitra připravilo v dané souvislosti „Metodický pokyn k zákonu o přístupnosti“, ve kterém jsou popsány obecné požadavky na přístupnost internetových stránek a mobilních aplikací, a to včetně požadavků harmonizované evropské normy k přístupnosti, který je zveřejněn na internetových stránkách Ministerstva vnitra</w:t>
      </w:r>
      <w:r w:rsidR="00384718">
        <w:t xml:space="preserve"> (</w:t>
      </w:r>
      <w:hyperlink r:id="rId8" w:history="1">
        <w:r w:rsidR="00140F46" w:rsidRPr="00D55AC6">
          <w:rPr>
            <w:rStyle w:val="Hypertextovodkaz"/>
          </w:rPr>
          <w:t>https://www.mvcr.cz/clanek/pristupnost-internetovych-stranek-a-mobilnich-aplikaci.aspx?q=Y2hudW09Nw%3d%3d</w:t>
        </w:r>
      </w:hyperlink>
      <w:r w:rsidR="00384718">
        <w:t>)</w:t>
      </w:r>
      <w:r>
        <w:t>.</w:t>
      </w:r>
      <w:r w:rsidR="00585868" w:rsidRPr="00585868">
        <w:t xml:space="preserve"> Metodika vychází z toho, že pro technické naplnění požadavků na přístupnost internetových stránek a mobilních aplikací se použije harmonizovaná norma EN 301 549 V2. 1.2 (2018-08) a mezinárodně uznávané standardy, zejména metodika </w:t>
      </w:r>
      <w:proofErr w:type="gramStart"/>
      <w:r w:rsidR="00585868" w:rsidRPr="00585868">
        <w:t>Web</w:t>
      </w:r>
      <w:proofErr w:type="gramEnd"/>
      <w:r w:rsidR="00585868" w:rsidRPr="00585868">
        <w:t xml:space="preserve"> </w:t>
      </w:r>
      <w:proofErr w:type="spellStart"/>
      <w:r w:rsidR="00585868" w:rsidRPr="00585868">
        <w:t>Content</w:t>
      </w:r>
      <w:proofErr w:type="spellEnd"/>
      <w:r w:rsidR="00585868" w:rsidRPr="00585868">
        <w:t xml:space="preserve"> </w:t>
      </w:r>
      <w:proofErr w:type="spellStart"/>
      <w:r w:rsidR="00585868" w:rsidRPr="00585868">
        <w:t>Accessibility</w:t>
      </w:r>
      <w:proofErr w:type="spellEnd"/>
      <w:r w:rsidR="00585868" w:rsidRPr="00585868">
        <w:t xml:space="preserve"> </w:t>
      </w:r>
      <w:proofErr w:type="spellStart"/>
      <w:r w:rsidR="00585868" w:rsidRPr="00585868">
        <w:t>Guidelines</w:t>
      </w:r>
      <w:proofErr w:type="spellEnd"/>
      <w:r w:rsidR="00585868" w:rsidRPr="00585868">
        <w:t xml:space="preserve"> (WCAG) 2.1, která vychází z metodiky WCAG 2.0.</w:t>
      </w:r>
    </w:p>
    <w:p w:rsidR="007654D5" w:rsidRDefault="007654D5" w:rsidP="00585868">
      <w:pPr>
        <w:jc w:val="both"/>
      </w:pPr>
      <w:r w:rsidRPr="00506417">
        <w:rPr>
          <w:b/>
        </w:rPr>
        <w:t xml:space="preserve">Nepředpokládáme, že by se ředitelé škol a školských zařízení případně rektoři nebo děkani vysokých škol seznamovali s detaily technických požadavků na internetové stránky. </w:t>
      </w:r>
      <w:r w:rsidR="00151A5F" w:rsidRPr="00506417">
        <w:rPr>
          <w:b/>
        </w:rPr>
        <w:t>Důležité bude, aby </w:t>
      </w:r>
      <w:r w:rsidRPr="00506417">
        <w:rPr>
          <w:b/>
        </w:rPr>
        <w:t>informaci o těchto požadavcích sdělovali dodavatelům jejich internetových stránek.</w:t>
      </w:r>
      <w:r w:rsidR="00506417">
        <w:rPr>
          <w:b/>
        </w:rPr>
        <w:t xml:space="preserve"> </w:t>
      </w:r>
      <w:r w:rsidR="00506417" w:rsidRPr="00506417">
        <w:t>P</w:t>
      </w:r>
      <w:r w:rsidR="00234A36" w:rsidRPr="00506417">
        <w:t>ro orientační kontrolu internetové stránky lze využít např</w:t>
      </w:r>
      <w:r w:rsidR="00234A36">
        <w:t xml:space="preserve">. online </w:t>
      </w:r>
      <w:proofErr w:type="spellStart"/>
      <w:r w:rsidR="00234A36">
        <w:t>check</w:t>
      </w:r>
      <w:proofErr w:type="spellEnd"/>
      <w:r w:rsidR="00234A36">
        <w:t xml:space="preserve"> nástroj dostupný na internetové stránce  </w:t>
      </w:r>
      <w:hyperlink r:id="rId9" w:history="1">
        <w:r w:rsidR="00234A36" w:rsidRPr="00636C35">
          <w:rPr>
            <w:rStyle w:val="Hypertextovodkaz"/>
          </w:rPr>
          <w:t>http://wave.webaim.org/</w:t>
        </w:r>
      </w:hyperlink>
      <w:r w:rsidR="00234A36">
        <w:t>. Tento nástroj lze používat na</w:t>
      </w:r>
      <w:r w:rsidR="002B22A5">
        <w:t> </w:t>
      </w:r>
      <w:r w:rsidR="00234A36">
        <w:t xml:space="preserve">testování a odhalování chyb, neboť Evropská komise zatím nestanovila žádný doporučený nástroj. Jakmile bude z její strany nějaký nástroj doporučen, bude dle vyjádření Ministerstva vnitra tato informace zveřejněna </w:t>
      </w:r>
      <w:r w:rsidR="002B22A5">
        <w:t>na stránkách Ministerstva vnitra v sekci „Přístupnost internetových stránek a mobilních aplikací“.</w:t>
      </w:r>
    </w:p>
    <w:p w:rsidR="00DF31B6" w:rsidRPr="00DF31B6" w:rsidRDefault="00DF31B6" w:rsidP="00E2526C">
      <w:pPr>
        <w:jc w:val="both"/>
      </w:pPr>
      <w:r w:rsidRPr="005A7170">
        <w:t xml:space="preserve">V závislosti na konkrétních podmínkách nastavení spolupráce, zajišťování a financování provozních výdajů </w:t>
      </w:r>
      <w:r w:rsidR="000D16ED" w:rsidRPr="005A7170">
        <w:t>týkající</w:t>
      </w:r>
      <w:r w:rsidR="00D65095" w:rsidRPr="005A7170">
        <w:t>ch</w:t>
      </w:r>
      <w:r w:rsidR="000D16ED" w:rsidRPr="005A7170">
        <w:t xml:space="preserve"> se internetových stránek </w:t>
      </w:r>
      <w:r w:rsidRPr="005A7170">
        <w:t xml:space="preserve">může škola </w:t>
      </w:r>
      <w:r w:rsidR="00D67466" w:rsidRPr="005A7170">
        <w:t xml:space="preserve">nebo školské zařízení </w:t>
      </w:r>
      <w:r w:rsidRPr="005A7170">
        <w:t>povinnosti podle zákona o přístupnosti internetových stránek a mobilních aplikací plnit ve spolupráci se zřizovatelem. Platí, že tzv. provozní výdaj</w:t>
      </w:r>
      <w:r w:rsidR="00D67466" w:rsidRPr="005A7170">
        <w:t>e škol a školských zařízení zajišťuje</w:t>
      </w:r>
      <w:r w:rsidRPr="005A7170">
        <w:t xml:space="preserve"> </w:t>
      </w:r>
      <w:r w:rsidR="00D67466" w:rsidRPr="005A7170">
        <w:t>zřizovatel (viz zejm. § 180 nebo 182 školského zákona).</w:t>
      </w:r>
    </w:p>
    <w:p w:rsidR="00140F46" w:rsidRDefault="007654D5" w:rsidP="00066A8D">
      <w:pPr>
        <w:pStyle w:val="Nadpis2"/>
        <w:spacing w:before="240"/>
      </w:pPr>
      <w:r w:rsidRPr="00140F46">
        <w:rPr>
          <w:rFonts w:asciiTheme="minorHAnsi" w:hAnsiTheme="minorHAnsi"/>
          <w:sz w:val="28"/>
          <w:szCs w:val="28"/>
        </w:rPr>
        <w:t>Z</w:t>
      </w:r>
      <w:r>
        <w:rPr>
          <w:rFonts w:asciiTheme="minorHAnsi" w:hAnsiTheme="minorHAnsi"/>
          <w:sz w:val="28"/>
          <w:szCs w:val="28"/>
        </w:rPr>
        <w:t>proštění povinnosti</w:t>
      </w:r>
    </w:p>
    <w:p w:rsidR="0005167C" w:rsidRDefault="00FB2C74" w:rsidP="00E2526C">
      <w:pPr>
        <w:jc w:val="both"/>
      </w:pPr>
      <w:r w:rsidRPr="00506417">
        <w:rPr>
          <w:b/>
        </w:rPr>
        <w:t>Vysoké školy, školy a školská zařízení</w:t>
      </w:r>
      <w:r w:rsidR="003800B6" w:rsidRPr="00506417">
        <w:rPr>
          <w:b/>
        </w:rPr>
        <w:t>, jako povinné subjekty,</w:t>
      </w:r>
      <w:r w:rsidRPr="00506417">
        <w:rPr>
          <w:b/>
        </w:rPr>
        <w:t xml:space="preserve"> mají povinnost zajistit přístupnost</w:t>
      </w:r>
      <w:r w:rsidR="007654D5" w:rsidRPr="00506417">
        <w:rPr>
          <w:b/>
        </w:rPr>
        <w:t xml:space="preserve"> výše uvedeného obsahu </w:t>
      </w:r>
      <w:r w:rsidRPr="00506417">
        <w:rPr>
          <w:b/>
        </w:rPr>
        <w:t>jím spravovaných internetových stránek a mobilní</w:t>
      </w:r>
      <w:r w:rsidR="0040451D" w:rsidRPr="00506417">
        <w:rPr>
          <w:b/>
        </w:rPr>
        <w:t>ch aplikací pouze v míře, která </w:t>
      </w:r>
      <w:r w:rsidRPr="00506417">
        <w:rPr>
          <w:b/>
        </w:rPr>
        <w:t>jim nezpůsobí nepřiměřenou zátěž.</w:t>
      </w:r>
      <w:r>
        <w:t xml:space="preserve"> </w:t>
      </w:r>
      <w:r w:rsidR="003800B6">
        <w:t>To, zda plnění uvedené povinnosti působí povinnému subjektu nepřiměřenou zátěž, si posoudí sám povinný subjekt. V rámci tohoto posouzení</w:t>
      </w:r>
      <w:r w:rsidR="00527B2A">
        <w:t xml:space="preserve"> si povinný subjekt zohlední</w:t>
      </w:r>
      <w:r w:rsidR="003800B6">
        <w:t xml:space="preserve"> </w:t>
      </w:r>
      <w:r w:rsidR="00A211BE">
        <w:t xml:space="preserve">svou </w:t>
      </w:r>
      <w:r w:rsidR="003800B6">
        <w:t xml:space="preserve">velikost, povahu, své zdroje a </w:t>
      </w:r>
      <w:r w:rsidR="00321D76" w:rsidRPr="00321D76">
        <w:t>své odhadované náklady a přínosy ve vztahu k</w:t>
      </w:r>
      <w:r w:rsidR="00D42868">
        <w:t> </w:t>
      </w:r>
      <w:r w:rsidR="00321D76" w:rsidRPr="00321D76">
        <w:t>očekávanému přínosu pro uživatele internetových stránek a mobilních aplikací</w:t>
      </w:r>
      <w:r w:rsidR="00321D76">
        <w:t>.</w:t>
      </w:r>
    </w:p>
    <w:p w:rsidR="00576A6C" w:rsidRPr="00506417" w:rsidRDefault="00D64B61" w:rsidP="00E2526C">
      <w:pPr>
        <w:jc w:val="both"/>
      </w:pPr>
      <w:r w:rsidRPr="00506417">
        <w:t xml:space="preserve">Z hlediska velikosti </w:t>
      </w:r>
      <w:r w:rsidR="00D50B6C" w:rsidRPr="00506417">
        <w:t xml:space="preserve">by při úvaze o své nepřiměřené zátěži měl povinný subjekt zohlednit, zda se např. nejedná o </w:t>
      </w:r>
      <w:r w:rsidR="00087878" w:rsidRPr="00506417">
        <w:t xml:space="preserve">základní školu s malým počtem tříd, u které lze předpokládat, že s ohledem na nízký počet </w:t>
      </w:r>
      <w:r w:rsidR="007654D5" w:rsidRPr="00506417">
        <w:t xml:space="preserve">uchazečů o vzdělání </w:t>
      </w:r>
      <w:r w:rsidR="00087878" w:rsidRPr="00506417">
        <w:t>a s tím související i nízký počet potenciálních uživatelů internetových stránek, by</w:t>
      </w:r>
      <w:r w:rsidR="00D42868" w:rsidRPr="00506417">
        <w:t> </w:t>
      </w:r>
      <w:r w:rsidR="00087878" w:rsidRPr="00506417">
        <w:t xml:space="preserve">případná změna koncepce internetových </w:t>
      </w:r>
      <w:r w:rsidR="0084402D" w:rsidRPr="00506417">
        <w:t xml:space="preserve">stránek </w:t>
      </w:r>
      <w:r w:rsidR="00087878" w:rsidRPr="00506417">
        <w:t xml:space="preserve">znamenala </w:t>
      </w:r>
      <w:r w:rsidR="00576A6C" w:rsidRPr="00506417">
        <w:t>pouze minimální přínos ve vztahu k zát</w:t>
      </w:r>
      <w:r w:rsidR="00D273D1" w:rsidRPr="00506417">
        <w:t>ěži plynoucí právě z této změny (tj. bude pouze malá pravděpodobnost, že škola bude takto upravené stránky potřebovat).</w:t>
      </w:r>
      <w:r w:rsidR="00E071A3" w:rsidRPr="00506417">
        <w:t xml:space="preserve"> </w:t>
      </w:r>
      <w:r w:rsidR="00576A6C" w:rsidRPr="00506417">
        <w:t xml:space="preserve">V případě </w:t>
      </w:r>
      <w:r w:rsidR="005332CB" w:rsidRPr="00506417">
        <w:t>zdrojů</w:t>
      </w:r>
      <w:r w:rsidR="00576A6C" w:rsidRPr="00506417">
        <w:t xml:space="preserve"> pak není myšlena pouze zátěž finanční, ale také zátěž organizační. Lze tak v tomto případě zohlednit finanční náklady na případnou změnu</w:t>
      </w:r>
      <w:r w:rsidR="00E071A3" w:rsidRPr="00506417">
        <w:t>,</w:t>
      </w:r>
      <w:r w:rsidR="00576A6C" w:rsidRPr="00506417">
        <w:t xml:space="preserve"> stejně jako počet </w:t>
      </w:r>
      <w:r w:rsidR="00E0090C" w:rsidRPr="00506417">
        <w:t>osob, které by na tuto změnu mu</w:t>
      </w:r>
      <w:r w:rsidR="00BB555D" w:rsidRPr="00506417">
        <w:t>sel povinný subjekt v rámci své činnosti vyčlenit</w:t>
      </w:r>
      <w:r w:rsidR="007654D5" w:rsidRPr="00506417">
        <w:t>, a to ve vztahu k rozpočtu a lidským zdrojům, které má daná instituce k dispozici.</w:t>
      </w:r>
      <w:r w:rsidR="001A7F28" w:rsidRPr="00506417">
        <w:t xml:space="preserve"> Z hlediska personálního zabezpečení je pak možné dospět k závěru, že v některých případech by</w:t>
      </w:r>
      <w:r w:rsidR="004201A8" w:rsidRPr="00506417">
        <w:t> </w:t>
      </w:r>
      <w:r w:rsidR="001A7F28" w:rsidRPr="00506417">
        <w:t xml:space="preserve">zároveň se změnou internetové stránky bylo nutno ohledně změn či případného odlišného přístupu </w:t>
      </w:r>
      <w:r w:rsidR="00BC3ED0" w:rsidRPr="00506417">
        <w:t>také</w:t>
      </w:r>
      <w:r w:rsidR="001A7F28" w:rsidRPr="00506417">
        <w:t xml:space="preserve"> </w:t>
      </w:r>
      <w:r w:rsidR="007E3260">
        <w:t>proškolit nebo jinak zvýšit kvalifikaci</w:t>
      </w:r>
      <w:r w:rsidR="007E3260" w:rsidRPr="00506417">
        <w:t xml:space="preserve"> </w:t>
      </w:r>
      <w:r w:rsidR="001A7F28" w:rsidRPr="00506417">
        <w:t>příslušného pracovníka povinného subjektu, který tyto internetové stránky má</w:t>
      </w:r>
      <w:r w:rsidR="004201A8" w:rsidRPr="00506417">
        <w:t> </w:t>
      </w:r>
      <w:r w:rsidR="001A7F28" w:rsidRPr="00506417">
        <w:t>na</w:t>
      </w:r>
      <w:r w:rsidR="004201A8" w:rsidRPr="00506417">
        <w:t> </w:t>
      </w:r>
      <w:r w:rsidR="001A7F28" w:rsidRPr="00506417">
        <w:t>starosti</w:t>
      </w:r>
      <w:r w:rsidR="007E3260">
        <w:t>, nebo najít jiného kvalifikovaného pracovníka</w:t>
      </w:r>
      <w:r w:rsidR="001A7F28" w:rsidRPr="00506417">
        <w:t xml:space="preserve">. </w:t>
      </w:r>
      <w:r w:rsidR="007E3260">
        <w:t>Toto</w:t>
      </w:r>
      <w:r w:rsidR="001A7F28" w:rsidRPr="00506417">
        <w:t xml:space="preserve"> by</w:t>
      </w:r>
      <w:r w:rsidR="00E071A3" w:rsidRPr="00506417">
        <w:t> </w:t>
      </w:r>
      <w:r w:rsidR="001A7F28" w:rsidRPr="00506417">
        <w:t xml:space="preserve">pak </w:t>
      </w:r>
      <w:r w:rsidR="007E3260" w:rsidRPr="00506417">
        <w:t>mohl</w:t>
      </w:r>
      <w:r w:rsidR="007E3260">
        <w:t>o</w:t>
      </w:r>
      <w:r w:rsidR="007E3260" w:rsidRPr="00506417">
        <w:t xml:space="preserve"> </w:t>
      </w:r>
      <w:r w:rsidR="001A7F28" w:rsidRPr="00506417">
        <w:t>znamena</w:t>
      </w:r>
      <w:r w:rsidR="0084402D" w:rsidRPr="00506417">
        <w:t>t</w:t>
      </w:r>
      <w:r w:rsidR="001A7F28" w:rsidRPr="00506417">
        <w:t xml:space="preserve"> nejen finanční zátěž, ale také značný zásah do samotné organizace činnosti povinného subjektu</w:t>
      </w:r>
      <w:r w:rsidR="0084402D" w:rsidRPr="00506417">
        <w:t xml:space="preserve"> a</w:t>
      </w:r>
      <w:r w:rsidR="00D42868" w:rsidRPr="00506417">
        <w:t> </w:t>
      </w:r>
      <w:r w:rsidR="0084402D" w:rsidRPr="00506417">
        <w:t xml:space="preserve">mohla by tak být označena </w:t>
      </w:r>
      <w:r w:rsidR="00BC3ED0" w:rsidRPr="00506417">
        <w:t>za</w:t>
      </w:r>
      <w:r w:rsidR="004201A8" w:rsidRPr="00506417">
        <w:t> </w:t>
      </w:r>
      <w:r w:rsidR="00D307ED" w:rsidRPr="00506417">
        <w:t>nepřiměřenou zátěž.</w:t>
      </w:r>
    </w:p>
    <w:p w:rsidR="00FD58FB" w:rsidRDefault="00BB555D" w:rsidP="00E2526C">
      <w:pPr>
        <w:jc w:val="both"/>
      </w:pPr>
      <w:r>
        <w:t xml:space="preserve">V rámci své úvahy by povinný subjekt měl </w:t>
      </w:r>
      <w:r w:rsidR="00BC3ED0">
        <w:t xml:space="preserve">zvláště celkově </w:t>
      </w:r>
      <w:r>
        <w:t xml:space="preserve">zohlednit, </w:t>
      </w:r>
      <w:r w:rsidR="00A462D6">
        <w:t>jak</w:t>
      </w:r>
      <w:r w:rsidR="00785191">
        <w:t>ý vliv</w:t>
      </w:r>
      <w:r w:rsidR="00E07989">
        <w:t> </w:t>
      </w:r>
      <w:r w:rsidR="00A462D6">
        <w:t xml:space="preserve">by </w:t>
      </w:r>
      <w:r w:rsidR="007D5762">
        <w:t>případn</w:t>
      </w:r>
      <w:r w:rsidR="00785191">
        <w:t>á změna koncepce internetových stránek měla</w:t>
      </w:r>
      <w:r w:rsidR="007D5762">
        <w:t xml:space="preserve"> </w:t>
      </w:r>
      <w:r w:rsidR="00785191">
        <w:t xml:space="preserve">na </w:t>
      </w:r>
      <w:r w:rsidR="007D5762">
        <w:t>samotn</w:t>
      </w:r>
      <w:r w:rsidR="00785191">
        <w:t>ou</w:t>
      </w:r>
      <w:r w:rsidR="007D5762">
        <w:t xml:space="preserve"> činnost </w:t>
      </w:r>
      <w:r w:rsidR="00E07989">
        <w:t>vysoké školy, školy či školského zařízení</w:t>
      </w:r>
      <w:r w:rsidR="00FD58FB">
        <w:t>.</w:t>
      </w:r>
      <w:r>
        <w:t xml:space="preserve"> </w:t>
      </w:r>
      <w:r w:rsidR="00840AA9">
        <w:t>Např. u z</w:t>
      </w:r>
      <w:r>
        <w:t>mě</w:t>
      </w:r>
      <w:r w:rsidR="00785191">
        <w:t>n</w:t>
      </w:r>
      <w:r w:rsidR="00840AA9">
        <w:t>y</w:t>
      </w:r>
      <w:r w:rsidR="00785191">
        <w:t xml:space="preserve">, která by </w:t>
      </w:r>
      <w:r w:rsidR="00840AA9">
        <w:t>znamenala</w:t>
      </w:r>
      <w:r w:rsidR="00785191">
        <w:t xml:space="preserve"> zásah </w:t>
      </w:r>
      <w:r w:rsidR="00840AA9">
        <w:t>v takové míře, že činnost povinného subjektu by v době přechodu na tuto novou koncepci internetových stránek byla pouze velmi obtížně řešitelná</w:t>
      </w:r>
      <w:r w:rsidR="008B4719">
        <w:t xml:space="preserve"> či</w:t>
      </w:r>
      <w:r w:rsidR="0040451D">
        <w:t> </w:t>
      </w:r>
      <w:r w:rsidR="008B4719">
        <w:t>by</w:t>
      </w:r>
      <w:r w:rsidR="0040451D">
        <w:t> </w:t>
      </w:r>
      <w:r w:rsidR="008B4719">
        <w:t xml:space="preserve">znamenala </w:t>
      </w:r>
      <w:r w:rsidR="0070560C">
        <w:t xml:space="preserve">takový </w:t>
      </w:r>
      <w:r w:rsidR="008B4719">
        <w:t>dopad</w:t>
      </w:r>
      <w:r w:rsidR="0070560C">
        <w:t xml:space="preserve"> na rozpočet povinného subjektu, že </w:t>
      </w:r>
      <w:r w:rsidR="009968B9">
        <w:t xml:space="preserve">by </w:t>
      </w:r>
      <w:r w:rsidR="0070560C">
        <w:t xml:space="preserve">jeho činnost byla </w:t>
      </w:r>
      <w:r w:rsidR="009968B9">
        <w:t>ohrožena</w:t>
      </w:r>
      <w:r w:rsidR="0040451D">
        <w:t>, by </w:t>
      </w:r>
      <w:r w:rsidR="00840AA9">
        <w:t>mohla být označena za nepřiměřenou zátěž.</w:t>
      </w:r>
    </w:p>
    <w:p w:rsidR="00DA56FA" w:rsidRPr="00DA56FA" w:rsidRDefault="005332CB" w:rsidP="00DA56FA">
      <w:pPr>
        <w:jc w:val="both"/>
      </w:pPr>
      <w:r>
        <w:t>Vše</w:t>
      </w:r>
      <w:r w:rsidR="00E07989">
        <w:t> </w:t>
      </w:r>
      <w:r w:rsidR="00840AA9">
        <w:t>výše uvedené, včetně zohlednění množství povinně zveřejňovaného obsahu, se</w:t>
      </w:r>
      <w:r w:rsidR="00E2526C">
        <w:t xml:space="preserve"> následně poměřuje</w:t>
      </w:r>
      <w:r>
        <w:t xml:space="preserve"> s přínosy pro potenciální </w:t>
      </w:r>
      <w:r w:rsidR="002A3D61">
        <w:t>uživatel</w:t>
      </w:r>
      <w:r>
        <w:t>e</w:t>
      </w:r>
      <w:r w:rsidR="002A3D61">
        <w:t xml:space="preserve"> </w:t>
      </w:r>
      <w:r>
        <w:t>daných</w:t>
      </w:r>
      <w:r w:rsidR="00D95000">
        <w:t xml:space="preserve"> internetových</w:t>
      </w:r>
      <w:r w:rsidR="002A3D61">
        <w:t xml:space="preserve"> stránek</w:t>
      </w:r>
      <w:r>
        <w:t xml:space="preserve"> či</w:t>
      </w:r>
      <w:r w:rsidR="00E07989">
        <w:t> </w:t>
      </w:r>
      <w:r w:rsidR="00681ABA">
        <w:t xml:space="preserve">mobilních aplikací. Těmito potenciálními uživateli se myslí </w:t>
      </w:r>
      <w:r w:rsidR="00681ABA" w:rsidRPr="00681ABA">
        <w:t>zejména osoby se zdravotním postižením.</w:t>
      </w:r>
      <w:r>
        <w:t xml:space="preserve"> </w:t>
      </w:r>
      <w:r w:rsidR="00E071A3">
        <w:t>C</w:t>
      </w:r>
      <w:r w:rsidR="0054677C">
        <w:t xml:space="preserve">elkově </w:t>
      </w:r>
      <w:r w:rsidR="00E071A3">
        <w:t xml:space="preserve">je </w:t>
      </w:r>
      <w:r w:rsidR="00D946E8">
        <w:t xml:space="preserve">třeba </w:t>
      </w:r>
      <w:r w:rsidR="0054677C">
        <w:t>mít na</w:t>
      </w:r>
      <w:r w:rsidR="002B22A5">
        <w:t> </w:t>
      </w:r>
      <w:r w:rsidR="0054677C">
        <w:t xml:space="preserve">paměti účel zajištění </w:t>
      </w:r>
      <w:r w:rsidR="00DA56FA" w:rsidRPr="00DA56FA">
        <w:t>přístupno</w:t>
      </w:r>
      <w:r w:rsidR="0054677C">
        <w:t>sti internetových stránek a mobilních aplikací, tedy to, aby mohl potenciální uživatel</w:t>
      </w:r>
      <w:r w:rsidR="00DA56FA" w:rsidRPr="00DA56FA">
        <w:t xml:space="preserve"> i přes svůj </w:t>
      </w:r>
      <w:r w:rsidR="0054677C">
        <w:t xml:space="preserve">případný </w:t>
      </w:r>
      <w:r w:rsidR="00DA56FA" w:rsidRPr="00DA56FA">
        <w:t xml:space="preserve">zdravotní hendikep za pomocí </w:t>
      </w:r>
      <w:proofErr w:type="spellStart"/>
      <w:r w:rsidR="00DA56FA" w:rsidRPr="00DA56FA">
        <w:t>as</w:t>
      </w:r>
      <w:r w:rsidR="002B22A5">
        <w:t>istivních</w:t>
      </w:r>
      <w:proofErr w:type="spellEnd"/>
      <w:r w:rsidR="002B22A5">
        <w:t xml:space="preserve"> technologií či </w:t>
      </w:r>
      <w:r w:rsidR="00DA56FA" w:rsidRPr="00DA56FA">
        <w:t>specializovaných programů, které má k dispozici,</w:t>
      </w:r>
      <w:r w:rsidR="004201A8">
        <w:t xml:space="preserve"> tyto internetová stránky či </w:t>
      </w:r>
      <w:r w:rsidR="0054677C">
        <w:t xml:space="preserve">mobilní aplikace </w:t>
      </w:r>
      <w:r w:rsidR="00DA56FA" w:rsidRPr="00DA56FA">
        <w:t>efektivně používat</w:t>
      </w:r>
      <w:r w:rsidR="0054677C">
        <w:t xml:space="preserve"> a byly tedy pro něj </w:t>
      </w:r>
      <w:r w:rsidR="0054677C" w:rsidRPr="0054677C">
        <w:t>vnímatelné, ovlad</w:t>
      </w:r>
      <w:r w:rsidR="004201A8">
        <w:t>atelné, srozumitelné a </w:t>
      </w:r>
      <w:r w:rsidR="0054677C">
        <w:t>stabilní</w:t>
      </w:r>
      <w:r w:rsidR="00DA56FA" w:rsidRPr="00DA56FA">
        <w:t>.</w:t>
      </w:r>
    </w:p>
    <w:p w:rsidR="0061087E" w:rsidRPr="00506417" w:rsidRDefault="0061087E" w:rsidP="00D07BAD">
      <w:pPr>
        <w:jc w:val="both"/>
      </w:pPr>
      <w:r w:rsidRPr="00506417">
        <w:t xml:space="preserve">Výjimku o nepřiměřenosti lze také z uvedených důvodů aplikovat pouze na určitý obsah internetové stránky či mobilní aplikace. </w:t>
      </w:r>
      <w:r w:rsidR="004E5231" w:rsidRPr="00506417">
        <w:t xml:space="preserve">Při aplikaci uvedené výjimky o nepřiměřenosti je však stále nutno </w:t>
      </w:r>
      <w:r w:rsidRPr="00506417">
        <w:t>obsah internetových stránek a</w:t>
      </w:r>
      <w:r w:rsidR="00D42868" w:rsidRPr="00506417">
        <w:t> </w:t>
      </w:r>
      <w:r w:rsidRPr="00506417">
        <w:t>mobilních aplikací zpřístupnit v co nejvyšší možné míře</w:t>
      </w:r>
      <w:r w:rsidR="004E5231" w:rsidRPr="00506417">
        <w:t>. Pokud však na určitý obsah nebude možné aplikovat</w:t>
      </w:r>
      <w:r w:rsidR="00D42868" w:rsidRPr="00506417">
        <w:t xml:space="preserve"> výjimku o </w:t>
      </w:r>
      <w:r w:rsidRPr="00506417">
        <w:t>nepřiměřenosti</w:t>
      </w:r>
      <w:r w:rsidR="004E5231" w:rsidRPr="00506417">
        <w:t xml:space="preserve"> vůbec</w:t>
      </w:r>
      <w:r w:rsidR="00D42868" w:rsidRPr="00506417">
        <w:t>,</w:t>
      </w:r>
      <w:r w:rsidRPr="00506417">
        <w:t xml:space="preserve"> </w:t>
      </w:r>
      <w:r w:rsidR="004E5231" w:rsidRPr="00506417">
        <w:t xml:space="preserve">pak je nutné </w:t>
      </w:r>
      <w:r w:rsidRPr="00506417">
        <w:t xml:space="preserve">zpřístupnit </w:t>
      </w:r>
      <w:r w:rsidR="004E5231" w:rsidRPr="00506417">
        <w:t xml:space="preserve">tento obsah </w:t>
      </w:r>
      <w:r w:rsidRPr="00506417">
        <w:t>v</w:t>
      </w:r>
      <w:r w:rsidR="00D42868" w:rsidRPr="00506417">
        <w:t> </w:t>
      </w:r>
      <w:r w:rsidRPr="00506417">
        <w:t>plné</w:t>
      </w:r>
      <w:r w:rsidR="00D42868" w:rsidRPr="00506417">
        <w:t>m rozsahu</w:t>
      </w:r>
      <w:r w:rsidR="00BB43F7">
        <w:t>, ve kterém to zákon po subjektu vyžaduje</w:t>
      </w:r>
      <w:r w:rsidR="004E5231" w:rsidRPr="00506417">
        <w:t>.</w:t>
      </w:r>
    </w:p>
    <w:p w:rsidR="007654D5" w:rsidRDefault="007654D5" w:rsidP="00D07BAD">
      <w:pPr>
        <w:jc w:val="both"/>
      </w:pPr>
      <w:r w:rsidRPr="00506417">
        <w:t xml:space="preserve">Záležet bude také na tom, jestli povinný subjekt vytváří zcela nové </w:t>
      </w:r>
      <w:r w:rsidR="00435A09" w:rsidRPr="00506417">
        <w:t xml:space="preserve">internetové </w:t>
      </w:r>
      <w:r w:rsidRPr="00506417">
        <w:t>stránky.</w:t>
      </w:r>
      <w:r>
        <w:t xml:space="preserve"> V rámci procesu takové přípravy bude typicky jednodušší zakomponovat požadavky </w:t>
      </w:r>
      <w:r w:rsidR="00BB43F7">
        <w:t xml:space="preserve">nového </w:t>
      </w:r>
      <w:proofErr w:type="gramStart"/>
      <w:r>
        <w:t>zákona</w:t>
      </w:r>
      <w:r w:rsidR="0040451D">
        <w:t>,</w:t>
      </w:r>
      <w:proofErr w:type="gramEnd"/>
      <w:r w:rsidR="0040451D">
        <w:t xml:space="preserve"> než </w:t>
      </w:r>
      <w:r w:rsidR="00435A09">
        <w:t>v případě, kdy by se vynakládal</w:t>
      </w:r>
      <w:r w:rsidR="00E27AAF">
        <w:t>y</w:t>
      </w:r>
      <w:r w:rsidR="00435A09">
        <w:t xml:space="preserve"> zdroje na přebudování aktuální podoby internetových stránek.</w:t>
      </w:r>
    </w:p>
    <w:p w:rsidR="00D95000" w:rsidRDefault="009D0F45" w:rsidP="00E2526C">
      <w:pPr>
        <w:jc w:val="both"/>
      </w:pPr>
      <w:r>
        <w:t>V</w:t>
      </w:r>
      <w:r w:rsidR="00D95000">
        <w:t> </w:t>
      </w:r>
      <w:r w:rsidR="00D95000" w:rsidRPr="00506417">
        <w:t>případě, že povinný subjekt dojde k závěru, že mu plnění uvedené povinnosti způsobuje nepřiměřenou zátěž, a je-li to možné, musí poskytnout uživateli jím spravovaných internetových stránek nebo mobilních aplikací náhradní řešení</w:t>
      </w:r>
      <w:r w:rsidR="00A462D6" w:rsidRPr="00506417">
        <w:t xml:space="preserve"> pro využití jejich obsahu</w:t>
      </w:r>
      <w:r w:rsidR="00E071A3" w:rsidRPr="00506417">
        <w:t xml:space="preserve"> (viz dále)</w:t>
      </w:r>
      <w:r w:rsidR="00D95000" w:rsidRPr="00506417">
        <w:t>.</w:t>
      </w:r>
      <w:r w:rsidR="00071A4E" w:rsidRPr="00506417">
        <w:t xml:space="preserve"> Je však nutno zdůraznit, že</w:t>
      </w:r>
      <w:r w:rsidR="00D42868" w:rsidRPr="00506417">
        <w:t> </w:t>
      </w:r>
      <w:r w:rsidR="00071A4E" w:rsidRPr="00506417">
        <w:t>uvedené náhradní řešení je pouze řešením dočasným a povinný subjekt by se měl i nadále pokoušet o</w:t>
      </w:r>
      <w:r w:rsidR="00D42868" w:rsidRPr="00506417">
        <w:t> </w:t>
      </w:r>
      <w:r w:rsidR="00071A4E" w:rsidRPr="00506417">
        <w:t>možnost zpřístupnění jím spravovaných internetových stránek a mobilních aplikací. V případě, že</w:t>
      </w:r>
      <w:r w:rsidR="00D42868" w:rsidRPr="00506417">
        <w:t> </w:t>
      </w:r>
      <w:r w:rsidR="00071A4E" w:rsidRPr="00506417">
        <w:t>tedy důvod</w:t>
      </w:r>
      <w:r w:rsidR="009705E0" w:rsidRPr="00506417">
        <w:t>,</w:t>
      </w:r>
      <w:r w:rsidR="00071A4E" w:rsidRPr="00506417">
        <w:t xml:space="preserve"> kvůli kterému povinný subjekt</w:t>
      </w:r>
      <w:r w:rsidR="00071A4E">
        <w:t xml:space="preserve"> došel k závěru,</w:t>
      </w:r>
      <w:r w:rsidR="009705E0" w:rsidRPr="009705E0">
        <w:t xml:space="preserve"> že mu plnění uvedené povinnosti způsobuje nepřiměřenou zátěž</w:t>
      </w:r>
      <w:r w:rsidR="009705E0">
        <w:t>, odpadl, je povinen tuto povinnost splnit.</w:t>
      </w:r>
    </w:p>
    <w:p w:rsidR="009D0F45" w:rsidRPr="009D0F45" w:rsidRDefault="009D0F45" w:rsidP="00066A8D">
      <w:pPr>
        <w:pStyle w:val="Nadpis2"/>
        <w:spacing w:before="240"/>
        <w:rPr>
          <w:rFonts w:asciiTheme="minorHAnsi" w:hAnsiTheme="minorHAnsi"/>
          <w:sz w:val="28"/>
          <w:szCs w:val="28"/>
        </w:rPr>
      </w:pPr>
      <w:r w:rsidRPr="009D0F45">
        <w:rPr>
          <w:rFonts w:asciiTheme="minorHAnsi" w:hAnsiTheme="minorHAnsi"/>
          <w:sz w:val="28"/>
          <w:szCs w:val="28"/>
        </w:rPr>
        <w:t>Prohlášení o přístupnosti</w:t>
      </w:r>
    </w:p>
    <w:p w:rsidR="0005167C" w:rsidRDefault="007D5762" w:rsidP="00E2526C">
      <w:pPr>
        <w:jc w:val="both"/>
      </w:pPr>
      <w:r>
        <w:t xml:space="preserve">Bez ohledu na to, zda povinný subjekt předmětnou povinnost splnil či </w:t>
      </w:r>
      <w:r w:rsidR="00F12459">
        <w:t xml:space="preserve">naopak </w:t>
      </w:r>
      <w:r w:rsidR="00A211BE">
        <w:t>došel</w:t>
      </w:r>
      <w:r w:rsidR="00F12459">
        <w:t xml:space="preserve"> k závěru, že</w:t>
      </w:r>
      <w:r w:rsidR="0040451D">
        <w:t> </w:t>
      </w:r>
      <w:r w:rsidR="00F12459">
        <w:t>by</w:t>
      </w:r>
      <w:r w:rsidR="0040451D">
        <w:t> </w:t>
      </w:r>
      <w:r w:rsidR="00F12459">
        <w:t>mu</w:t>
      </w:r>
      <w:r w:rsidR="0040451D">
        <w:t> </w:t>
      </w:r>
      <w:r w:rsidR="005D7821">
        <w:t>její splnění</w:t>
      </w:r>
      <w:r w:rsidR="00F12459">
        <w:t xml:space="preserve"> způsobilo nepřiměřenou zátěž</w:t>
      </w:r>
      <w:r>
        <w:t xml:space="preserve">, je </w:t>
      </w:r>
      <w:r w:rsidR="00E2526C">
        <w:t xml:space="preserve">dále také </w:t>
      </w:r>
      <w:r w:rsidRPr="001E77E1">
        <w:rPr>
          <w:b/>
        </w:rPr>
        <w:t>povinen na</w:t>
      </w:r>
      <w:r w:rsidR="00E07989" w:rsidRPr="001E77E1">
        <w:rPr>
          <w:b/>
        </w:rPr>
        <w:t> </w:t>
      </w:r>
      <w:r w:rsidRPr="001E77E1">
        <w:rPr>
          <w:b/>
        </w:rPr>
        <w:t>všech jím spravovaných internetových stránkách v přístupném formátu zveřejnit tzv. Prohlášení o</w:t>
      </w:r>
      <w:r w:rsidR="00E07989" w:rsidRPr="001E77E1">
        <w:rPr>
          <w:b/>
        </w:rPr>
        <w:t> </w:t>
      </w:r>
      <w:r w:rsidRPr="001E77E1">
        <w:rPr>
          <w:b/>
        </w:rPr>
        <w:t>přístupnosti</w:t>
      </w:r>
      <w:r w:rsidRPr="00506417">
        <w:t xml:space="preserve"> týkající se</w:t>
      </w:r>
      <w:r w:rsidR="004201A8" w:rsidRPr="00506417">
        <w:t> </w:t>
      </w:r>
      <w:r w:rsidRPr="00506417">
        <w:t>souladu jejich internetových stránek a mobilních aplikací s požadavky na</w:t>
      </w:r>
      <w:r w:rsidR="00E07989" w:rsidRPr="00506417">
        <w:t> </w:t>
      </w:r>
      <w:r w:rsidRPr="00506417">
        <w:t>ně</w:t>
      </w:r>
      <w:r w:rsidR="00E07989" w:rsidRPr="00506417">
        <w:t> </w:t>
      </w:r>
      <w:r w:rsidRPr="00506417">
        <w:t>kladenými.</w:t>
      </w:r>
      <w:r w:rsidR="00A90792" w:rsidRPr="00506417">
        <w:t xml:space="preserve"> V uvedeném </w:t>
      </w:r>
      <w:r w:rsidR="005E4609" w:rsidRPr="00506417">
        <w:t xml:space="preserve">prohlášení je především uveden rozsah, v jakém </w:t>
      </w:r>
      <w:r w:rsidR="00E07989" w:rsidRPr="00506417">
        <w:t>internetová stránka či </w:t>
      </w:r>
      <w:r w:rsidR="005E4609" w:rsidRPr="00506417">
        <w:t xml:space="preserve">mobilní aplikace splňuje stanovené požadavky a v případě, že je nesplňuje, je nutné uvedení důvodu a náhradního řešení. </w:t>
      </w:r>
      <w:r w:rsidR="000857A7" w:rsidRPr="00506417">
        <w:t>Tímto náhradním řešením může být např. uvedení telefonického</w:t>
      </w:r>
      <w:r w:rsidR="000857A7">
        <w:t xml:space="preserve"> kontaktu, avšak</w:t>
      </w:r>
      <w:r w:rsidR="0040451D">
        <w:t> </w:t>
      </w:r>
      <w:r w:rsidR="000857A7">
        <w:t>je</w:t>
      </w:r>
      <w:r w:rsidR="002B22A5">
        <w:t> </w:t>
      </w:r>
      <w:r w:rsidR="000857A7">
        <w:t>na</w:t>
      </w:r>
      <w:r w:rsidR="002B22A5">
        <w:t> </w:t>
      </w:r>
      <w:r w:rsidR="000857A7">
        <w:t xml:space="preserve">povinném subjektu, jaké náhradní řešení zvolí. </w:t>
      </w:r>
      <w:r w:rsidR="00E27AAF" w:rsidRPr="001E77E1">
        <w:rPr>
          <w:b/>
        </w:rPr>
        <w:t>Pokud povinný subjekt využívá výjimku o nepřiměřené zátěži, musí rozvést, jaké důvody opravňují její použití</w:t>
      </w:r>
      <w:r w:rsidR="00E27AAF">
        <w:t xml:space="preserve">. </w:t>
      </w:r>
      <w:r w:rsidR="000857A7">
        <w:t xml:space="preserve">Zároveň také upozorňujeme, že </w:t>
      </w:r>
      <w:r w:rsidR="003F211E">
        <w:t xml:space="preserve">jako </w:t>
      </w:r>
      <w:r w:rsidR="005E4609">
        <w:t xml:space="preserve">důvod </w:t>
      </w:r>
      <w:r w:rsidR="00E2526C">
        <w:t>pro</w:t>
      </w:r>
      <w:r w:rsidR="0040451D">
        <w:t> </w:t>
      </w:r>
      <w:r w:rsidR="00E2526C">
        <w:t>nesplnění povinnosti není</w:t>
      </w:r>
      <w:r w:rsidR="005E4609">
        <w:t xml:space="preserve"> přípustné nedostatečné určení priorit, nedo</w:t>
      </w:r>
      <w:r w:rsidR="0040451D">
        <w:t>statek času, znalostí či </w:t>
      </w:r>
      <w:r w:rsidR="002B22A5">
        <w:t>to,</w:t>
      </w:r>
      <w:r w:rsidR="0040451D">
        <w:t> </w:t>
      </w:r>
      <w:r w:rsidR="002B22A5">
        <w:t>že </w:t>
      </w:r>
      <w:r w:rsidR="005E4609">
        <w:t>nebyly pořízeny nebo vyvinuty příslušné softwarové systémy.</w:t>
      </w:r>
    </w:p>
    <w:p w:rsidR="000857A7" w:rsidRDefault="000857A7" w:rsidP="00E2526C">
      <w:pPr>
        <w:jc w:val="both"/>
      </w:pPr>
      <w:r>
        <w:t xml:space="preserve">Jak již bylo řečeno výše, vysoká škola, </w:t>
      </w:r>
      <w:r w:rsidRPr="00384718">
        <w:t>škola a školské zařízení m</w:t>
      </w:r>
      <w:r>
        <w:t>ají</w:t>
      </w:r>
      <w:r w:rsidRPr="00384718">
        <w:t xml:space="preserve"> povinnost</w:t>
      </w:r>
      <w:r>
        <w:t xml:space="preserve"> zveřejnit pouze určitý obsah a v následném Prohlášení o přístupnosti tak není nutné zmiňovat obsah, na který se uvedená povinnost nevztahuje.</w:t>
      </w:r>
    </w:p>
    <w:p w:rsidR="00506417" w:rsidRPr="00140F46" w:rsidRDefault="00506417" w:rsidP="00506417">
      <w:pPr>
        <w:pStyle w:val="Nadpis2"/>
        <w:spacing w:before="240"/>
        <w:rPr>
          <w:rFonts w:asciiTheme="minorHAnsi" w:hAnsiTheme="minorHAnsi"/>
          <w:sz w:val="28"/>
          <w:szCs w:val="28"/>
        </w:rPr>
      </w:pPr>
      <w:r w:rsidRPr="00140F46">
        <w:rPr>
          <w:rFonts w:asciiTheme="minorHAnsi" w:hAnsiTheme="minorHAnsi"/>
          <w:sz w:val="28"/>
          <w:szCs w:val="28"/>
        </w:rPr>
        <w:t>Termín</w:t>
      </w:r>
    </w:p>
    <w:p w:rsidR="00506417" w:rsidRDefault="00506417" w:rsidP="00506417">
      <w:pPr>
        <w:jc w:val="both"/>
      </w:pPr>
      <w:r w:rsidRPr="006B6242">
        <w:t xml:space="preserve">Zákon o přístupnosti </w:t>
      </w:r>
      <w:r>
        <w:t xml:space="preserve">stanovuje, že doba pro splnění zmíněné povinnosti je závislá na dni zveřejnění internetové stránky. V případě, že nové internetové stránky byly zveřejněné od 9. 4. 2019, měly tyto stránky požadavky splňovat od 23. 9. 2019. V případě, že však stávající internetové stránky byly zveřejněné před dnem 9. 4. 2019, mají tuto lhůtu delší a </w:t>
      </w:r>
      <w:r w:rsidRPr="00C858A4">
        <w:t xml:space="preserve">musí uvedené požadavky splňovat </w:t>
      </w:r>
      <w:r>
        <w:t xml:space="preserve">od 23. 9. 2020. Na mobilní aplikace se pravidla použijí od 23. 6. 2021. </w:t>
      </w:r>
    </w:p>
    <w:p w:rsidR="00506417" w:rsidRDefault="00506417" w:rsidP="00506417">
      <w:pPr>
        <w:jc w:val="both"/>
      </w:pPr>
      <w:r>
        <w:t xml:space="preserve">Upozorňujeme, že zákon o přístupnosti </w:t>
      </w:r>
      <w:r w:rsidRPr="006C6284">
        <w:t>se nevztahuje</w:t>
      </w:r>
      <w:r>
        <w:t xml:space="preserve"> na obsah internetových stránek, které nejsou určeny veřejnosti (intranet), pokud byly zveřejněny pro jejich uživatele před 23. 9. 2019 a pokud neprojdou podstatnou změnou.</w:t>
      </w:r>
    </w:p>
    <w:p w:rsidR="004201A8" w:rsidRDefault="004201A8" w:rsidP="00066A8D">
      <w:pPr>
        <w:pStyle w:val="Nadpis2"/>
        <w:spacing w:before="240"/>
      </w:pPr>
      <w:r w:rsidRPr="004201A8">
        <w:rPr>
          <w:rFonts w:asciiTheme="minorHAnsi" w:hAnsiTheme="minorHAnsi"/>
          <w:sz w:val="28"/>
          <w:szCs w:val="28"/>
        </w:rPr>
        <w:t>Kontrola</w:t>
      </w:r>
    </w:p>
    <w:p w:rsidR="00C52249" w:rsidRDefault="005E4609" w:rsidP="00E2526C">
      <w:pPr>
        <w:jc w:val="both"/>
      </w:pPr>
      <w:r>
        <w:t>Ministerstvo vnitra má od 1. 1. 2020 povinnost vykonávat kontroly, zda</w:t>
      </w:r>
      <w:r w:rsidR="00E07989">
        <w:t> </w:t>
      </w:r>
      <w:r>
        <w:t>povinné subjekty dodržují povinnosti stanovené zákonem o přístupnosti.</w:t>
      </w:r>
      <w:r w:rsidR="00E071A3">
        <w:t xml:space="preserve"> Tento zákon umožňuje</w:t>
      </w:r>
      <w:r w:rsidR="00B2196A">
        <w:t>, aby Ministerstvo vnitra v případě zjištění nedostatků uložilo povinnému subjektu, aby přijal opatření k nápravě.  Lhůtu pro přijetí tohoto opatření také stanoví Ministerstvo vnitra, avšak ta</w:t>
      </w:r>
      <w:r w:rsidR="00BA3E1C">
        <w:t>to lhůta</w:t>
      </w:r>
      <w:r w:rsidR="00B2196A">
        <w:t xml:space="preserve"> nesmí být podle zákona delší, než 6 měsíců.</w:t>
      </w:r>
    </w:p>
    <w:p w:rsidR="00DF32FC" w:rsidRDefault="006D0D89" w:rsidP="00E2526C">
      <w:pPr>
        <w:jc w:val="both"/>
      </w:pPr>
      <w:r>
        <w:t xml:space="preserve">Pro více informací odkazujeme na internetové stránky Ministerstva vnitra: </w:t>
      </w:r>
      <w:hyperlink r:id="rId10" w:history="1">
        <w:r w:rsidRPr="00CB0C93">
          <w:rPr>
            <w:rStyle w:val="Hypertextovodkaz"/>
          </w:rPr>
          <w:t>https://www.mvcr.cz/clanek/pristupnost-internetovych-stranek-a-mobilnich-aplikaci.aspx</w:t>
        </w:r>
      </w:hyperlink>
    </w:p>
    <w:p w:rsidR="006D0D89" w:rsidRPr="00DF32FC" w:rsidRDefault="006D0D89" w:rsidP="004201A8">
      <w:pPr>
        <w:jc w:val="both"/>
      </w:pPr>
      <w:r>
        <w:t xml:space="preserve">V případě potřeby je možné se také obrátit na odbor </w:t>
      </w:r>
      <w:proofErr w:type="spellStart"/>
      <w:r>
        <w:t>eGovernmentu</w:t>
      </w:r>
      <w:proofErr w:type="spellEnd"/>
      <w:r w:rsidR="00E2526C">
        <w:t xml:space="preserve"> Ministerstva vnitra</w:t>
      </w:r>
      <w:r>
        <w:t xml:space="preserve">. </w:t>
      </w:r>
      <w:r w:rsidR="00E07989">
        <w:t>Kontaktní </w:t>
      </w:r>
      <w:r>
        <w:t>e</w:t>
      </w:r>
      <w:r w:rsidR="00E07989">
        <w:noBreakHyphen/>
      </w:r>
      <w:r>
        <w:t xml:space="preserve">mail: </w:t>
      </w:r>
      <w:hyperlink r:id="rId11" w:history="1">
        <w:r w:rsidR="0003160B" w:rsidRPr="00CB0C93">
          <w:rPr>
            <w:rStyle w:val="Hypertextovodkaz"/>
          </w:rPr>
          <w:t>pristupnost@mvcr.cz</w:t>
        </w:r>
      </w:hyperlink>
    </w:p>
    <w:p w:rsidR="005B1577" w:rsidRPr="006B4656" w:rsidRDefault="005B1577" w:rsidP="005B1577">
      <w:pPr>
        <w:pStyle w:val="Nadpis2"/>
        <w:spacing w:before="240"/>
        <w:rPr>
          <w:rFonts w:asciiTheme="minorHAnsi" w:hAnsiTheme="minorHAnsi"/>
          <w:sz w:val="28"/>
          <w:szCs w:val="28"/>
        </w:rPr>
      </w:pPr>
      <w:r w:rsidRPr="006B4656">
        <w:rPr>
          <w:rFonts w:asciiTheme="minorHAnsi" w:hAnsiTheme="minorHAnsi"/>
          <w:sz w:val="28"/>
          <w:szCs w:val="28"/>
        </w:rPr>
        <w:t>Sankce</w:t>
      </w:r>
    </w:p>
    <w:p w:rsidR="005B1577" w:rsidRDefault="005B1577" w:rsidP="005B1577">
      <w:pPr>
        <w:jc w:val="both"/>
      </w:pPr>
      <w:r w:rsidRPr="005B1577">
        <w:t>Zákon o přístupnosti při nesplnění povinnosti povinným subjektem nestanovuje žádné další sankce.</w:t>
      </w:r>
    </w:p>
    <w:p w:rsidR="00DF31B6" w:rsidRPr="00C87E7A" w:rsidRDefault="00C87E7A" w:rsidP="00C87E7A">
      <w:pPr>
        <w:pStyle w:val="Nadpis2"/>
        <w:spacing w:before="240"/>
        <w:rPr>
          <w:rFonts w:asciiTheme="minorHAnsi" w:hAnsiTheme="minorHAnsi"/>
          <w:sz w:val="28"/>
          <w:szCs w:val="28"/>
        </w:rPr>
      </w:pPr>
      <w:r w:rsidRPr="00C87E7A">
        <w:rPr>
          <w:rFonts w:asciiTheme="minorHAnsi" w:hAnsiTheme="minorHAnsi"/>
          <w:sz w:val="28"/>
          <w:szCs w:val="28"/>
        </w:rPr>
        <w:t>Konkrétní obsah</w:t>
      </w:r>
    </w:p>
    <w:p w:rsidR="00DF31B6" w:rsidRPr="005A7170" w:rsidRDefault="004D03BA" w:rsidP="00DF31B6">
      <w:pPr>
        <w:jc w:val="both"/>
      </w:pPr>
      <w:r w:rsidRPr="005B1577">
        <w:t xml:space="preserve">Kromě </w:t>
      </w:r>
      <w:r w:rsidR="00BE0E15" w:rsidRPr="005B1577">
        <w:t>povinnosti zveřejňovat obsah</w:t>
      </w:r>
      <w:r w:rsidRPr="005B1577">
        <w:t xml:space="preserve"> úřední desky (§ 26 odst. 1 správního řádu) se </w:t>
      </w:r>
      <w:r w:rsidR="00BE0E15" w:rsidRPr="005B1577">
        <w:t>d</w:t>
      </w:r>
      <w:r w:rsidR="00DF31B6" w:rsidRPr="005B1577">
        <w:t>le</w:t>
      </w:r>
      <w:r w:rsidR="00DF31B6" w:rsidRPr="005A7170">
        <w:t xml:space="preserve"> právních předpisů z oblasti regionálního školství, které spadají do působnosti Ministerstva školství, mládeže a tělovýchovy, povinnost zveřejňovat určitý obsah v oblasti veřejné správy na</w:t>
      </w:r>
      <w:r w:rsidR="005A7170">
        <w:t> </w:t>
      </w:r>
      <w:r w:rsidR="00DF31B6" w:rsidRPr="005A7170">
        <w:t>internetových stránkách týká především</w:t>
      </w:r>
      <w:r w:rsidR="006C6284">
        <w:t xml:space="preserve"> následujícího</w:t>
      </w:r>
      <w:r w:rsidR="00DF31B6" w:rsidRPr="005A7170">
        <w:t>:</w:t>
      </w:r>
    </w:p>
    <w:p w:rsidR="00DF31B6" w:rsidRPr="005A7170" w:rsidRDefault="00DF31B6" w:rsidP="00DF31B6">
      <w:pPr>
        <w:pStyle w:val="Odstavecseseznamem"/>
        <w:numPr>
          <w:ilvl w:val="0"/>
          <w:numId w:val="1"/>
        </w:numPr>
        <w:jc w:val="both"/>
      </w:pPr>
      <w:r w:rsidRPr="005A7170">
        <w:t xml:space="preserve">Dle </w:t>
      </w:r>
      <w:r w:rsidRPr="005A7170">
        <w:rPr>
          <w:b/>
        </w:rPr>
        <w:t>školského zákona</w:t>
      </w:r>
      <w:r w:rsidR="006C6284">
        <w:t xml:space="preserve">: </w:t>
      </w:r>
      <w:r w:rsidRPr="005A7170">
        <w:t>zveřejnění termínu a místa zápisu do mateřské školy v případě, že je to v místě obvyklé (§ 34 odst. 2), kritéri</w:t>
      </w:r>
      <w:r w:rsidR="006C6284">
        <w:t>í</w:t>
      </w:r>
      <w:r w:rsidRPr="005A7170">
        <w:t xml:space="preserve"> pro přijímaní do mateřské školy (§ 34 odst. 8), místo a dobu zápisu do prvního ročníku základního vzdělávání v případě, že je to v místě obvyklé (§ 46 odst. 1),</w:t>
      </w:r>
      <w:r w:rsidR="006C6284">
        <w:t xml:space="preserve"> </w:t>
      </w:r>
      <w:r w:rsidRPr="005A7170">
        <w:t>informace týkající se organizace přijímacího řízení do prvního ročníku oborů středního vzdělání (§ 60), seznam přijatých uchazečů a výsledky hodnocení prvního a posledního přijatého uchazeče v anonymizované podobě (§ 60e odst. 1), seznam přijatých uchazečů na vyšší odbornou školu (§ 94 odst. 7) a seznam uchazečů pod přiděleným registračním číslem s výsledkem řízení u každého uchazeče (§ 183 odst. 2).</w:t>
      </w:r>
    </w:p>
    <w:p w:rsidR="00DF31B6" w:rsidRPr="005A7170" w:rsidRDefault="00DF31B6" w:rsidP="00DF31B6">
      <w:pPr>
        <w:pStyle w:val="Odstavecseseznamem"/>
        <w:numPr>
          <w:ilvl w:val="0"/>
          <w:numId w:val="1"/>
        </w:numPr>
        <w:jc w:val="both"/>
      </w:pPr>
      <w:r w:rsidRPr="005A7170">
        <w:t xml:space="preserve">Dle </w:t>
      </w:r>
      <w:r w:rsidRPr="005A7170">
        <w:rPr>
          <w:b/>
        </w:rPr>
        <w:t>vyhlášky</w:t>
      </w:r>
      <w:r w:rsidRPr="005A7170">
        <w:t xml:space="preserve"> č. 10/2005 Sb., </w:t>
      </w:r>
      <w:r w:rsidRPr="005A7170">
        <w:rPr>
          <w:b/>
        </w:rPr>
        <w:t>o vyšším odborném vzdělávání</w:t>
      </w:r>
      <w:r w:rsidRPr="005A7170">
        <w:t>, ve znění pozdějších předpisů</w:t>
      </w:r>
      <w:r w:rsidR="006C6284">
        <w:t xml:space="preserve">: </w:t>
      </w:r>
      <w:r w:rsidRPr="005A7170">
        <w:t>kritéri</w:t>
      </w:r>
      <w:r w:rsidR="006C6284">
        <w:t>í</w:t>
      </w:r>
      <w:r w:rsidRPr="005A7170">
        <w:t xml:space="preserve"> přijímacího řízení, pořadí uchazečů podle výsledku hodnocení přijímacího řízení a přehled přijatých a nepřijatých uchazečů (§ 2 odst. 7).</w:t>
      </w:r>
    </w:p>
    <w:p w:rsidR="00DF31B6" w:rsidRPr="005A7170" w:rsidRDefault="00DF31B6" w:rsidP="00DF31B6">
      <w:pPr>
        <w:pStyle w:val="Odstavecseseznamem"/>
        <w:numPr>
          <w:ilvl w:val="0"/>
          <w:numId w:val="1"/>
        </w:numPr>
        <w:jc w:val="both"/>
      </w:pPr>
      <w:r w:rsidRPr="005A7170">
        <w:t xml:space="preserve">Dle </w:t>
      </w:r>
      <w:r w:rsidRPr="005A7170">
        <w:rPr>
          <w:b/>
        </w:rPr>
        <w:t>vyhlášky</w:t>
      </w:r>
      <w:r w:rsidRPr="005A7170">
        <w:t xml:space="preserve"> č. 48/2005 Sb., </w:t>
      </w:r>
      <w:r w:rsidRPr="005A7170">
        <w:rPr>
          <w:b/>
        </w:rPr>
        <w:t>o základním vzdělávání a některých náležitostech plnění povinné školní docházky</w:t>
      </w:r>
      <w:r w:rsidRPr="005A7170">
        <w:t xml:space="preserve">, ve znění pozdějších předpisů, se jedná o informace, které škola před zahájením zápisu zveřejní k organizaci a průběhu zápisu (§ </w:t>
      </w:r>
      <w:proofErr w:type="gramStart"/>
      <w:r w:rsidRPr="005A7170">
        <w:t>3a</w:t>
      </w:r>
      <w:proofErr w:type="gramEnd"/>
      <w:r w:rsidRPr="005A7170">
        <w:t xml:space="preserve"> odst. 7).</w:t>
      </w:r>
    </w:p>
    <w:p w:rsidR="00DF31B6" w:rsidRPr="005A7170" w:rsidRDefault="00DF31B6" w:rsidP="00DF31B6">
      <w:pPr>
        <w:pStyle w:val="Odstavecseseznamem"/>
        <w:numPr>
          <w:ilvl w:val="0"/>
          <w:numId w:val="1"/>
        </w:numPr>
        <w:jc w:val="both"/>
      </w:pPr>
      <w:r w:rsidRPr="005A7170">
        <w:t xml:space="preserve">Dle </w:t>
      </w:r>
      <w:r w:rsidRPr="005A7170">
        <w:rPr>
          <w:b/>
        </w:rPr>
        <w:t>vyhlášky</w:t>
      </w:r>
      <w:r w:rsidRPr="005A7170">
        <w:t xml:space="preserve"> č. 108/2005 Sb., </w:t>
      </w:r>
      <w:r w:rsidRPr="005A7170">
        <w:rPr>
          <w:b/>
        </w:rPr>
        <w:t>o školských výchovných a ubytovacích zařízeních a školských účelových zařízeních</w:t>
      </w:r>
      <w:r w:rsidRPr="005A7170">
        <w:t>, ve znění pozdějších předpisů, o termínech pro podání přihlášky do domova (§ 4 odst. 3).</w:t>
      </w:r>
    </w:p>
    <w:p w:rsidR="00DF31B6" w:rsidRPr="005A7170" w:rsidRDefault="00DF31B6" w:rsidP="00DF31B6">
      <w:pPr>
        <w:pStyle w:val="Odstavecseseznamem"/>
        <w:numPr>
          <w:ilvl w:val="0"/>
          <w:numId w:val="1"/>
        </w:numPr>
        <w:jc w:val="both"/>
      </w:pPr>
      <w:r w:rsidRPr="005A7170">
        <w:t xml:space="preserve">Dle </w:t>
      </w:r>
      <w:r w:rsidRPr="005A7170">
        <w:rPr>
          <w:b/>
        </w:rPr>
        <w:t>vyhlášky</w:t>
      </w:r>
      <w:r w:rsidRPr="005A7170">
        <w:t xml:space="preserve"> č. 353/2016 Sb., </w:t>
      </w:r>
      <w:r w:rsidRPr="005A7170">
        <w:rPr>
          <w:b/>
        </w:rPr>
        <w:t>o přijímacím řízení ke střednímu vzdělávání</w:t>
      </w:r>
      <w:r w:rsidRPr="005A7170">
        <w:t>, ve znění pozdějších předpisů, pořadí uchazečů podle výsledku hodnocení v přijímacím řízení a kritéria přijímacího řízení (§ 15 odst. 1).</w:t>
      </w:r>
    </w:p>
    <w:p w:rsidR="00DF31B6" w:rsidRPr="005A7170" w:rsidRDefault="00DF31B6" w:rsidP="00DF31B6">
      <w:pPr>
        <w:jc w:val="both"/>
      </w:pPr>
      <w:r w:rsidRPr="005A7170">
        <w:t>Dále příkladem povinně zveřejňovaného obsahu mohou být:</w:t>
      </w:r>
    </w:p>
    <w:p w:rsidR="00DF31B6" w:rsidRPr="005A7170" w:rsidRDefault="00DF31B6" w:rsidP="00DF31B6">
      <w:pPr>
        <w:pStyle w:val="Odstavecseseznamem"/>
        <w:numPr>
          <w:ilvl w:val="0"/>
          <w:numId w:val="1"/>
        </w:numPr>
        <w:jc w:val="both"/>
      </w:pPr>
      <w:r w:rsidRPr="005A7170">
        <w:t>Ve vztahu k </w:t>
      </w:r>
      <w:r w:rsidRPr="005A7170">
        <w:rPr>
          <w:b/>
        </w:rPr>
        <w:t>zákonu o svobodném přístupu k informacím</w:t>
      </w:r>
      <w:r w:rsidRPr="005A7170">
        <w:t xml:space="preserve"> povinně zveřejňované informace, mezi kterými je např. popis organizační struktury, místo a způsob, jak získat příslušné informace, kde lze podat žádost či stížnost, postup, který musí povinný subjekt dodržovat při vyřizování všech žádostí, návrhů i jiných dožádání občanů, sazebník úhrad za poskytování informací, výroční zpráva za předcházející kalendářní rok o své činnosti v oblasti poskytování informací, elektronická adresa podatelny atd.</w:t>
      </w:r>
    </w:p>
    <w:p w:rsidR="00DF31B6" w:rsidRPr="005B1577" w:rsidRDefault="00DF31B6" w:rsidP="00DF31B6">
      <w:pPr>
        <w:pStyle w:val="Odstavecseseznamem"/>
        <w:numPr>
          <w:ilvl w:val="0"/>
          <w:numId w:val="1"/>
        </w:numPr>
        <w:jc w:val="both"/>
      </w:pPr>
      <w:r w:rsidRPr="005B1577">
        <w:t xml:space="preserve">Povinnost se však vztahuje i na informace poskytované na základě nařízení GDPR a </w:t>
      </w:r>
      <w:r w:rsidRPr="005B1577">
        <w:rPr>
          <w:b/>
        </w:rPr>
        <w:t>zákona o zpracování osobních údajů</w:t>
      </w:r>
      <w:r w:rsidRPr="005B1577">
        <w:t xml:space="preserve">, jako je např. název a kontaktní údaje, kontaktní údaje pověřence pro ochranu osobních údajů, účel zpracování osobních údajů, právo podat stížnost k Úřadu pro ochranu osobních údajů a kontaktní údaje Úřadu pro ochranu osobních údajů a právo na přístup k osobním údajům, jejich opravu, omezení zpracování nebo výmaz. </w:t>
      </w:r>
    </w:p>
    <w:p w:rsidR="00DF31B6" w:rsidRPr="005A7170" w:rsidRDefault="00DF31B6" w:rsidP="00DF31B6">
      <w:pPr>
        <w:pStyle w:val="Odstavecseseznamem"/>
        <w:numPr>
          <w:ilvl w:val="0"/>
          <w:numId w:val="1"/>
        </w:numPr>
        <w:ind w:left="714" w:hanging="357"/>
        <w:contextualSpacing w:val="0"/>
        <w:jc w:val="both"/>
      </w:pPr>
      <w:r w:rsidRPr="005A7170">
        <w:t xml:space="preserve">Dle </w:t>
      </w:r>
      <w:r w:rsidRPr="005A7170">
        <w:rPr>
          <w:b/>
        </w:rPr>
        <w:t>zákona o vysokých školách</w:t>
      </w:r>
      <w:r w:rsidRPr="005A7170">
        <w:t xml:space="preserve"> se uvedená povinnost může vztahovat např. na lhůtu pro podání přihlášek ke studiu a způsob jejich podávání, podmínky přijetí a případně také forma, rámcový obsah přijímací zkoušky, kritéria pro její vyhodnocení a nejvyšší počet studentů přijímaných ke studiu v příslušném studijním programu (§ 49 odst. 5), veřejnou vysokou školou stanovenou výši poplatků spojených se studiem pro následující akademický rok (§ 58 odst. 5), výši poplatku za úkony spojené s habilitačním řízením (§ 72 odst. 16), poplatek za úkony spojené s řízením ke jmenování profesorem (§ 74 odst. 10)</w:t>
      </w:r>
      <w:r w:rsidR="005B1577">
        <w:t xml:space="preserve"> a</w:t>
      </w:r>
      <w:r w:rsidRPr="005A7170">
        <w:t xml:space="preserve"> údaje o zahájení habilitačního řízení a řízení ke jmenování profeso</w:t>
      </w:r>
      <w:r w:rsidRPr="005B1577">
        <w:t>rem a</w:t>
      </w:r>
      <w:r w:rsidRPr="005A7170">
        <w:t xml:space="preserve"> údaje o ukončení těchto řízení (§ 75 odst. 1).</w:t>
      </w:r>
    </w:p>
    <w:p w:rsidR="005B1577" w:rsidRDefault="005B1577" w:rsidP="00D569EF"/>
    <w:p w:rsidR="00DF31B6" w:rsidRPr="005B1577" w:rsidRDefault="005B1577" w:rsidP="005B1577">
      <w:r>
        <w:t xml:space="preserve">MŠMT, </w:t>
      </w:r>
      <w:r w:rsidR="009B5BC3">
        <w:t>7</w:t>
      </w:r>
      <w:r>
        <w:t>.9.2020</w:t>
      </w:r>
    </w:p>
    <w:sectPr w:rsidR="00DF31B6" w:rsidRPr="005B1577" w:rsidSect="007E0547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013" w:rsidRDefault="00011013" w:rsidP="00167F39">
      <w:pPr>
        <w:spacing w:after="0" w:line="240" w:lineRule="auto"/>
      </w:pPr>
      <w:r>
        <w:separator/>
      </w:r>
    </w:p>
  </w:endnote>
  <w:endnote w:type="continuationSeparator" w:id="0">
    <w:p w:rsidR="00011013" w:rsidRDefault="00011013" w:rsidP="0016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15318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67F39" w:rsidRDefault="00167F3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E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E1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7F39" w:rsidRDefault="00167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013" w:rsidRDefault="00011013" w:rsidP="00167F39">
      <w:pPr>
        <w:spacing w:after="0" w:line="240" w:lineRule="auto"/>
      </w:pPr>
      <w:r>
        <w:separator/>
      </w:r>
    </w:p>
  </w:footnote>
  <w:footnote w:type="continuationSeparator" w:id="0">
    <w:p w:rsidR="00011013" w:rsidRDefault="00011013" w:rsidP="0016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21F46"/>
    <w:multiLevelType w:val="hybridMultilevel"/>
    <w:tmpl w:val="123C0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EF"/>
    <w:rsid w:val="00000BF2"/>
    <w:rsid w:val="00011013"/>
    <w:rsid w:val="00014C06"/>
    <w:rsid w:val="0003160B"/>
    <w:rsid w:val="0005167C"/>
    <w:rsid w:val="00066A8D"/>
    <w:rsid w:val="00071A4E"/>
    <w:rsid w:val="00082AB8"/>
    <w:rsid w:val="000857A7"/>
    <w:rsid w:val="00087878"/>
    <w:rsid w:val="00094690"/>
    <w:rsid w:val="000A1BBF"/>
    <w:rsid w:val="000B04D5"/>
    <w:rsid w:val="000C7899"/>
    <w:rsid w:val="000D16ED"/>
    <w:rsid w:val="00121684"/>
    <w:rsid w:val="001233E8"/>
    <w:rsid w:val="00130099"/>
    <w:rsid w:val="00131367"/>
    <w:rsid w:val="00140F46"/>
    <w:rsid w:val="001439EF"/>
    <w:rsid w:val="00151A5F"/>
    <w:rsid w:val="00167F39"/>
    <w:rsid w:val="001A7F28"/>
    <w:rsid w:val="001E060D"/>
    <w:rsid w:val="001E77E1"/>
    <w:rsid w:val="001F45DF"/>
    <w:rsid w:val="002131D3"/>
    <w:rsid w:val="00230645"/>
    <w:rsid w:val="00234A36"/>
    <w:rsid w:val="00234F13"/>
    <w:rsid w:val="00251D89"/>
    <w:rsid w:val="002833C6"/>
    <w:rsid w:val="00297BE3"/>
    <w:rsid w:val="002A3D61"/>
    <w:rsid w:val="002B22A5"/>
    <w:rsid w:val="002B34AE"/>
    <w:rsid w:val="002D6395"/>
    <w:rsid w:val="00306D5B"/>
    <w:rsid w:val="00321D76"/>
    <w:rsid w:val="00327109"/>
    <w:rsid w:val="00331F16"/>
    <w:rsid w:val="003548D0"/>
    <w:rsid w:val="00355985"/>
    <w:rsid w:val="00363C15"/>
    <w:rsid w:val="0037526D"/>
    <w:rsid w:val="003800B6"/>
    <w:rsid w:val="00384718"/>
    <w:rsid w:val="003B7991"/>
    <w:rsid w:val="003F211E"/>
    <w:rsid w:val="0040451D"/>
    <w:rsid w:val="00410D43"/>
    <w:rsid w:val="004201A8"/>
    <w:rsid w:val="00435A09"/>
    <w:rsid w:val="00470640"/>
    <w:rsid w:val="00492AD1"/>
    <w:rsid w:val="00494A0C"/>
    <w:rsid w:val="004B4661"/>
    <w:rsid w:val="004B4B69"/>
    <w:rsid w:val="004D03BA"/>
    <w:rsid w:val="004E37C8"/>
    <w:rsid w:val="004E5231"/>
    <w:rsid w:val="00504B7A"/>
    <w:rsid w:val="00506417"/>
    <w:rsid w:val="00515067"/>
    <w:rsid w:val="0051771A"/>
    <w:rsid w:val="00527B2A"/>
    <w:rsid w:val="005332CB"/>
    <w:rsid w:val="00537A83"/>
    <w:rsid w:val="0054677C"/>
    <w:rsid w:val="005509B9"/>
    <w:rsid w:val="005625F5"/>
    <w:rsid w:val="005651B1"/>
    <w:rsid w:val="00573A1F"/>
    <w:rsid w:val="00576A6C"/>
    <w:rsid w:val="00582135"/>
    <w:rsid w:val="00585868"/>
    <w:rsid w:val="005A6968"/>
    <w:rsid w:val="005A7170"/>
    <w:rsid w:val="005B1577"/>
    <w:rsid w:val="005C1855"/>
    <w:rsid w:val="005D7821"/>
    <w:rsid w:val="005E4609"/>
    <w:rsid w:val="0061087E"/>
    <w:rsid w:val="006201D4"/>
    <w:rsid w:val="0064420A"/>
    <w:rsid w:val="00661E64"/>
    <w:rsid w:val="00662618"/>
    <w:rsid w:val="00681ABA"/>
    <w:rsid w:val="006B4656"/>
    <w:rsid w:val="006B6242"/>
    <w:rsid w:val="006C6284"/>
    <w:rsid w:val="006D0D89"/>
    <w:rsid w:val="006D3364"/>
    <w:rsid w:val="006D3CEE"/>
    <w:rsid w:val="006D5D1A"/>
    <w:rsid w:val="006E15EE"/>
    <w:rsid w:val="006F7451"/>
    <w:rsid w:val="00705229"/>
    <w:rsid w:val="0070560C"/>
    <w:rsid w:val="00705DDF"/>
    <w:rsid w:val="00725BE9"/>
    <w:rsid w:val="00755EFE"/>
    <w:rsid w:val="007654D5"/>
    <w:rsid w:val="007748B4"/>
    <w:rsid w:val="00785191"/>
    <w:rsid w:val="00790D1E"/>
    <w:rsid w:val="00796992"/>
    <w:rsid w:val="007D5762"/>
    <w:rsid w:val="007E0547"/>
    <w:rsid w:val="007E3260"/>
    <w:rsid w:val="007E711B"/>
    <w:rsid w:val="00825A1C"/>
    <w:rsid w:val="0083352C"/>
    <w:rsid w:val="00840AA9"/>
    <w:rsid w:val="0084384D"/>
    <w:rsid w:val="0084402D"/>
    <w:rsid w:val="008B4719"/>
    <w:rsid w:val="008D2EC6"/>
    <w:rsid w:val="008F3C1A"/>
    <w:rsid w:val="0090248E"/>
    <w:rsid w:val="00915C26"/>
    <w:rsid w:val="00916B63"/>
    <w:rsid w:val="009202EE"/>
    <w:rsid w:val="00931E63"/>
    <w:rsid w:val="00943F94"/>
    <w:rsid w:val="009514A1"/>
    <w:rsid w:val="009705E0"/>
    <w:rsid w:val="009801F8"/>
    <w:rsid w:val="009968B9"/>
    <w:rsid w:val="009A60D9"/>
    <w:rsid w:val="009B5BC3"/>
    <w:rsid w:val="009B7A27"/>
    <w:rsid w:val="009D02F9"/>
    <w:rsid w:val="009D0F45"/>
    <w:rsid w:val="009D2630"/>
    <w:rsid w:val="009E31D6"/>
    <w:rsid w:val="00A065E1"/>
    <w:rsid w:val="00A116C5"/>
    <w:rsid w:val="00A177FB"/>
    <w:rsid w:val="00A211BE"/>
    <w:rsid w:val="00A462D6"/>
    <w:rsid w:val="00A578C8"/>
    <w:rsid w:val="00A75398"/>
    <w:rsid w:val="00A90792"/>
    <w:rsid w:val="00AA796C"/>
    <w:rsid w:val="00AB4BD1"/>
    <w:rsid w:val="00AD0ADD"/>
    <w:rsid w:val="00AD105F"/>
    <w:rsid w:val="00AD2DA6"/>
    <w:rsid w:val="00B2196A"/>
    <w:rsid w:val="00B76A63"/>
    <w:rsid w:val="00B93680"/>
    <w:rsid w:val="00BA3E1C"/>
    <w:rsid w:val="00BB43F7"/>
    <w:rsid w:val="00BB555D"/>
    <w:rsid w:val="00BC337C"/>
    <w:rsid w:val="00BC3ED0"/>
    <w:rsid w:val="00BD75BD"/>
    <w:rsid w:val="00BE0E15"/>
    <w:rsid w:val="00C05525"/>
    <w:rsid w:val="00C23DD3"/>
    <w:rsid w:val="00C52249"/>
    <w:rsid w:val="00C532DB"/>
    <w:rsid w:val="00C623B9"/>
    <w:rsid w:val="00C6535B"/>
    <w:rsid w:val="00C83B61"/>
    <w:rsid w:val="00C858A4"/>
    <w:rsid w:val="00C87E7A"/>
    <w:rsid w:val="00C917D6"/>
    <w:rsid w:val="00CB2046"/>
    <w:rsid w:val="00D07BAD"/>
    <w:rsid w:val="00D273D1"/>
    <w:rsid w:val="00D307ED"/>
    <w:rsid w:val="00D42868"/>
    <w:rsid w:val="00D50B6C"/>
    <w:rsid w:val="00D5503B"/>
    <w:rsid w:val="00D569EF"/>
    <w:rsid w:val="00D64B61"/>
    <w:rsid w:val="00D65095"/>
    <w:rsid w:val="00D67466"/>
    <w:rsid w:val="00D6786D"/>
    <w:rsid w:val="00D810AF"/>
    <w:rsid w:val="00D830D6"/>
    <w:rsid w:val="00D946E8"/>
    <w:rsid w:val="00D95000"/>
    <w:rsid w:val="00DA56FA"/>
    <w:rsid w:val="00DC4C08"/>
    <w:rsid w:val="00DD50F6"/>
    <w:rsid w:val="00DD6C80"/>
    <w:rsid w:val="00DF2050"/>
    <w:rsid w:val="00DF2250"/>
    <w:rsid w:val="00DF31B6"/>
    <w:rsid w:val="00DF32FC"/>
    <w:rsid w:val="00E0090C"/>
    <w:rsid w:val="00E071A3"/>
    <w:rsid w:val="00E07989"/>
    <w:rsid w:val="00E2526C"/>
    <w:rsid w:val="00E27AAF"/>
    <w:rsid w:val="00E35EEF"/>
    <w:rsid w:val="00E65EF7"/>
    <w:rsid w:val="00E93BC1"/>
    <w:rsid w:val="00E93D5A"/>
    <w:rsid w:val="00E9696E"/>
    <w:rsid w:val="00ED2FA0"/>
    <w:rsid w:val="00F12459"/>
    <w:rsid w:val="00F163EF"/>
    <w:rsid w:val="00F3574D"/>
    <w:rsid w:val="00F41DC8"/>
    <w:rsid w:val="00F60BEA"/>
    <w:rsid w:val="00F7290A"/>
    <w:rsid w:val="00F949DA"/>
    <w:rsid w:val="00F96156"/>
    <w:rsid w:val="00FA18D8"/>
    <w:rsid w:val="00FB2C74"/>
    <w:rsid w:val="00FD58FB"/>
    <w:rsid w:val="00FE1439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2020"/>
  <w15:chartTrackingRefBased/>
  <w15:docId w15:val="{40F87C03-933D-4308-B8B1-69EF744D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0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0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0D8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847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47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47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7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718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63C15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40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40F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C3ED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55E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5EFE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16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F39"/>
  </w:style>
  <w:style w:type="paragraph" w:styleId="Zpat">
    <w:name w:val="footer"/>
    <w:basedOn w:val="Normln"/>
    <w:link w:val="ZpatChar"/>
    <w:uiPriority w:val="99"/>
    <w:unhideWhenUsed/>
    <w:rsid w:val="0016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pristupnost-internetovych-stranek-a-mobilnich-aplikaci.aspx?q=Y2hudW09Nw%3d%3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stupnost@mv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vcr.cz/clanek/pristupnost-internetovych-stranek-a-mobilnich-aplikaci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ve.webaim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4AA6-583A-40F9-ACA4-E14037FF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2443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Vlastislav</dc:creator>
  <cp:keywords/>
  <dc:description/>
  <cp:lastModifiedBy>Němčák Vítězslav, Mgr. Bc., Ph.D.</cp:lastModifiedBy>
  <cp:revision>2</cp:revision>
  <cp:lastPrinted>2020-01-09T11:09:00Z</cp:lastPrinted>
  <dcterms:created xsi:type="dcterms:W3CDTF">2020-09-02T09:00:00Z</dcterms:created>
  <dcterms:modified xsi:type="dcterms:W3CDTF">2020-09-02T09:00:00Z</dcterms:modified>
</cp:coreProperties>
</file>