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56" w:rsidRPr="008A2373" w:rsidRDefault="004B3D56" w:rsidP="008A2373">
      <w:pPr>
        <w:jc w:val="center"/>
        <w:rPr>
          <w:b/>
          <w:lang w:eastAsia="cs-CZ"/>
        </w:rPr>
      </w:pPr>
      <w:r w:rsidRPr="008A2373">
        <w:rPr>
          <w:b/>
          <w:lang w:eastAsia="cs-CZ"/>
        </w:rPr>
        <w:t>561/2004 Sb.</w:t>
      </w:r>
      <w:bookmarkStart w:id="0" w:name="_GoBack"/>
      <w:bookmarkEnd w:id="0"/>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7023B5">
        <w:rPr>
          <w:rFonts w:eastAsia="Times New Roman" w:cs="Times New Roman"/>
          <w:b/>
          <w:szCs w:val="24"/>
          <w:lang w:eastAsia="cs-CZ"/>
        </w:rPr>
        <w:t>,</w:t>
      </w:r>
      <w:r w:rsidR="00D24D77">
        <w:rPr>
          <w:rFonts w:eastAsia="Times New Roman" w:cs="Times New Roman"/>
          <w:b/>
          <w:szCs w:val="24"/>
          <w:lang w:eastAsia="cs-CZ"/>
        </w:rPr>
        <w:t xml:space="preserve"> zákona č. 349/2020 Sb.</w:t>
      </w:r>
      <w:r w:rsidR="007023B5">
        <w:rPr>
          <w:rFonts w:eastAsia="Times New Roman" w:cs="Times New Roman"/>
          <w:b/>
          <w:szCs w:val="24"/>
          <w:lang w:eastAsia="cs-CZ"/>
        </w:rPr>
        <w:t xml:space="preserve"> a zákona č. 403/2020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lastRenderedPageBreak/>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w:t>
      </w:r>
      <w:proofErr w:type="gramEnd"/>
      <w:r w:rsidRPr="00CC593D">
        <w:rPr>
          <w:rFonts w:eastAsia="Times New Roman" w:cs="Times New Roman"/>
          <w:szCs w:val="24"/>
          <w:lang w:eastAsia="cs-CZ"/>
        </w:rPr>
        <w:t xml:space="preserve">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w:t>
      </w:r>
      <w:proofErr w:type="gramEnd"/>
      <w:r w:rsidRPr="00CC593D">
        <w:rPr>
          <w:rFonts w:eastAsia="Times New Roman" w:cs="Times New Roman"/>
          <w:szCs w:val="24"/>
          <w:lang w:eastAsia="cs-CZ"/>
        </w:rPr>
        <w:t xml:space="preserve">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w:t>
      </w:r>
      <w:proofErr w:type="gramEnd"/>
      <w:r w:rsidRPr="00CC593D">
        <w:rPr>
          <w:rFonts w:eastAsia="Times New Roman" w:cs="Times New Roman"/>
          <w:szCs w:val="24"/>
          <w:lang w:eastAsia="cs-CZ"/>
        </w:rPr>
        <w:t xml:space="preserve">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w:t>
      </w:r>
      <w:proofErr w:type="gramEnd"/>
      <w:r w:rsidRPr="00CC593D">
        <w:rPr>
          <w:rFonts w:eastAsia="Times New Roman" w:cs="Times New Roman"/>
          <w:szCs w:val="24"/>
          <w:lang w:eastAsia="cs-CZ"/>
        </w:rPr>
        <w:t xml:space="preserve">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proofErr w:type="spellStart"/>
      <w:r w:rsidR="004A7B65" w:rsidRPr="004A7B65">
        <w:rPr>
          <w:b/>
        </w:rPr>
        <w:t>Ministerstvo</w:t>
      </w:r>
      <w:proofErr w:type="spellEnd"/>
      <w:r w:rsidR="004A7B65" w:rsidRPr="004A7B65">
        <w:rPr>
          <w:b/>
        </w:rPr>
        <w:t xml:space="preserve">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w:t>
      </w:r>
      <w:proofErr w:type="gramStart"/>
      <w:r w:rsidRPr="00CC593D">
        <w:rPr>
          <w:rFonts w:eastAsia="Times New Roman" w:cs="Times New Roman"/>
          <w:szCs w:val="24"/>
          <w:lang w:eastAsia="cs-CZ"/>
        </w:rPr>
        <w:t>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w:t>
      </w:r>
      <w:proofErr w:type="gramEnd"/>
      <w:r w:rsidRPr="00CC593D">
        <w:rPr>
          <w:rFonts w:eastAsia="Times New Roman" w:cs="Times New Roman"/>
          <w:szCs w:val="24"/>
          <w:lang w:eastAsia="cs-CZ"/>
        </w:rPr>
        <w:t xml:space="preserv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w:t>
      </w:r>
      <w:proofErr w:type="gramStart"/>
      <w:r w:rsidRPr="00CC593D">
        <w:rPr>
          <w:rFonts w:eastAsia="Times New Roman" w:cs="Times New Roman"/>
          <w:szCs w:val="24"/>
          <w:lang w:eastAsia="cs-CZ"/>
        </w:rPr>
        <w:t>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w:t>
      </w:r>
      <w:proofErr w:type="gramEnd"/>
      <w:r w:rsidRPr="00CC593D">
        <w:rPr>
          <w:rFonts w:eastAsia="Times New Roman" w:cs="Times New Roman"/>
          <w:szCs w:val="24"/>
          <w:lang w:eastAsia="cs-CZ"/>
        </w:rPr>
        <w:t xml:space="preserve">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w:t>
      </w:r>
      <w:proofErr w:type="gramStart"/>
      <w:r w:rsidRPr="00CC593D">
        <w:rPr>
          <w:rFonts w:eastAsia="Times New Roman" w:cs="Times New Roman"/>
          <w:szCs w:val="24"/>
          <w:lang w:eastAsia="cs-CZ"/>
        </w:rPr>
        <w:t>školách,</w:t>
      </w:r>
      <w:r w:rsidRPr="00CC593D">
        <w:rPr>
          <w:rFonts w:eastAsia="Times New Roman" w:cs="Times New Roman"/>
          <w:szCs w:val="24"/>
          <w:vertAlign w:val="superscript"/>
          <w:lang w:eastAsia="cs-CZ"/>
        </w:rPr>
        <w:t>10</w:t>
      </w:r>
      <w:proofErr w:type="gramEnd"/>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w:t>
      </w:r>
      <w:r w:rsidRPr="00CC593D">
        <w:rPr>
          <w:rFonts w:eastAsia="Times New Roman" w:cs="Times New Roman"/>
          <w:szCs w:val="24"/>
          <w:lang w:eastAsia="cs-CZ"/>
        </w:rPr>
        <w:lastRenderedPageBreak/>
        <w:t>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w:t>
      </w:r>
      <w:proofErr w:type="gramEnd"/>
      <w:r w:rsidRPr="00CC593D">
        <w:rPr>
          <w:rFonts w:eastAsia="Times New Roman" w:cs="Times New Roman"/>
          <w:szCs w:val="24"/>
          <w:lang w:eastAsia="cs-CZ"/>
        </w:rPr>
        <w:t xml:space="preserve">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w:t>
      </w:r>
      <w:r w:rsidRPr="00CC593D">
        <w:rPr>
          <w:rFonts w:eastAsia="Times New Roman" w:cs="Times New Roman"/>
          <w:szCs w:val="24"/>
          <w:lang w:eastAsia="cs-CZ"/>
        </w:rPr>
        <w:lastRenderedPageBreak/>
        <w:t>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w:t>
      </w:r>
      <w:r w:rsidRPr="00CC593D">
        <w:rPr>
          <w:rFonts w:eastAsia="Times New Roman" w:cs="Times New Roman"/>
          <w:szCs w:val="24"/>
          <w:lang w:eastAsia="cs-CZ"/>
        </w:rPr>
        <w:lastRenderedPageBreak/>
        <w:t>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 xml:space="preserve">(4)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w:t>
      </w:r>
      <w:r w:rsidRPr="007C2B47">
        <w:rPr>
          <w:rFonts w:eastAsia="Times New Roman" w:cs="Times New Roman"/>
          <w:iCs/>
          <w:szCs w:val="24"/>
          <w:lang w:eastAsia="cs-CZ"/>
        </w:rPr>
        <w:lastRenderedPageBreak/>
        <w:t>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lastRenderedPageBreak/>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w:t>
      </w:r>
      <w:r w:rsidRPr="00CC593D">
        <w:rPr>
          <w:rFonts w:eastAsia="Times New Roman" w:cs="Times New Roman"/>
          <w:szCs w:val="24"/>
          <w:lang w:eastAsia="cs-CZ"/>
        </w:rPr>
        <w:lastRenderedPageBreak/>
        <w:t>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xml:space="preserve">) a další dokumentaci stanovenou zvláštními právními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16</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w:t>
      </w:r>
      <w:r w:rsidRPr="00CC593D">
        <w:rPr>
          <w:rFonts w:eastAsia="Times New Roman" w:cs="Times New Roman"/>
          <w:szCs w:val="24"/>
          <w:lang w:eastAsia="cs-CZ"/>
        </w:rPr>
        <w:lastRenderedPageBreak/>
        <w:t>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20</w:t>
      </w:r>
      <w:proofErr w:type="gramEnd"/>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proofErr w:type="gramStart"/>
      <w:r w:rsidRPr="007C509B">
        <w:rPr>
          <w:b/>
        </w:rPr>
        <w:t>(5)</w:t>
      </w:r>
      <w:r>
        <w:t xml:space="preserve">   </w:t>
      </w:r>
      <w:r w:rsidRPr="007C509B">
        <w:rPr>
          <w:b/>
          <w:iCs/>
          <w:szCs w:val="24"/>
        </w:rPr>
        <w:t>Ministerstvo</w:t>
      </w:r>
      <w:proofErr w:type="gramEnd"/>
      <w:r w:rsidRPr="007C509B">
        <w:rPr>
          <w:b/>
          <w:iCs/>
          <w:szCs w:val="24"/>
        </w:rPr>
        <w:t xml:space="preserve">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proofErr w:type="gramStart"/>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w:t>
      </w:r>
      <w:proofErr w:type="gramEnd"/>
      <w:r w:rsidRPr="00CC593D">
        <w:rPr>
          <w:rFonts w:eastAsia="Times New Roman" w:cs="Times New Roman"/>
          <w:szCs w:val="24"/>
          <w:lang w:eastAsia="cs-CZ"/>
        </w:rPr>
        <w:t xml:space="preserve">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proofErr w:type="gramStart"/>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w:t>
      </w:r>
      <w:proofErr w:type="gramEnd"/>
      <w:r w:rsidRPr="00CC593D">
        <w:rPr>
          <w:rFonts w:eastAsia="Times New Roman" w:cs="Times New Roman"/>
          <w:szCs w:val="24"/>
          <w:lang w:eastAsia="cs-CZ"/>
        </w:rPr>
        <w:t xml:space="preserve">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proofErr w:type="gramStart"/>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w:t>
      </w:r>
      <w:proofErr w:type="gramEnd"/>
      <w:r w:rsidRPr="00CC593D">
        <w:rPr>
          <w:rFonts w:eastAsia="Times New Roman" w:cs="Times New Roman"/>
          <w:szCs w:val="24"/>
          <w:lang w:eastAsia="cs-CZ"/>
        </w:rPr>
        <w:t xml:space="preserve">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w:t>
      </w:r>
      <w:r w:rsidRPr="00CC593D">
        <w:rPr>
          <w:rFonts w:eastAsia="Times New Roman" w:cs="Times New Roman"/>
          <w:szCs w:val="24"/>
          <w:lang w:eastAsia="cs-CZ"/>
        </w:rPr>
        <w:lastRenderedPageBreak/>
        <w:t>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21</w:t>
      </w:r>
      <w:proofErr w:type="gramEnd"/>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w:t>
      </w:r>
      <w:r w:rsidRPr="00CC593D">
        <w:rPr>
          <w:rFonts w:eastAsia="Times New Roman" w:cs="Times New Roman"/>
          <w:szCs w:val="24"/>
          <w:lang w:eastAsia="cs-CZ"/>
        </w:rPr>
        <w:lastRenderedPageBreak/>
        <w:t>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sidR="007023B5">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w:t>
      </w:r>
      <w:proofErr w:type="gramStart"/>
      <w:r w:rsidRPr="00CC593D">
        <w:rPr>
          <w:rFonts w:eastAsia="Times New Roman" w:cs="Times New Roman"/>
          <w:szCs w:val="24"/>
          <w:lang w:eastAsia="cs-CZ"/>
        </w:rPr>
        <w:t>předpisem.</w:t>
      </w:r>
      <w:r w:rsidRPr="00CC593D">
        <w:rPr>
          <w:rFonts w:eastAsia="Times New Roman" w:cs="Times New Roman"/>
          <w:szCs w:val="24"/>
          <w:vertAlign w:val="superscript"/>
          <w:lang w:eastAsia="cs-CZ"/>
        </w:rPr>
        <w:t>22</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w:t>
      </w:r>
      <w:r w:rsidRPr="00CC593D">
        <w:rPr>
          <w:rFonts w:eastAsia="Times New Roman" w:cs="Times New Roman"/>
          <w:szCs w:val="24"/>
          <w:lang w:eastAsia="cs-CZ"/>
        </w:rPr>
        <w:lastRenderedPageBreak/>
        <w:t>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w:t>
      </w:r>
      <w:proofErr w:type="gramStart"/>
      <w:r w:rsidRPr="00CC593D">
        <w:rPr>
          <w:rFonts w:eastAsia="Times New Roman" w:cs="Times New Roman"/>
          <w:szCs w:val="24"/>
          <w:lang w:eastAsia="cs-CZ"/>
        </w:rPr>
        <w:t>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w:t>
      </w:r>
      <w:proofErr w:type="gramEnd"/>
      <w:r w:rsidRPr="00CC593D">
        <w:rPr>
          <w:rFonts w:eastAsia="Times New Roman" w:cs="Times New Roman"/>
          <w:szCs w:val="24"/>
          <w:lang w:eastAsia="cs-CZ"/>
        </w:rPr>
        <w:t xml:space="preserv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w:t>
      </w:r>
      <w:r w:rsidRPr="00CC593D">
        <w:rPr>
          <w:rFonts w:eastAsia="Times New Roman" w:cs="Times New Roman"/>
          <w:szCs w:val="24"/>
          <w:lang w:eastAsia="cs-CZ"/>
        </w:rPr>
        <w:lastRenderedPageBreak/>
        <w:t>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lastRenderedPageBreak/>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w:t>
      </w:r>
      <w:r w:rsidRPr="00CC593D">
        <w:rPr>
          <w:rFonts w:eastAsia="Times New Roman" w:cs="Times New Roman"/>
          <w:szCs w:val="24"/>
          <w:lang w:eastAsia="cs-CZ"/>
        </w:rPr>
        <w:lastRenderedPageBreak/>
        <w:t>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w:t>
      </w:r>
      <w:proofErr w:type="gramStart"/>
      <w:r w:rsidRPr="00CC593D">
        <w:rPr>
          <w:rFonts w:eastAsia="Times New Roman" w:cs="Times New Roman"/>
          <w:szCs w:val="24"/>
          <w:lang w:eastAsia="cs-CZ"/>
        </w:rPr>
        <w:t>uvolněn s souhlasem</w:t>
      </w:r>
      <w:proofErr w:type="gramEnd"/>
      <w:r w:rsidRPr="00CC593D">
        <w:rPr>
          <w:rFonts w:eastAsia="Times New Roman" w:cs="Times New Roman"/>
          <w:szCs w:val="24"/>
          <w:lang w:eastAsia="cs-CZ"/>
        </w:rPr>
        <w:t xml:space="preserve">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w:t>
      </w:r>
      <w:r w:rsidRPr="00CC593D">
        <w:rPr>
          <w:rFonts w:eastAsia="Times New Roman" w:cs="Times New Roman"/>
          <w:szCs w:val="24"/>
          <w:lang w:eastAsia="cs-CZ"/>
        </w:rPr>
        <w:lastRenderedPageBreak/>
        <w:t>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w:t>
      </w:r>
      <w:r w:rsidRPr="00CC593D">
        <w:rPr>
          <w:rFonts w:eastAsia="Times New Roman" w:cs="Times New Roman"/>
          <w:szCs w:val="24"/>
          <w:lang w:eastAsia="cs-CZ"/>
        </w:rPr>
        <w:lastRenderedPageBreak/>
        <w:t>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w:t>
      </w:r>
      <w:r w:rsidRPr="00CC593D">
        <w:rPr>
          <w:rFonts w:eastAsia="Times New Roman" w:cs="Times New Roman"/>
          <w:szCs w:val="24"/>
          <w:lang w:eastAsia="cs-CZ"/>
        </w:rPr>
        <w:lastRenderedPageBreak/>
        <w:t>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w:t>
      </w:r>
      <w:r w:rsidRPr="00CC593D">
        <w:rPr>
          <w:rFonts w:eastAsia="Times New Roman" w:cs="Times New Roman"/>
          <w:szCs w:val="24"/>
          <w:lang w:eastAsia="cs-CZ"/>
        </w:rPr>
        <w:lastRenderedPageBreak/>
        <w:t>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w:t>
      </w:r>
      <w:r w:rsidRPr="00CC593D">
        <w:rPr>
          <w:rFonts w:eastAsia="Times New Roman" w:cs="Times New Roman"/>
          <w:szCs w:val="24"/>
          <w:lang w:eastAsia="cs-CZ"/>
        </w:rPr>
        <w:lastRenderedPageBreak/>
        <w:t>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w:t>
      </w:r>
      <w:r w:rsidRPr="00CC593D">
        <w:rPr>
          <w:rFonts w:eastAsia="Times New Roman" w:cs="Times New Roman"/>
          <w:szCs w:val="24"/>
          <w:lang w:eastAsia="cs-CZ"/>
        </w:rPr>
        <w:lastRenderedPageBreak/>
        <w:t>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lastRenderedPageBreak/>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Před</w:t>
      </w:r>
      <w:proofErr w:type="gramEnd"/>
      <w:r w:rsidRPr="00CC593D">
        <w:rPr>
          <w:rFonts w:eastAsia="Times New Roman" w:cs="Times New Roman"/>
          <w:szCs w:val="24"/>
          <w:lang w:eastAsia="cs-CZ"/>
        </w:rPr>
        <w:t xml:space="preserve">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proofErr w:type="gramStart"/>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w:t>
      </w:r>
      <w:proofErr w:type="gramEnd"/>
      <w:r w:rsidRPr="00B4017B">
        <w:rPr>
          <w:rFonts w:eastAsia="Times New Roman" w:cs="Times New Roman"/>
          <w:strike/>
          <w:szCs w:val="24"/>
          <w:lang w:eastAsia="cs-CZ"/>
        </w:rPr>
        <w:t xml:space="preserve">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 xml:space="preserve">Profilová část maturitní zkoušky se skládá </w:t>
      </w:r>
      <w:proofErr w:type="gramStart"/>
      <w:r w:rsidRPr="00B4017B">
        <w:rPr>
          <w:rFonts w:eastAsia="Times New Roman" w:cs="Times New Roman"/>
          <w:strike/>
          <w:szCs w:val="24"/>
          <w:lang w:eastAsia="cs-CZ"/>
        </w:rPr>
        <w:t>ze</w:t>
      </w:r>
      <w:proofErr w:type="gramEnd"/>
      <w:r w:rsidRPr="00B4017B">
        <w:rPr>
          <w:rFonts w:eastAsia="Times New Roman" w:cs="Times New Roman"/>
          <w:strike/>
          <w:szCs w:val="24"/>
          <w:lang w:eastAsia="cs-CZ"/>
        </w:rPr>
        <w:t xml:space="preserv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 xml:space="preserve">Profilová část maturitní zkoušky se skládá ze zkoušky z českého jazyka a </w:t>
      </w:r>
      <w:proofErr w:type="gramStart"/>
      <w:r w:rsidR="00B4017B" w:rsidRPr="00B4017B">
        <w:rPr>
          <w:rFonts w:eastAsia="Times New Roman" w:cs="Times New Roman"/>
          <w:b/>
          <w:szCs w:val="24"/>
          <w:lang w:eastAsia="cs-CZ"/>
        </w:rPr>
        <w:t>literatury a, pokud</w:t>
      </w:r>
      <w:proofErr w:type="gramEnd"/>
      <w:r w:rsidR="00B4017B" w:rsidRPr="00B4017B">
        <w:rPr>
          <w:rFonts w:eastAsia="Times New Roman" w:cs="Times New Roman"/>
          <w:b/>
          <w:szCs w:val="24"/>
          <w:lang w:eastAsia="cs-CZ"/>
        </w:rPr>
        <w:t xml:space="preserve">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w:t>
      </w:r>
      <w:r w:rsidR="00B4017B" w:rsidRPr="00B4017B">
        <w:rPr>
          <w:rFonts w:eastAsia="Times New Roman" w:cs="Times New Roman"/>
          <w:b/>
          <w:szCs w:val="24"/>
          <w:lang w:eastAsia="cs-CZ"/>
        </w:rPr>
        <w:lastRenderedPageBreak/>
        <w:t>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proofErr w:type="gramStart"/>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w:t>
      </w:r>
      <w:proofErr w:type="gramEnd"/>
      <w:r w:rsidRPr="00CC593D">
        <w:rPr>
          <w:rFonts w:eastAsia="Times New Roman" w:cs="Times New Roman"/>
          <w:szCs w:val="24"/>
          <w:lang w:eastAsia="cs-CZ"/>
        </w:rPr>
        <w:t xml:space="preserve">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Profilová</w:t>
      </w:r>
      <w:proofErr w:type="gramEnd"/>
      <w:r w:rsidRPr="00CC593D">
        <w:rPr>
          <w:rFonts w:eastAsia="Times New Roman" w:cs="Times New Roman"/>
          <w:szCs w:val="24"/>
          <w:lang w:eastAsia="cs-CZ"/>
        </w:rPr>
        <w:t xml:space="preserve">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proofErr w:type="gramStart"/>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w:t>
      </w:r>
      <w:proofErr w:type="gramEnd"/>
      <w:r w:rsidRPr="004A394C">
        <w:rPr>
          <w:rFonts w:eastAsia="Times New Roman" w:cs="Times New Roman"/>
          <w:strike/>
          <w:szCs w:val="24"/>
          <w:lang w:eastAsia="cs-CZ"/>
        </w:rPr>
        <w:t xml:space="preserve">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proofErr w:type="gramStart"/>
      <w:r w:rsidR="004B3D56" w:rsidRPr="00983813">
        <w:rPr>
          <w:rFonts w:eastAsia="Times New Roman" w:cs="Times New Roman"/>
          <w:strike/>
          <w:szCs w:val="24"/>
          <w:lang w:eastAsia="cs-CZ"/>
        </w:rPr>
        <w:t>písmene 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w:t>
      </w:r>
      <w:proofErr w:type="gramEnd"/>
      <w:r w:rsidR="00983813" w:rsidRPr="00983813">
        <w:rPr>
          <w:rFonts w:eastAsia="Times New Roman" w:cs="Times New Roman"/>
          <w:b/>
          <w:szCs w:val="24"/>
          <w:lang w:eastAsia="cs-CZ"/>
        </w:rPr>
        <w:t xml:space="preserv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proofErr w:type="spellStart"/>
      <w:r w:rsidR="006C6CCE" w:rsidRPr="00974984">
        <w:rPr>
          <w:rFonts w:eastAsia="Times New Roman" w:cs="Times New Roman"/>
          <w:b/>
          <w:szCs w:val="24"/>
          <w:lang w:eastAsia="cs-CZ"/>
        </w:rPr>
        <w:t>Zkoušky</w:t>
      </w:r>
      <w:proofErr w:type="spellEnd"/>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73751">
        <w:rPr>
          <w:rFonts w:eastAsia="Times New Roman" w:cs="Times New Roman"/>
          <w:iCs/>
          <w:strike/>
          <w:szCs w:val="24"/>
          <w:lang w:eastAsia="cs-CZ"/>
        </w:rPr>
        <w:lastRenderedPageBreak/>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w:t>
      </w:r>
      <w:proofErr w:type="gramEnd"/>
      <w:r w:rsidRPr="0042608C">
        <w:rPr>
          <w:rFonts w:eastAsia="Times New Roman" w:cs="Times New Roman"/>
          <w:strike/>
          <w:szCs w:val="24"/>
          <w:lang w:eastAsia="cs-CZ"/>
        </w:rPr>
        <w:t xml:space="preserve"> pro daný zkušební předmět, komisařem</w:t>
      </w:r>
      <w:r w:rsidRPr="00CC593D">
        <w:rPr>
          <w:rFonts w:eastAsia="Times New Roman" w:cs="Times New Roman"/>
          <w:szCs w:val="24"/>
          <w:lang w:eastAsia="cs-CZ"/>
        </w:rPr>
        <w:t xml:space="preserve"> </w:t>
      </w:r>
      <w:proofErr w:type="spellStart"/>
      <w:r w:rsidR="0042608C" w:rsidRPr="0042608C">
        <w:rPr>
          <w:rFonts w:eastAsia="Times New Roman" w:cs="Times New Roman"/>
          <w:b/>
          <w:szCs w:val="24"/>
          <w:lang w:eastAsia="cs-CZ"/>
        </w:rPr>
        <w:t>Komisařem</w:t>
      </w:r>
      <w:proofErr w:type="spellEnd"/>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 xml:space="preserve">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w:t>
      </w:r>
      <w:r w:rsidR="0042608C" w:rsidRPr="0042608C">
        <w:rPr>
          <w:b/>
        </w:rPr>
        <w:lastRenderedPageBreak/>
        <w:t>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proofErr w:type="gramStart"/>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w:t>
      </w:r>
      <w:proofErr w:type="gramEnd"/>
      <w:r w:rsidR="004B3D56" w:rsidRPr="00CC593D">
        <w:rPr>
          <w:rFonts w:eastAsia="Times New Roman" w:cs="Times New Roman"/>
          <w:szCs w:val="24"/>
          <w:lang w:eastAsia="cs-CZ"/>
        </w:rPr>
        <w:t xml:space="preserve">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proofErr w:type="gramStart"/>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w:t>
      </w:r>
      <w:proofErr w:type="gramEnd"/>
      <w:r w:rsidR="004B3D56" w:rsidRPr="00CC593D">
        <w:rPr>
          <w:rFonts w:eastAsia="Times New Roman" w:cs="Times New Roman"/>
          <w:szCs w:val="24"/>
          <w:lang w:eastAsia="cs-CZ"/>
        </w:rPr>
        <w:t xml:space="preserve">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proofErr w:type="gramStart"/>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proofErr w:type="gramEnd"/>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w:t>
      </w:r>
      <w:proofErr w:type="gramStart"/>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proofErr w:type="gramEnd"/>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w:t>
      </w:r>
      <w:proofErr w:type="gramStart"/>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proofErr w:type="gramEnd"/>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w:t>
      </w:r>
      <w:r w:rsidRPr="00CC593D">
        <w:rPr>
          <w:rFonts w:eastAsia="Times New Roman" w:cs="Times New Roman"/>
          <w:szCs w:val="24"/>
          <w:lang w:eastAsia="cs-CZ"/>
        </w:rPr>
        <w:lastRenderedPageBreak/>
        <w:t>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proofErr w:type="gramStart"/>
      <w:r w:rsidRPr="00A40676">
        <w:rPr>
          <w:rFonts w:eastAsia="Times New Roman" w:cs="Times New Roman"/>
          <w:strike/>
          <w:szCs w:val="24"/>
          <w:lang w:eastAsia="cs-CZ"/>
        </w:rPr>
        <w:t>získali</w:t>
      </w:r>
      <w:proofErr w:type="gramEnd"/>
      <w:r w:rsidRPr="00A40676">
        <w:rPr>
          <w:rFonts w:eastAsia="Times New Roman" w:cs="Times New Roman"/>
          <w:strike/>
          <w:szCs w:val="24"/>
          <w:lang w:eastAsia="cs-CZ"/>
        </w:rPr>
        <w:t xml:space="preserve"> střední vzdělání s maturitní zkouškou</w:t>
      </w:r>
      <w:r w:rsidR="00A40676">
        <w:rPr>
          <w:rFonts w:eastAsia="Times New Roman" w:cs="Times New Roman"/>
          <w:szCs w:val="24"/>
          <w:lang w:eastAsia="cs-CZ"/>
        </w:rPr>
        <w:t xml:space="preserve"> </w:t>
      </w:r>
      <w:proofErr w:type="gramStart"/>
      <w:r w:rsidR="00A40676" w:rsidRPr="00A40676">
        <w:rPr>
          <w:b/>
        </w:rPr>
        <w:t>prospěli</w:t>
      </w:r>
      <w:proofErr w:type="gramEnd"/>
      <w:r w:rsidR="00A40676" w:rsidRPr="00A40676">
        <w:rPr>
          <w:b/>
        </w:rPr>
        <w:t xml:space="preserve">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w:t>
      </w:r>
      <w:r w:rsidRPr="00CC593D">
        <w:rPr>
          <w:rFonts w:eastAsia="Times New Roman" w:cs="Times New Roman"/>
          <w:szCs w:val="24"/>
          <w:lang w:eastAsia="cs-CZ"/>
        </w:rPr>
        <w:lastRenderedPageBreak/>
        <w:t>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w:t>
      </w:r>
      <w:proofErr w:type="gramStart"/>
      <w:r w:rsidRPr="00CC593D">
        <w:rPr>
          <w:rFonts w:eastAsia="Times New Roman" w:cs="Times New Roman"/>
          <w:szCs w:val="24"/>
          <w:lang w:eastAsia="cs-CZ"/>
        </w:rPr>
        <w:t>konal</w:t>
      </w:r>
      <w:proofErr w:type="gramEnd"/>
      <w:r w:rsidRPr="00CC593D">
        <w:rPr>
          <w:rFonts w:eastAsia="Times New Roman" w:cs="Times New Roman"/>
          <w:szCs w:val="24"/>
          <w:lang w:eastAsia="cs-CZ"/>
        </w:rPr>
        <w:t xml:space="preserve"> absolutorium v konzervatoři </w:t>
      </w:r>
      <w:proofErr w:type="gramStart"/>
      <w:r w:rsidRPr="00CC593D">
        <w:rPr>
          <w:rFonts w:eastAsia="Times New Roman" w:cs="Times New Roman"/>
          <w:szCs w:val="24"/>
          <w:lang w:eastAsia="cs-CZ"/>
        </w:rPr>
        <w:t>může</w:t>
      </w:r>
      <w:proofErr w:type="gramEnd"/>
      <w:r w:rsidRPr="00CC593D">
        <w:rPr>
          <w:rFonts w:eastAsia="Times New Roman" w:cs="Times New Roman"/>
          <w:szCs w:val="24"/>
          <w:lang w:eastAsia="cs-CZ"/>
        </w:rPr>
        <w:t xml:space="preserv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Default="004B3D56" w:rsidP="00315936">
      <w:pPr>
        <w:shd w:val="clear" w:color="auto" w:fill="FFF2CC" w:themeFill="accent4" w:themeFillTint="33"/>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Pr="00315936">
        <w:rPr>
          <w:rFonts w:eastAsia="Times New Roman" w:cs="Times New Roman"/>
          <w:strike/>
          <w:szCs w:val="24"/>
          <w:lang w:eastAsia="cs-CZ"/>
        </w:rPr>
        <w:t>souhlasem</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souhlasným stanoviskem </w:t>
      </w:r>
      <w:r w:rsidRPr="00CC593D">
        <w:rPr>
          <w:rFonts w:eastAsia="Times New Roman" w:cs="Times New Roman"/>
          <w:szCs w:val="24"/>
          <w:lang w:eastAsia="cs-CZ"/>
        </w:rPr>
        <w:t xml:space="preserve">Ministerstva zdravotnictví a v případě vzdělávacího programu v oblasti bezpečnostních služeb </w:t>
      </w:r>
      <w:r w:rsidRPr="00315936">
        <w:rPr>
          <w:rFonts w:eastAsia="Times New Roman" w:cs="Times New Roman"/>
          <w:strike/>
          <w:szCs w:val="24"/>
          <w:lang w:eastAsia="cs-CZ"/>
        </w:rPr>
        <w:t>s předchozím souhlasem</w:t>
      </w:r>
      <w:r w:rsidRPr="00CC593D">
        <w:rPr>
          <w:rFonts w:eastAsia="Times New Roman" w:cs="Times New Roman"/>
          <w:szCs w:val="24"/>
          <w:lang w:eastAsia="cs-CZ"/>
        </w:rPr>
        <w:t xml:space="preserve"> </w:t>
      </w:r>
      <w:r w:rsidR="00315936" w:rsidRPr="00315936">
        <w:rPr>
          <w:rFonts w:eastAsia="Times New Roman" w:cs="Times New Roman"/>
          <w:b/>
          <w:szCs w:val="24"/>
          <w:lang w:eastAsia="cs-CZ"/>
        </w:rPr>
        <w:t>s předchozím souhlasným stanoviskem</w:t>
      </w:r>
      <w:r w:rsidR="00315936">
        <w:rPr>
          <w:rFonts w:eastAsia="Times New Roman" w:cs="Times New Roman"/>
          <w:szCs w:val="24"/>
          <w:lang w:eastAsia="cs-CZ"/>
        </w:rPr>
        <w:t xml:space="preserve"> </w:t>
      </w:r>
      <w:r w:rsidRPr="00CC593D">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w:t>
      </w:r>
      <w:r w:rsidRPr="00315936">
        <w:rPr>
          <w:rFonts w:eastAsia="Times New Roman" w:cs="Times New Roman"/>
          <w:strike/>
          <w:szCs w:val="24"/>
          <w:lang w:eastAsia="cs-CZ"/>
        </w:rPr>
        <w:t>zda</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že </w:t>
      </w:r>
      <w:r w:rsidRPr="00CC593D">
        <w:rPr>
          <w:rFonts w:eastAsia="Times New Roman" w:cs="Times New Roman"/>
          <w:szCs w:val="24"/>
          <w:lang w:eastAsia="cs-CZ"/>
        </w:rPr>
        <w:t>absolventi budou připraveni odpovídajícím způsobem k výkonu tohoto povolání.</w:t>
      </w:r>
      <w:r w:rsidR="00315936">
        <w:rPr>
          <w:rFonts w:eastAsia="Times New Roman" w:cs="Times New Roman"/>
          <w:szCs w:val="24"/>
          <w:lang w:eastAsia="cs-CZ"/>
        </w:rPr>
        <w:t xml:space="preserve"> </w:t>
      </w:r>
      <w:r w:rsidR="00315936" w:rsidRPr="00315936">
        <w:rPr>
          <w:rFonts w:eastAsia="Times New Roman" w:cs="Times New Roman"/>
          <w:b/>
          <w:szCs w:val="24"/>
          <w:lang w:eastAsia="cs-CZ"/>
        </w:rPr>
        <w:t>Ministerstvo zdravotnictví, Ministerstvo vnitra nebo příslušný uznávací orgán vydávají stanoviska podle věty první do 90 dnů ode dne, kdy jim byla žádost o stanovisko doručena.</w:t>
      </w:r>
    </w:p>
    <w:p w:rsidR="00315936" w:rsidRPr="00315936" w:rsidRDefault="00315936" w:rsidP="00315936">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7023B5">
        <w:rPr>
          <w:rFonts w:eastAsia="Times New Roman" w:cs="Times New Roman"/>
          <w:b/>
          <w:i/>
          <w:szCs w:val="24"/>
          <w:lang w:eastAsia="cs-CZ"/>
        </w:rPr>
        <w:t>ývají</w:t>
      </w:r>
      <w:r w:rsidRPr="005D0239">
        <w:rPr>
          <w:rFonts w:eastAsia="Times New Roman" w:cs="Times New Roman"/>
          <w:b/>
          <w:i/>
          <w:szCs w:val="24"/>
          <w:lang w:eastAsia="cs-CZ"/>
        </w:rPr>
        <w:t xml:space="preserve"> účinnosti dnem </w:t>
      </w:r>
      <w:r>
        <w:rPr>
          <w:rFonts w:eastAsia="Times New Roman" w:cs="Times New Roman"/>
          <w:b/>
          <w:i/>
          <w:szCs w:val="24"/>
          <w:lang w:eastAsia="cs-CZ"/>
        </w:rPr>
        <w:t>1. 1. 2021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w:t>
      </w:r>
      <w:r w:rsidRPr="00CC593D">
        <w:rPr>
          <w:rFonts w:eastAsia="Times New Roman" w:cs="Times New Roman"/>
          <w:szCs w:val="24"/>
          <w:lang w:eastAsia="cs-CZ"/>
        </w:rPr>
        <w:lastRenderedPageBreak/>
        <w:t>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w:t>
      </w:r>
      <w:proofErr w:type="gramStart"/>
      <w:r w:rsidRPr="00CC593D">
        <w:rPr>
          <w:rFonts w:eastAsia="Times New Roman" w:cs="Times New Roman"/>
          <w:szCs w:val="24"/>
          <w:lang w:eastAsia="cs-CZ"/>
        </w:rPr>
        <w:t>předpisů,</w:t>
      </w:r>
      <w:r w:rsidRPr="00CC593D">
        <w:rPr>
          <w:rFonts w:eastAsia="Times New Roman" w:cs="Times New Roman"/>
          <w:szCs w:val="24"/>
          <w:vertAlign w:val="superscript"/>
          <w:lang w:eastAsia="cs-CZ"/>
        </w:rPr>
        <w:t>27</w:t>
      </w:r>
      <w:proofErr w:type="gramEnd"/>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školské služby </w:t>
      </w:r>
      <w:r w:rsidRPr="00CC593D">
        <w:rPr>
          <w:rFonts w:eastAsia="Times New Roman" w:cs="Times New Roman"/>
          <w:szCs w:val="24"/>
          <w:lang w:eastAsia="cs-CZ"/>
        </w:rPr>
        <w:lastRenderedPageBreak/>
        <w:t>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w:t>
      </w:r>
      <w:proofErr w:type="gramEnd"/>
      <w:r w:rsidRPr="00CC593D">
        <w:rPr>
          <w:rFonts w:eastAsia="Times New Roman" w:cs="Times New Roman"/>
          <w:szCs w:val="24"/>
          <w:lang w:eastAsia="cs-CZ"/>
        </w:rPr>
        <w:t xml:space="preserve">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w:t>
      </w:r>
      <w:r w:rsidRPr="00CC593D">
        <w:rPr>
          <w:rFonts w:eastAsia="Times New Roman" w:cs="Times New Roman"/>
          <w:szCs w:val="24"/>
          <w:lang w:eastAsia="cs-CZ"/>
        </w:rPr>
        <w:lastRenderedPageBreak/>
        <w:t>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Fond investic slouží především k financování investičních potřeb školské právnické osoby. Fond investic je tvořen též odpisy z majetku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15</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w:t>
      </w:r>
      <w:proofErr w:type="gramStart"/>
      <w:r w:rsidRPr="00CC593D">
        <w:rPr>
          <w:rFonts w:eastAsia="Times New Roman" w:cs="Times New Roman"/>
          <w:szCs w:val="24"/>
          <w:lang w:eastAsia="cs-CZ"/>
        </w:rPr>
        <w:t>sdružení.</w:t>
      </w:r>
      <w:r w:rsidRPr="00CC593D">
        <w:rPr>
          <w:rFonts w:eastAsia="Times New Roman" w:cs="Times New Roman"/>
          <w:szCs w:val="24"/>
          <w:vertAlign w:val="superscript"/>
          <w:lang w:eastAsia="cs-CZ"/>
        </w:rPr>
        <w:t>32</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w:t>
      </w:r>
      <w:proofErr w:type="gramStart"/>
      <w:r w:rsidRPr="00CC593D">
        <w:rPr>
          <w:rFonts w:eastAsia="Times New Roman" w:cs="Times New Roman"/>
          <w:szCs w:val="24"/>
          <w:lang w:eastAsia="cs-CZ"/>
        </w:rPr>
        <w:t>krajem.</w:t>
      </w:r>
      <w:r w:rsidRPr="00CC593D">
        <w:rPr>
          <w:rFonts w:eastAsia="Times New Roman" w:cs="Times New Roman"/>
          <w:szCs w:val="24"/>
          <w:vertAlign w:val="superscript"/>
          <w:lang w:eastAsia="cs-CZ"/>
        </w:rPr>
        <w:t>33</w:t>
      </w:r>
      <w:proofErr w:type="gramEnd"/>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Školská právnická osoba vede účetnictví podle zvláštních právních </w:t>
      </w:r>
      <w:proofErr w:type="gramStart"/>
      <w:r w:rsidRPr="00CC593D">
        <w:rPr>
          <w:rFonts w:eastAsia="Times New Roman" w:cs="Times New Roman"/>
          <w:szCs w:val="24"/>
          <w:lang w:eastAsia="cs-CZ"/>
        </w:rPr>
        <w:t>předpisů.</w:t>
      </w:r>
      <w:r w:rsidRPr="00CC593D">
        <w:rPr>
          <w:rFonts w:eastAsia="Times New Roman" w:cs="Times New Roman"/>
          <w:szCs w:val="24"/>
          <w:vertAlign w:val="superscript"/>
          <w:lang w:eastAsia="cs-CZ"/>
        </w:rPr>
        <w:t>34</w:t>
      </w:r>
      <w:proofErr w:type="gramEnd"/>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w:t>
      </w:r>
      <w:r w:rsidRPr="00CC593D">
        <w:rPr>
          <w:rFonts w:eastAsia="Times New Roman" w:cs="Times New Roman"/>
          <w:szCs w:val="24"/>
          <w:lang w:eastAsia="cs-CZ"/>
        </w:rPr>
        <w:lastRenderedPageBreak/>
        <w:t xml:space="preserve">škol a školských zařízení a na investiční výdaje zařazené do programu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36</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w:t>
      </w:r>
      <w:proofErr w:type="gramEnd"/>
      <w:r w:rsidRPr="00CC593D">
        <w:rPr>
          <w:rFonts w:eastAsia="Times New Roman" w:cs="Times New Roman"/>
          <w:szCs w:val="24"/>
          <w:lang w:eastAsia="cs-CZ"/>
        </w:rPr>
        <w:t xml:space="preserve">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xml:space="preserve">) v rozsahu a za podmínek stanovených zvláštním právním </w:t>
      </w:r>
      <w:proofErr w:type="gramStart"/>
      <w:r w:rsidRPr="00180B34">
        <w:rPr>
          <w:rFonts w:eastAsia="Times New Roman" w:cs="Times New Roman"/>
          <w:szCs w:val="24"/>
          <w:lang w:eastAsia="cs-CZ"/>
        </w:rPr>
        <w:t>předpisem.</w:t>
      </w:r>
      <w:r w:rsidRPr="00180B34">
        <w:rPr>
          <w:rFonts w:eastAsia="Times New Roman" w:cs="Times New Roman"/>
          <w:szCs w:val="24"/>
          <w:vertAlign w:val="superscript"/>
          <w:lang w:eastAsia="cs-CZ"/>
        </w:rPr>
        <w:t>31</w:t>
      </w:r>
      <w:proofErr w:type="gramEnd"/>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 xml:space="preserve">počtem hodin přímé pedagogické činnosti podle jiného právního </w:t>
      </w:r>
      <w:proofErr w:type="gramStart"/>
      <w:r w:rsidRPr="000B1EA8">
        <w:rPr>
          <w:rFonts w:eastAsia="Times New Roman" w:cs="Times New Roman"/>
          <w:szCs w:val="24"/>
          <w:lang w:eastAsia="cs-CZ"/>
        </w:rPr>
        <w:t>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w:t>
      </w:r>
      <w:proofErr w:type="gramEnd"/>
      <w:r w:rsidRPr="000B1EA8">
        <w:rPr>
          <w:rFonts w:eastAsia="Times New Roman" w:cs="Times New Roman"/>
          <w:szCs w:val="24"/>
          <w:lang w:eastAsia="cs-CZ"/>
        </w:rPr>
        <w:t xml:space="preserv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(3) Ministerstvo rozepisuje a poskytuje na zvláštní účet kraje finanční prostředky vyčleněné ze státního rozpočtu na činnost škol a školských zařízení zřizovaných krajem, obcí nebo svazkem obcí na výdaje uvedené v § 160 odst. 1 </w:t>
      </w:r>
      <w:proofErr w:type="gramStart"/>
      <w:r w:rsidRPr="000B1EA8">
        <w:rPr>
          <w:rFonts w:eastAsia="Times New Roman" w:cs="Times New Roman"/>
          <w:iCs/>
          <w:szCs w:val="24"/>
          <w:lang w:eastAsia="cs-CZ"/>
        </w:rPr>
        <w:t>písm. c) a d) (dále</w:t>
      </w:r>
      <w:proofErr w:type="gramEnd"/>
      <w:r w:rsidRPr="000B1EA8">
        <w:rPr>
          <w:rFonts w:eastAsia="Times New Roman" w:cs="Times New Roman"/>
          <w:iCs/>
          <w:szCs w:val="24"/>
          <w:lang w:eastAsia="cs-CZ"/>
        </w:rPr>
        <w:t xml:space="preserv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w:t>
      </w:r>
      <w:r w:rsidRPr="000B1EA8">
        <w:rPr>
          <w:rFonts w:eastAsia="Times New Roman" w:cs="Times New Roman"/>
          <w:iCs/>
          <w:szCs w:val="24"/>
          <w:lang w:eastAsia="cs-CZ"/>
        </w:rPr>
        <w:lastRenderedPageBreak/>
        <w:t>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 xml:space="preserve">(11)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w:t>
      </w:r>
      <w:r w:rsidRPr="00205E2F">
        <w:rPr>
          <w:rFonts w:eastAsia="Times New Roman" w:cs="Times New Roman"/>
          <w:b/>
          <w:szCs w:val="24"/>
          <w:lang w:eastAsia="cs-CZ"/>
        </w:rPr>
        <w:lastRenderedPageBreak/>
        <w:t>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CC593D">
        <w:rPr>
          <w:rFonts w:eastAsia="Times New Roman" w:cs="Times New Roman"/>
          <w:szCs w:val="24"/>
          <w:lang w:eastAsia="cs-CZ"/>
        </w:rPr>
        <w:t>projednání nebo</w:t>
      </w:r>
      <w:proofErr w:type="gramEnd"/>
      <w:r w:rsidRPr="00CC593D">
        <w:rPr>
          <w:rFonts w:eastAsia="Times New Roman" w:cs="Times New Roman"/>
          <w:szCs w:val="24"/>
          <w:lang w:eastAsia="cs-CZ"/>
        </w:rPr>
        <w:t xml:space="preserve">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w:t>
      </w:r>
      <w:r w:rsidRPr="00CC593D">
        <w:rPr>
          <w:rFonts w:eastAsia="Times New Roman" w:cs="Times New Roman"/>
          <w:szCs w:val="24"/>
          <w:lang w:eastAsia="cs-CZ"/>
        </w:rPr>
        <w:lastRenderedPageBreak/>
        <w:t>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w:t>
      </w:r>
      <w:proofErr w:type="gramStart"/>
      <w:r w:rsidRPr="00205E2F">
        <w:rPr>
          <w:rFonts w:eastAsia="Times New Roman" w:cs="Times New Roman"/>
          <w:iCs/>
          <w:szCs w:val="24"/>
          <w:lang w:eastAsia="cs-CZ"/>
        </w:rPr>
        <w:t>předpisu,</w:t>
      </w:r>
      <w:r w:rsidRPr="00205E2F">
        <w:rPr>
          <w:rFonts w:eastAsia="Times New Roman" w:cs="Times New Roman"/>
          <w:iCs/>
          <w:szCs w:val="24"/>
          <w:vertAlign w:val="superscript"/>
          <w:lang w:eastAsia="cs-CZ"/>
        </w:rPr>
        <w:t>40</w:t>
      </w:r>
      <w:proofErr w:type="gramEnd"/>
      <w:r w:rsidRPr="00205E2F">
        <w:rPr>
          <w:rFonts w:eastAsia="Times New Roman" w:cs="Times New Roman"/>
          <w:iCs/>
          <w:szCs w:val="24"/>
          <w:vertAlign w:val="superscript"/>
          <w:lang w:eastAsia="cs-CZ"/>
        </w:rPr>
        <w:t>)</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proofErr w:type="gramStart"/>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w:t>
      </w:r>
      <w:proofErr w:type="gramEnd"/>
      <w:r w:rsidR="004B3D56" w:rsidRPr="00CC593D">
        <w:rPr>
          <w:rFonts w:eastAsia="Times New Roman" w:cs="Times New Roman"/>
          <w:szCs w:val="24"/>
          <w:lang w:eastAsia="cs-CZ"/>
        </w:rPr>
        <w:t xml:space="preserve">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proofErr w:type="gramStart"/>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w:t>
      </w:r>
      <w:proofErr w:type="gramEnd"/>
      <w:r w:rsidR="004B3D56" w:rsidRPr="00CC593D">
        <w:rPr>
          <w:rFonts w:eastAsia="Times New Roman" w:cs="Times New Roman"/>
          <w:szCs w:val="24"/>
          <w:lang w:eastAsia="cs-CZ"/>
        </w:rPr>
        <w:t xml:space="preserve">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proofErr w:type="gramStart"/>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w:t>
      </w:r>
      <w:proofErr w:type="gramEnd"/>
      <w:r w:rsidR="004B3D56" w:rsidRPr="00CC593D">
        <w:rPr>
          <w:rFonts w:eastAsia="Times New Roman" w:cs="Times New Roman"/>
          <w:szCs w:val="24"/>
          <w:lang w:eastAsia="cs-CZ"/>
        </w:rPr>
        <w:t xml:space="preserve">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proofErr w:type="gramStart"/>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w:t>
      </w:r>
      <w:proofErr w:type="gramEnd"/>
      <w:r w:rsidR="004B3D56" w:rsidRPr="00CC593D">
        <w:rPr>
          <w:rFonts w:eastAsia="Times New Roman" w:cs="Times New Roman"/>
          <w:szCs w:val="24"/>
          <w:lang w:eastAsia="cs-CZ"/>
        </w:rPr>
        <w:t xml:space="preserve">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42</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w:t>
      </w:r>
      <w:r w:rsidRPr="00CC593D">
        <w:rPr>
          <w:rFonts w:eastAsia="Times New Roman" w:cs="Times New Roman"/>
          <w:szCs w:val="24"/>
          <w:lang w:eastAsia="cs-CZ"/>
        </w:rPr>
        <w:lastRenderedPageBreak/>
        <w:t>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lastRenderedPageBreak/>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lastRenderedPageBreak/>
        <w:t>§ 184a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w:t>
      </w:r>
      <w:r w:rsidR="007023B5">
        <w:rPr>
          <w:rFonts w:eastAsia="Times New Roman" w:cs="Times New Roman"/>
          <w:b/>
          <w:i/>
          <w:szCs w:val="24"/>
          <w:lang w:eastAsia="cs-CZ"/>
        </w:rPr>
        <w:t>yla</w:t>
      </w:r>
      <w:r w:rsidRPr="00D24D77">
        <w:rPr>
          <w:rFonts w:eastAsia="Times New Roman" w:cs="Times New Roman"/>
          <w:b/>
          <w:i/>
          <w:szCs w:val="24"/>
          <w:lang w:eastAsia="cs-CZ"/>
        </w:rPr>
        <w:t xml:space="preserve">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w:t>
      </w:r>
      <w:r w:rsidRPr="00CC593D">
        <w:rPr>
          <w:rFonts w:eastAsia="Times New Roman" w:cs="Times New Roman"/>
          <w:szCs w:val="24"/>
          <w:lang w:eastAsia="cs-CZ"/>
        </w:rPr>
        <w:lastRenderedPageBreak/>
        <w:t>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w:t>
      </w:r>
      <w:proofErr w:type="gramStart"/>
      <w:r w:rsidRPr="00CC593D">
        <w:rPr>
          <w:rFonts w:eastAsia="Times New Roman" w:cs="Times New Roman"/>
          <w:szCs w:val="24"/>
          <w:lang w:eastAsia="cs-CZ"/>
        </w:rPr>
        <w:t>č.j.</w:t>
      </w:r>
      <w:proofErr w:type="gramEnd"/>
      <w:r w:rsidRPr="00CC593D">
        <w:rPr>
          <w:rFonts w:eastAsia="Times New Roman" w:cs="Times New Roman"/>
          <w:szCs w:val="24"/>
          <w:lang w:eastAsia="cs-CZ"/>
        </w:rPr>
        <w:t xml:space="preserve">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w:t>
      </w:r>
      <w:r w:rsidRPr="00CC593D">
        <w:rPr>
          <w:rFonts w:eastAsia="Times New Roman" w:cs="Times New Roman"/>
          <w:szCs w:val="24"/>
          <w:lang w:eastAsia="cs-CZ"/>
        </w:rPr>
        <w:lastRenderedPageBreak/>
        <w:t>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7023B5"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w:t>
      </w:r>
      <w:r>
        <w:rPr>
          <w:rFonts w:eastAsia="Times New Roman" w:cs="Times New Roman"/>
          <w:szCs w:val="24"/>
          <w:lang w:eastAsia="cs-CZ"/>
        </w:rPr>
        <w:lastRenderedPageBreak/>
        <w:t>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w:t>
      </w:r>
      <w:proofErr w:type="gramStart"/>
      <w:r w:rsidRPr="00CC593D">
        <w:rPr>
          <w:rFonts w:eastAsia="Times New Roman" w:cs="Times New Roman"/>
          <w:szCs w:val="24"/>
          <w:lang w:eastAsia="cs-CZ"/>
        </w:rPr>
        <w:t>přistěhovalectví a kteří</w:t>
      </w:r>
      <w:proofErr w:type="gramEnd"/>
      <w:r w:rsidRPr="00CC593D">
        <w:rPr>
          <w:rFonts w:eastAsia="Times New Roman" w:cs="Times New Roman"/>
          <w:szCs w:val="24"/>
          <w:lang w:eastAsia="cs-CZ"/>
        </w:rPr>
        <w:t xml:space="preserve">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lastRenderedPageBreak/>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w:t>
      </w:r>
      <w:proofErr w:type="gramStart"/>
      <w:r w:rsidRPr="00CC593D">
        <w:rPr>
          <w:rFonts w:eastAsia="Times New Roman" w:cs="Times New Roman"/>
          <w:szCs w:val="24"/>
          <w:lang w:eastAsia="cs-CZ"/>
        </w:rPr>
        <w:t>Sb.§ 61</w:t>
      </w:r>
      <w:proofErr w:type="gramEnd"/>
      <w:r w:rsidRPr="00CC593D">
        <w:rPr>
          <w:rFonts w:eastAsia="Times New Roman" w:cs="Times New Roman"/>
          <w:szCs w:val="24"/>
          <w:lang w:eastAsia="cs-CZ"/>
        </w:rPr>
        <w:t xml:space="preserve">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B5" w:rsidRDefault="007023B5" w:rsidP="00564522">
      <w:r>
        <w:separator/>
      </w:r>
    </w:p>
  </w:endnote>
  <w:endnote w:type="continuationSeparator" w:id="0">
    <w:p w:rsidR="007023B5" w:rsidRDefault="007023B5"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B5" w:rsidRDefault="007023B5" w:rsidP="00564522">
      <w:r>
        <w:separator/>
      </w:r>
    </w:p>
  </w:footnote>
  <w:footnote w:type="continuationSeparator" w:id="0">
    <w:p w:rsidR="007023B5" w:rsidRDefault="007023B5" w:rsidP="00564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B5" w:rsidRDefault="007023B5" w:rsidP="00564522">
    <w:pPr>
      <w:pStyle w:val="Zhlav"/>
      <w:jc w:val="center"/>
      <w:rPr>
        <w:b/>
        <w:color w:val="FF0000"/>
        <w:sz w:val="22"/>
      </w:rPr>
    </w:pPr>
    <w:r w:rsidRPr="009E7ED8">
      <w:rPr>
        <w:b/>
        <w:color w:val="FF0000"/>
        <w:sz w:val="22"/>
      </w:rPr>
      <w:t xml:space="preserve">Úplné znění ke dni </w:t>
    </w:r>
    <w:r>
      <w:rPr>
        <w:b/>
        <w:color w:val="FF0000"/>
        <w:sz w:val="22"/>
      </w:rPr>
      <w:t>13</w:t>
    </w:r>
    <w:r w:rsidRPr="009E7ED8">
      <w:rPr>
        <w:b/>
        <w:color w:val="FF0000"/>
        <w:sz w:val="22"/>
      </w:rPr>
      <w:t xml:space="preserve">. </w:t>
    </w:r>
    <w:r>
      <w:rPr>
        <w:b/>
        <w:color w:val="FF0000"/>
        <w:sz w:val="22"/>
      </w:rPr>
      <w:t>10</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7023B5" w:rsidRPr="009E7ED8" w:rsidRDefault="007023B5" w:rsidP="00564522">
    <w:pPr>
      <w:pStyle w:val="Zhlav"/>
      <w:jc w:val="center"/>
      <w:rPr>
        <w:b/>
        <w:color w:val="FF0000"/>
        <w:sz w:val="22"/>
      </w:rPr>
    </w:pPr>
    <w:r>
      <w:rPr>
        <w:b/>
        <w:color w:val="FF0000"/>
        <w:sz w:val="22"/>
      </w:rPr>
      <w:t>Vyznačené změny nabývají účinnosti dnem 1. 10. 2020, není-li dále stanoveno jinak.</w:t>
    </w:r>
  </w:p>
  <w:p w:rsidR="007023B5" w:rsidRDefault="007023B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6"/>
    <w:rsid w:val="0003099B"/>
    <w:rsid w:val="00036F8D"/>
    <w:rsid w:val="0005309E"/>
    <w:rsid w:val="00066791"/>
    <w:rsid w:val="00074E6E"/>
    <w:rsid w:val="00085D47"/>
    <w:rsid w:val="000A3A4D"/>
    <w:rsid w:val="000B1EA8"/>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938B6"/>
    <w:rsid w:val="00293B8C"/>
    <w:rsid w:val="002F1B26"/>
    <w:rsid w:val="0031593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70166"/>
    <w:rsid w:val="004917C9"/>
    <w:rsid w:val="004A394C"/>
    <w:rsid w:val="004A7B65"/>
    <w:rsid w:val="004B1201"/>
    <w:rsid w:val="004B3D56"/>
    <w:rsid w:val="004B5CC1"/>
    <w:rsid w:val="004F1AC3"/>
    <w:rsid w:val="004F4465"/>
    <w:rsid w:val="00507BA6"/>
    <w:rsid w:val="005372E2"/>
    <w:rsid w:val="0056212E"/>
    <w:rsid w:val="00564522"/>
    <w:rsid w:val="00584030"/>
    <w:rsid w:val="00584FD4"/>
    <w:rsid w:val="005A43D8"/>
    <w:rsid w:val="005A73A0"/>
    <w:rsid w:val="005D0239"/>
    <w:rsid w:val="005D5549"/>
    <w:rsid w:val="005E243E"/>
    <w:rsid w:val="00603A9E"/>
    <w:rsid w:val="00671E81"/>
    <w:rsid w:val="006C6CCE"/>
    <w:rsid w:val="006D1525"/>
    <w:rsid w:val="006D1FDA"/>
    <w:rsid w:val="006E4960"/>
    <w:rsid w:val="007023B5"/>
    <w:rsid w:val="0071449E"/>
    <w:rsid w:val="007325FE"/>
    <w:rsid w:val="00735FD1"/>
    <w:rsid w:val="00746269"/>
    <w:rsid w:val="00750762"/>
    <w:rsid w:val="0076358A"/>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C0387"/>
    <w:rsid w:val="009E55A9"/>
    <w:rsid w:val="009E7ED8"/>
    <w:rsid w:val="009F4416"/>
    <w:rsid w:val="00A376D3"/>
    <w:rsid w:val="00A40676"/>
    <w:rsid w:val="00A65D71"/>
    <w:rsid w:val="00AA38AD"/>
    <w:rsid w:val="00AC459D"/>
    <w:rsid w:val="00AC468D"/>
    <w:rsid w:val="00AC518C"/>
    <w:rsid w:val="00AD01E3"/>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B1D351"/>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0691-31A2-4A8F-9EF9-78138347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164</Pages>
  <Words>60218</Words>
  <Characters>355289</Characters>
  <Application>Microsoft Office Word</Application>
  <DocSecurity>0</DocSecurity>
  <Lines>2960</Lines>
  <Paragraphs>829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9</cp:revision>
  <dcterms:created xsi:type="dcterms:W3CDTF">2020-08-24T11:46:00Z</dcterms:created>
  <dcterms:modified xsi:type="dcterms:W3CDTF">2020-10-19T07:32:00Z</dcterms:modified>
</cp:coreProperties>
</file>