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C5" w:rsidRDefault="00E148C5" w:rsidP="00E148C5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33"/>
      <w:bookmarkStart w:id="1" w:name="_Toc519773912"/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4</w:t>
      </w:r>
      <w:r w:rsidRPr="00EF0969">
        <w:rPr>
          <w:color w:val="548DD4" w:themeColor="text2" w:themeTint="99"/>
          <w:sz w:val="22"/>
          <w:szCs w:val="22"/>
        </w:rPr>
        <w:t xml:space="preserve"> Rozpočet projektu </w:t>
      </w:r>
      <w:bookmarkEnd w:id="0"/>
      <w:bookmarkEnd w:id="1"/>
      <w:r>
        <w:rPr>
          <w:color w:val="548DD4" w:themeColor="text2" w:themeTint="99"/>
          <w:sz w:val="22"/>
          <w:szCs w:val="22"/>
        </w:rPr>
        <w:t>po aktivitách</w:t>
      </w:r>
    </w:p>
    <w:p w:rsidR="00E148C5" w:rsidRPr="00857741" w:rsidRDefault="00E148C5" w:rsidP="00E148C5">
      <w:pPr>
        <w:jc w:val="both"/>
      </w:pPr>
      <w:r w:rsidRPr="00826EDC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Hrubý rozpočet projektu po aktivitách pro </w:t>
      </w:r>
      <w:r>
        <w:rPr>
          <w:rFonts w:ascii="Calibri" w:eastAsia="Times New Roman" w:hAnsi="Calibri" w:cs="Times New Roman"/>
          <w:b/>
          <w:bCs/>
          <w:color w:val="000000"/>
          <w:lang w:eastAsia="cs-CZ"/>
        </w:rPr>
        <w:t>Výzvu</w:t>
      </w:r>
      <w:r w:rsidRPr="00397BE0">
        <w:rPr>
          <w:rFonts w:ascii="Calibri" w:eastAsia="Times New Roman" w:hAnsi="Calibri" w:cs="Times New Roman"/>
          <w:bCs/>
          <w:color w:val="000000"/>
          <w:lang w:eastAsia="cs-CZ"/>
        </w:rPr>
        <w:t xml:space="preserve"> - vyplňuje se přímo v ISPROM dle níže uvedené povinné </w:t>
      </w:r>
      <w:bookmarkStart w:id="2" w:name="_Hlk53133133"/>
      <w:r w:rsidRPr="00397BE0">
        <w:rPr>
          <w:rFonts w:ascii="Calibri" w:eastAsia="Times New Roman" w:hAnsi="Calibri" w:cs="Times New Roman"/>
          <w:bCs/>
          <w:color w:val="000000"/>
          <w:lang w:eastAsia="cs-CZ"/>
        </w:rPr>
        <w:t>osnovy a je součástí žádosti</w:t>
      </w:r>
      <w:r>
        <w:rPr>
          <w:rFonts w:ascii="Calibri" w:eastAsia="Times New Roman" w:hAnsi="Calibri" w:cs="Times New Roman"/>
          <w:bCs/>
          <w:color w:val="000000"/>
          <w:lang w:eastAsia="cs-CZ"/>
        </w:rPr>
        <w:t xml:space="preserve">. </w:t>
      </w:r>
    </w:p>
    <w:tbl>
      <w:tblPr>
        <w:tblpPr w:leftFromText="141" w:rightFromText="141" w:vertAnchor="text" w:horzAnchor="margin" w:tblpY="145"/>
        <w:tblW w:w="9552" w:type="dxa"/>
        <w:tblCellMar>
          <w:left w:w="70" w:type="dxa"/>
          <w:right w:w="70" w:type="dxa"/>
        </w:tblCellMar>
        <w:tblLook w:val="04A0"/>
      </w:tblPr>
      <w:tblGrid>
        <w:gridCol w:w="8243"/>
        <w:gridCol w:w="1309"/>
      </w:tblGrid>
      <w:tr w:rsidR="00E148C5" w:rsidRPr="00856B79" w:rsidTr="00374480">
        <w:trPr>
          <w:trHeight w:val="272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397BE0" w:rsidRDefault="00E148C5" w:rsidP="0037448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148C5" w:rsidRPr="00856B79" w:rsidTr="00374480">
        <w:trPr>
          <w:trHeight w:val="103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48C5" w:rsidRPr="00856B79" w:rsidTr="00374480">
        <w:trPr>
          <w:trHeight w:val="520"/>
        </w:trPr>
        <w:tc>
          <w:tcPr>
            <w:tcW w:w="8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48C5" w:rsidRPr="00856B79" w:rsidRDefault="00E148C5" w:rsidP="00374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48C5" w:rsidRPr="00856B79" w:rsidRDefault="00E148C5" w:rsidP="00374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Požadovaná dotace MŠMT (Kč)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Aktivita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148C5" w:rsidRPr="00856B79" w:rsidRDefault="00E148C5" w:rsidP="003744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Podpora činnosti ústředí (kanceláře) spolku (provozní náklady na ústřední úrovni)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Přímá podpora činnosti členů nebo pobočných spolků (provozní náklady na lokální úrovni, centrální náklady přímé podpory pobočných spolků či členů)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Tábory (letní, zimní)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Mezinárodní spolupráce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Vzdělávání (pracovníků s dětmi a mládeží a dalších osob zajišťujících činnost NNO)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cstheme="minorHAnsi"/>
              </w:rPr>
              <w:t>Snižování dopadů pandemie COVID 19 na děti a mládež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148C5" w:rsidRPr="00856B79" w:rsidTr="00374480">
        <w:trPr>
          <w:trHeight w:val="272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cstheme="minorHAnsi"/>
              </w:rPr>
              <w:t>Propojování neformálního a formálního vzdělávání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148C5" w:rsidRPr="00856B79" w:rsidTr="00374480">
        <w:trPr>
          <w:trHeight w:val="272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cstheme="minorHAnsi"/>
              </w:rPr>
              <w:t>Mezigenerační dialog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148C5" w:rsidRPr="00856B79" w:rsidTr="00374480">
        <w:trPr>
          <w:trHeight w:val="272"/>
        </w:trPr>
        <w:tc>
          <w:tcPr>
            <w:tcW w:w="82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8C5" w:rsidRPr="00C771BE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C771BE">
              <w:rPr>
                <w:rFonts w:ascii="Calibri" w:eastAsia="Times New Roman" w:hAnsi="Calibri" w:cs="Times New Roman"/>
                <w:lang w:eastAsia="cs-CZ"/>
              </w:rPr>
              <w:t>Ostatní volnočasové aktivity (náklady nejrůznějších akcí a aktivit dětí a mládeže mimo aktivity výše uvedené)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148C5" w:rsidRPr="00856B79" w:rsidTr="00374480">
        <w:trPr>
          <w:trHeight w:val="26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18"/>
                <w:szCs w:val="18"/>
                <w:lang w:eastAsia="cs-CZ"/>
              </w:rPr>
            </w:pPr>
            <w:r w:rsidRPr="00856B79">
              <w:rPr>
                <w:rFonts w:ascii="Calibri" w:eastAsia="Times New Roman" w:hAnsi="Calibri" w:cs="Times New Roman"/>
                <w:color w:val="212121"/>
                <w:sz w:val="18"/>
                <w:szCs w:val="18"/>
                <w:lang w:eastAsia="cs-CZ"/>
              </w:rPr>
              <w:t>Osobní náklady v jednotlivých aktivitách budou vyčleněny a uvedeny v "Rozpočet - osobní náklady"</w:t>
            </w:r>
          </w:p>
          <w:p w:rsidR="00E148C5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18"/>
                <w:szCs w:val="18"/>
                <w:lang w:eastAsia="cs-CZ"/>
              </w:rPr>
            </w:pPr>
          </w:p>
          <w:p w:rsidR="00E148C5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212121"/>
                <w:lang w:eastAsia="cs-CZ"/>
              </w:rPr>
            </w:pPr>
          </w:p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18"/>
                <w:szCs w:val="18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8C5" w:rsidRPr="00856B79" w:rsidRDefault="00E148C5" w:rsidP="00374480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18"/>
                <w:szCs w:val="18"/>
                <w:lang w:eastAsia="cs-CZ"/>
              </w:rPr>
            </w:pPr>
          </w:p>
        </w:tc>
      </w:tr>
      <w:bookmarkEnd w:id="2"/>
    </w:tbl>
    <w:p w:rsidR="00E148C5" w:rsidRPr="00644B82" w:rsidRDefault="00E148C5" w:rsidP="00E148C5"/>
    <w:p w:rsidR="00A112BB" w:rsidRDefault="00E148C5"/>
    <w:sectPr w:rsidR="00A112BB" w:rsidSect="00EA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148C5"/>
    <w:rsid w:val="000C5E0B"/>
    <w:rsid w:val="00387861"/>
    <w:rsid w:val="00E148C5"/>
    <w:rsid w:val="00EA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8C5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E148C5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148C5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E148C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E148C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E148C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148C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E148C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8C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8C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8C5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E148C5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E148C5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E148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E148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E148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E148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8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8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Company>HP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2020-10-29T19:16:00Z</dcterms:created>
  <dcterms:modified xsi:type="dcterms:W3CDTF">2020-10-29T19:16:00Z</dcterms:modified>
</cp:coreProperties>
</file>