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7D5A0687" w14:textId="77777777" w:rsidR="00C170A0" w:rsidRDefault="0018498E" w:rsidP="00672CDB">
      <w:pPr>
        <w:spacing w:after="200"/>
        <w:jc w:val="center"/>
        <w:rPr>
          <w:rFonts w:cs="Calibri"/>
          <w:b/>
          <w:color w:val="31849B"/>
          <w:sz w:val="72"/>
          <w:szCs w:val="72"/>
        </w:rPr>
      </w:pPr>
      <w:r w:rsidRPr="00672CDB">
        <w:rPr>
          <w:rFonts w:cs="Calibri"/>
          <w:b/>
          <w:color w:val="31849B"/>
          <w:sz w:val="72"/>
          <w:szCs w:val="72"/>
        </w:rPr>
        <w:t xml:space="preserve">Instrukce k vyplnění vyúčtování </w:t>
      </w:r>
      <w:r w:rsidR="00672CDB" w:rsidRPr="00672CDB">
        <w:rPr>
          <w:rFonts w:cs="Calibri"/>
          <w:b/>
          <w:color w:val="31849B"/>
          <w:sz w:val="72"/>
          <w:szCs w:val="72"/>
        </w:rPr>
        <w:t xml:space="preserve">účelové </w:t>
      </w:r>
      <w:r w:rsidRPr="00672CDB">
        <w:rPr>
          <w:rFonts w:cs="Calibri"/>
          <w:b/>
          <w:color w:val="31849B"/>
          <w:sz w:val="72"/>
          <w:szCs w:val="72"/>
        </w:rPr>
        <w:t>dotace</w:t>
      </w:r>
      <w:r w:rsidR="00672CDB">
        <w:rPr>
          <w:rFonts w:cs="Calibri"/>
          <w:b/>
          <w:color w:val="31849B"/>
          <w:sz w:val="72"/>
          <w:szCs w:val="72"/>
        </w:rPr>
        <w:t xml:space="preserve"> </w:t>
      </w:r>
      <w:r w:rsidRPr="00672CDB">
        <w:rPr>
          <w:rFonts w:cs="Calibri"/>
          <w:b/>
          <w:color w:val="31849B"/>
          <w:sz w:val="72"/>
          <w:szCs w:val="72"/>
        </w:rPr>
        <w:t xml:space="preserve"> </w:t>
      </w:r>
    </w:p>
    <w:p w14:paraId="6C04BBE0" w14:textId="2CD4DE1F" w:rsidR="00F543FA" w:rsidRPr="00672CDB" w:rsidRDefault="00672CDB" w:rsidP="00672CDB">
      <w:pPr>
        <w:spacing w:after="200"/>
        <w:jc w:val="center"/>
        <w:rPr>
          <w:rFonts w:cs="Calibri"/>
          <w:b/>
          <w:color w:val="31849B"/>
          <w:sz w:val="72"/>
          <w:szCs w:val="72"/>
        </w:rPr>
      </w:pPr>
      <w:r w:rsidRPr="00672CDB">
        <w:rPr>
          <w:rFonts w:cs="Calibri"/>
          <w:b/>
          <w:color w:val="31849B"/>
          <w:sz w:val="72"/>
          <w:szCs w:val="72"/>
        </w:rPr>
        <w:t xml:space="preserve">Programu </w:t>
      </w:r>
      <w:r w:rsidR="00F543FA" w:rsidRPr="00672CDB">
        <w:rPr>
          <w:rFonts w:cs="Calibri"/>
          <w:b/>
          <w:color w:val="31849B"/>
          <w:sz w:val="72"/>
          <w:szCs w:val="72"/>
        </w:rPr>
        <w:t>podpor</w:t>
      </w:r>
      <w:r w:rsidRPr="00672CDB">
        <w:rPr>
          <w:rFonts w:cs="Calibri"/>
          <w:b/>
          <w:color w:val="31849B"/>
          <w:sz w:val="72"/>
          <w:szCs w:val="72"/>
        </w:rPr>
        <w:t>a</w:t>
      </w:r>
      <w:r w:rsidR="00F543FA" w:rsidRPr="00672CDB">
        <w:rPr>
          <w:rFonts w:cs="Calibri"/>
          <w:b/>
          <w:color w:val="31849B"/>
          <w:sz w:val="72"/>
          <w:szCs w:val="72"/>
        </w:rPr>
        <w:t xml:space="preserve"> nadaných žáků ZŠ a SŠ v roce 2020 </w:t>
      </w:r>
    </w:p>
    <w:p w14:paraId="1FE5A41E" w14:textId="77777777" w:rsidR="0018498E" w:rsidRDefault="0018498E" w:rsidP="0018498E">
      <w:pPr>
        <w:jc w:val="both"/>
        <w:rPr>
          <w:b/>
        </w:rPr>
      </w:pPr>
    </w:p>
    <w:p w14:paraId="47D5C3D4" w14:textId="77777777" w:rsidR="0018498E" w:rsidRDefault="0018498E" w:rsidP="0018498E">
      <w:pPr>
        <w:jc w:val="both"/>
        <w:rPr>
          <w:b/>
        </w:rPr>
      </w:pPr>
    </w:p>
    <w:p w14:paraId="6EC666F1" w14:textId="77777777" w:rsidR="0018498E" w:rsidRDefault="0018498E" w:rsidP="0018498E">
      <w:pPr>
        <w:jc w:val="both"/>
        <w:rPr>
          <w:b/>
        </w:rPr>
      </w:pPr>
    </w:p>
    <w:p w14:paraId="4C681DF7" w14:textId="77777777" w:rsidR="0018498E" w:rsidRDefault="0018498E" w:rsidP="0018498E">
      <w:pPr>
        <w:jc w:val="both"/>
        <w:rPr>
          <w:b/>
        </w:rPr>
      </w:pPr>
    </w:p>
    <w:p w14:paraId="515274A8" w14:textId="77777777" w:rsidR="0018498E" w:rsidRDefault="0018498E" w:rsidP="0018498E">
      <w:pPr>
        <w:jc w:val="both"/>
        <w:rPr>
          <w:b/>
        </w:rPr>
      </w:pPr>
    </w:p>
    <w:p w14:paraId="63522865" w14:textId="77777777" w:rsidR="0018498E" w:rsidRDefault="0018498E" w:rsidP="0018498E">
      <w:pPr>
        <w:jc w:val="both"/>
        <w:rPr>
          <w:b/>
        </w:rPr>
      </w:pPr>
    </w:p>
    <w:p w14:paraId="61E4A2F3" w14:textId="77777777" w:rsidR="0018498E" w:rsidRDefault="0018498E" w:rsidP="0018498E">
      <w:pPr>
        <w:jc w:val="both"/>
        <w:rPr>
          <w:b/>
        </w:rPr>
      </w:pPr>
    </w:p>
    <w:p w14:paraId="1B4C3293" w14:textId="77777777" w:rsidR="0018498E" w:rsidRDefault="0018498E" w:rsidP="0018498E">
      <w:pPr>
        <w:jc w:val="both"/>
        <w:rPr>
          <w:b/>
        </w:rPr>
      </w:pPr>
    </w:p>
    <w:p w14:paraId="553CF343" w14:textId="1EC54A53" w:rsidR="0018498E" w:rsidRDefault="0018498E" w:rsidP="0018498E">
      <w:pPr>
        <w:jc w:val="both"/>
        <w:rPr>
          <w:b/>
        </w:rPr>
      </w:pPr>
    </w:p>
    <w:p w14:paraId="11C1082E" w14:textId="35637EC4" w:rsidR="00812A26" w:rsidRDefault="00812A26" w:rsidP="0018498E">
      <w:pPr>
        <w:jc w:val="both"/>
        <w:rPr>
          <w:b/>
        </w:rPr>
      </w:pPr>
    </w:p>
    <w:p w14:paraId="4502E591" w14:textId="1B2DC6A4" w:rsidR="00812A26" w:rsidRDefault="00812A26" w:rsidP="0018498E">
      <w:pPr>
        <w:jc w:val="both"/>
        <w:rPr>
          <w:b/>
        </w:rPr>
      </w:pPr>
    </w:p>
    <w:p w14:paraId="462A48AF" w14:textId="5F3349DF" w:rsidR="00812A26" w:rsidRDefault="00812A26" w:rsidP="0018498E">
      <w:pPr>
        <w:jc w:val="both"/>
        <w:rPr>
          <w:b/>
        </w:rPr>
      </w:pPr>
    </w:p>
    <w:p w14:paraId="4DA5EA38" w14:textId="711749FF" w:rsidR="00812A26" w:rsidRDefault="00812A26" w:rsidP="0018498E">
      <w:pPr>
        <w:jc w:val="both"/>
        <w:rPr>
          <w:b/>
        </w:rPr>
      </w:pPr>
    </w:p>
    <w:p w14:paraId="257EABCE" w14:textId="77777777" w:rsidR="00812A26" w:rsidRDefault="00812A26" w:rsidP="0018498E">
      <w:pPr>
        <w:jc w:val="both"/>
        <w:rPr>
          <w:b/>
        </w:rPr>
      </w:pPr>
    </w:p>
    <w:p w14:paraId="1E4D4495" w14:textId="77777777" w:rsidR="0018498E" w:rsidRDefault="0018498E" w:rsidP="0018498E">
      <w:pPr>
        <w:jc w:val="both"/>
        <w:rPr>
          <w:b/>
        </w:rPr>
      </w:pPr>
    </w:p>
    <w:p w14:paraId="246157D3" w14:textId="642F9B2B" w:rsidR="000247B7" w:rsidRDefault="00D64F2C" w:rsidP="000247B7">
      <w:pPr>
        <w:jc w:val="both"/>
        <w:rPr>
          <w:bCs/>
        </w:rPr>
      </w:pPr>
      <w:bookmarkStart w:id="0" w:name="_Toc519773888"/>
      <w:r w:rsidRPr="00D64F2C">
        <w:rPr>
          <w:b/>
          <w:bCs/>
        </w:rPr>
        <w:lastRenderedPageBreak/>
        <w:t xml:space="preserve">Vyúčtování musí být v souladu s materiálem </w:t>
      </w:r>
      <w:r w:rsidR="00F56DCF">
        <w:rPr>
          <w:b/>
        </w:rPr>
        <w:t>d</w:t>
      </w:r>
      <w:r w:rsidR="00BB6E84">
        <w:rPr>
          <w:b/>
        </w:rPr>
        <w:t xml:space="preserve">otačního programu </w:t>
      </w:r>
      <w:r w:rsidR="00F56DCF">
        <w:rPr>
          <w:b/>
        </w:rPr>
        <w:t>„P</w:t>
      </w:r>
      <w:r w:rsidRPr="00D64F2C">
        <w:rPr>
          <w:b/>
        </w:rPr>
        <w:t>odpor</w:t>
      </w:r>
      <w:r w:rsidR="00F56DCF">
        <w:rPr>
          <w:b/>
        </w:rPr>
        <w:t>a</w:t>
      </w:r>
      <w:r w:rsidRPr="00D64F2C">
        <w:rPr>
          <w:b/>
        </w:rPr>
        <w:t xml:space="preserve"> nadaných žáků základních a středních škol v roce 2020 - VÝZVA PRO ROK 2020</w:t>
      </w:r>
      <w:r w:rsidR="00F56DCF">
        <w:rPr>
          <w:b/>
        </w:rPr>
        <w:t>“</w:t>
      </w:r>
      <w:r w:rsidRPr="00D64F2C">
        <w:rPr>
          <w:bCs/>
        </w:rPr>
        <w:t xml:space="preserve">, a to zejména </w:t>
      </w:r>
      <w:r w:rsidR="00F543FA">
        <w:rPr>
          <w:bCs/>
        </w:rPr>
        <w:t xml:space="preserve">s </w:t>
      </w:r>
      <w:r>
        <w:rPr>
          <w:bCs/>
        </w:rPr>
        <w:t>čl. 10</w:t>
      </w:r>
      <w:r w:rsidR="000247B7">
        <w:rPr>
          <w:bCs/>
        </w:rPr>
        <w:t xml:space="preserve"> </w:t>
      </w:r>
      <w:r w:rsidR="0066415C">
        <w:rPr>
          <w:bCs/>
        </w:rPr>
        <w:t xml:space="preserve">- </w:t>
      </w:r>
      <w:r w:rsidR="000247B7">
        <w:rPr>
          <w:bCs/>
        </w:rPr>
        <w:t>Povinnosti příjemce, vyúčtování dotace.</w:t>
      </w:r>
      <w:r w:rsidRPr="00D64F2C">
        <w:rPr>
          <w:bCs/>
        </w:rPr>
        <w:t xml:space="preserve"> </w:t>
      </w:r>
    </w:p>
    <w:p w14:paraId="09494058" w14:textId="77777777" w:rsidR="00406BB7" w:rsidRDefault="00406BB7" w:rsidP="00B564F7">
      <w:pPr>
        <w:jc w:val="both"/>
        <w:rPr>
          <w:bCs/>
        </w:rPr>
      </w:pPr>
    </w:p>
    <w:p w14:paraId="0D78BF25" w14:textId="3EFB970E" w:rsidR="00B564F7" w:rsidRPr="00B564F7" w:rsidRDefault="007D6BCF" w:rsidP="00B564F7">
      <w:pPr>
        <w:jc w:val="both"/>
        <w:rPr>
          <w:bCs/>
        </w:rPr>
      </w:pPr>
      <w:r>
        <w:rPr>
          <w:bCs/>
        </w:rPr>
        <w:t>Příslušná Výzva pro rok 2020 je k dispozici na webových stránkách MŠMT:</w:t>
      </w:r>
    </w:p>
    <w:p w14:paraId="5920E306" w14:textId="7B2A4778" w:rsidR="00B564F7" w:rsidRDefault="007D6BCF" w:rsidP="00B564F7">
      <w:pPr>
        <w:spacing w:after="200"/>
        <w:jc w:val="both"/>
        <w:rPr>
          <w:b/>
        </w:rPr>
      </w:pPr>
      <w:hyperlink r:id="rId9" w:history="1">
        <w:r w:rsidRPr="00636BE9">
          <w:rPr>
            <w:rStyle w:val="Hypertextovodkaz"/>
            <w:b/>
          </w:rPr>
          <w:t>https://www.msmt.cz/mladez/vyzva-k-podani-zadosti-pro-poskytnuti-dotace-na-podporu-1?highlightWords=podpora+nadan%C3%BDch+%C5%BE%C3%A1k%C5%AF+2020</w:t>
        </w:r>
      </w:hyperlink>
      <w:r>
        <w:rPr>
          <w:b/>
        </w:rPr>
        <w:t xml:space="preserve"> </w:t>
      </w:r>
    </w:p>
    <w:p w14:paraId="26C82EE6" w14:textId="016A0723" w:rsidR="00812A26" w:rsidRPr="00B564F7" w:rsidRDefault="000247B7" w:rsidP="000247B7">
      <w:pPr>
        <w:spacing w:after="200"/>
        <w:jc w:val="both"/>
        <w:rPr>
          <w:b/>
        </w:rPr>
      </w:pPr>
      <w:r>
        <w:t>P</w:t>
      </w:r>
      <w:r w:rsidRPr="000247B7">
        <w:t xml:space="preserve">říjemce </w:t>
      </w:r>
      <w:r w:rsidR="00753409">
        <w:t xml:space="preserve">dotace </w:t>
      </w:r>
      <w:r w:rsidRPr="000247B7">
        <w:t>odpovídá za hospodárné použití poskytnutých rozpočtových prostředků státního rozpočtu v souladu s rozhodnutím o poskytnuté dotaci.</w:t>
      </w:r>
      <w:bookmarkEnd w:id="0"/>
    </w:p>
    <w:p w14:paraId="5D9441F0" w14:textId="50536879" w:rsidR="000247B7" w:rsidRDefault="000247B7" w:rsidP="000247B7">
      <w:pPr>
        <w:spacing w:after="200"/>
        <w:jc w:val="both"/>
        <w:rPr>
          <w:bCs/>
        </w:rPr>
      </w:pPr>
      <w:bookmarkStart w:id="1" w:name="_Hlk60749329"/>
      <w:r w:rsidRPr="000247B7">
        <w:rPr>
          <w:bCs/>
        </w:rPr>
        <w:t>Vyúčtování poskytnuté dotace předloží příjemce dotace</w:t>
      </w:r>
      <w:r w:rsidR="006F284B">
        <w:rPr>
          <w:bCs/>
        </w:rPr>
        <w:t xml:space="preserve"> na předepsaných formulářích</w:t>
      </w:r>
      <w:r w:rsidRPr="000247B7">
        <w:rPr>
          <w:bCs/>
        </w:rPr>
        <w:t xml:space="preserve"> </w:t>
      </w:r>
      <w:r w:rsidRPr="004E129C">
        <w:rPr>
          <w:bCs/>
        </w:rPr>
        <w:t>prostřednictvím</w:t>
      </w:r>
      <w:r w:rsidRPr="000247B7">
        <w:rPr>
          <w:b/>
          <w:bCs/>
        </w:rPr>
        <w:t xml:space="preserve"> </w:t>
      </w:r>
      <w:r w:rsidRPr="004E129C">
        <w:rPr>
          <w:b/>
          <w:bCs/>
        </w:rPr>
        <w:t>datové zprávy</w:t>
      </w:r>
      <w:r w:rsidRPr="000247B7">
        <w:rPr>
          <w:bCs/>
        </w:rPr>
        <w:t xml:space="preserve"> zaslané z datové schránky subjektu odboru základního vzdělávání a mládeže / odd. rozvoje dětí a mládeže MŠMT (</w:t>
      </w:r>
      <w:r w:rsidRPr="004E129C">
        <w:rPr>
          <w:b/>
          <w:bCs/>
        </w:rPr>
        <w:t>nebo písemně poštou</w:t>
      </w:r>
      <w:r w:rsidRPr="000247B7">
        <w:rPr>
          <w:bCs/>
        </w:rPr>
        <w:t xml:space="preserve"> na adresu MŠMT), a to v termínech:</w:t>
      </w:r>
    </w:p>
    <w:bookmarkEnd w:id="1"/>
    <w:p w14:paraId="5853E715" w14:textId="4528EEF9" w:rsidR="00625272" w:rsidRPr="00BA126F" w:rsidRDefault="000247B7" w:rsidP="00BA126F">
      <w:pPr>
        <w:pStyle w:val="Odstavecseseznamem"/>
        <w:numPr>
          <w:ilvl w:val="0"/>
          <w:numId w:val="22"/>
        </w:numPr>
        <w:spacing w:after="200"/>
        <w:jc w:val="both"/>
      </w:pPr>
      <w:r w:rsidRPr="00BA126F">
        <w:rPr>
          <w:b/>
          <w:bCs/>
        </w:rPr>
        <w:t>nejpozději do 31</w:t>
      </w:r>
      <w:r w:rsidR="004E129C" w:rsidRPr="00BA126F">
        <w:rPr>
          <w:b/>
          <w:bCs/>
        </w:rPr>
        <w:t>.</w:t>
      </w:r>
      <w:r w:rsidR="00F56DCF">
        <w:rPr>
          <w:b/>
          <w:bCs/>
        </w:rPr>
        <w:t xml:space="preserve"> </w:t>
      </w:r>
      <w:r w:rsidRPr="00BA126F">
        <w:rPr>
          <w:b/>
          <w:bCs/>
        </w:rPr>
        <w:t>1</w:t>
      </w:r>
      <w:r w:rsidR="004E129C" w:rsidRPr="00BA126F">
        <w:rPr>
          <w:b/>
          <w:bCs/>
        </w:rPr>
        <w:t>.</w:t>
      </w:r>
      <w:r w:rsidR="00F56DCF">
        <w:rPr>
          <w:b/>
          <w:bCs/>
        </w:rPr>
        <w:t xml:space="preserve"> </w:t>
      </w:r>
      <w:r w:rsidRPr="00BA126F">
        <w:rPr>
          <w:b/>
          <w:bCs/>
        </w:rPr>
        <w:t>2021</w:t>
      </w:r>
      <w:r w:rsidRPr="00BA126F">
        <w:rPr>
          <w:bCs/>
        </w:rPr>
        <w:t xml:space="preserve"> </w:t>
      </w:r>
      <w:r w:rsidR="00625272" w:rsidRPr="00BA126F">
        <w:rPr>
          <w:bCs/>
        </w:rPr>
        <w:t>na předepsaných formulářích</w:t>
      </w:r>
      <w:r w:rsidRPr="00BA126F">
        <w:rPr>
          <w:bCs/>
        </w:rPr>
        <w:t xml:space="preserve"> Vyúčtování dotace a Závěrečné zprávy </w:t>
      </w:r>
      <w:r w:rsidR="00625272" w:rsidRPr="00BA126F">
        <w:rPr>
          <w:bCs/>
        </w:rPr>
        <w:br/>
      </w:r>
      <w:r w:rsidRPr="00BA126F">
        <w:rPr>
          <w:bCs/>
        </w:rPr>
        <w:t xml:space="preserve">o věcném </w:t>
      </w:r>
      <w:r w:rsidR="000603A3" w:rsidRPr="00BA126F">
        <w:rPr>
          <w:bCs/>
        </w:rPr>
        <w:t>plněn</w:t>
      </w:r>
      <w:r w:rsidRPr="00BA126F">
        <w:rPr>
          <w:bCs/>
        </w:rPr>
        <w:t>í projektu</w:t>
      </w:r>
      <w:r w:rsidR="00625272" w:rsidRPr="00BA126F">
        <w:rPr>
          <w:bCs/>
        </w:rPr>
        <w:t>, které tvoří součást přílohy k rozhodnutí o poskytnutí dotace</w:t>
      </w:r>
      <w:r w:rsidR="00E352DB" w:rsidRPr="00BA126F">
        <w:rPr>
          <w:bCs/>
        </w:rPr>
        <w:t>,</w:t>
      </w:r>
    </w:p>
    <w:p w14:paraId="0635FBED" w14:textId="07F897AB" w:rsidR="000247B7" w:rsidRPr="000247B7" w:rsidRDefault="000247B7" w:rsidP="00BA126F">
      <w:pPr>
        <w:pStyle w:val="Odstavecseseznamem"/>
        <w:numPr>
          <w:ilvl w:val="0"/>
          <w:numId w:val="22"/>
        </w:numPr>
        <w:spacing w:after="200"/>
        <w:jc w:val="both"/>
      </w:pPr>
      <w:r w:rsidRPr="00BA126F">
        <w:rPr>
          <w:b/>
          <w:bCs/>
        </w:rPr>
        <w:t>nejpozději do 15</w:t>
      </w:r>
      <w:r w:rsidR="004E129C" w:rsidRPr="00BA126F">
        <w:rPr>
          <w:b/>
          <w:bCs/>
        </w:rPr>
        <w:t>.</w:t>
      </w:r>
      <w:r w:rsidR="00F56DCF">
        <w:rPr>
          <w:b/>
          <w:bCs/>
        </w:rPr>
        <w:t xml:space="preserve"> </w:t>
      </w:r>
      <w:r w:rsidRPr="00BA126F">
        <w:rPr>
          <w:b/>
          <w:bCs/>
        </w:rPr>
        <w:t>2</w:t>
      </w:r>
      <w:r w:rsidR="004E129C" w:rsidRPr="00BA126F">
        <w:rPr>
          <w:b/>
          <w:bCs/>
        </w:rPr>
        <w:t>.</w:t>
      </w:r>
      <w:r w:rsidR="00F56DCF">
        <w:rPr>
          <w:b/>
          <w:bCs/>
        </w:rPr>
        <w:t xml:space="preserve"> </w:t>
      </w:r>
      <w:r w:rsidRPr="00BA126F">
        <w:rPr>
          <w:b/>
          <w:bCs/>
        </w:rPr>
        <w:t>2021</w:t>
      </w:r>
      <w:r w:rsidRPr="00BA126F">
        <w:rPr>
          <w:bCs/>
        </w:rPr>
        <w:t xml:space="preserve"> </w:t>
      </w:r>
      <w:r w:rsidR="00625272" w:rsidRPr="00BA126F">
        <w:rPr>
          <w:bCs/>
        </w:rPr>
        <w:t xml:space="preserve">na </w:t>
      </w:r>
      <w:r w:rsidR="000603A3" w:rsidRPr="00BA126F">
        <w:rPr>
          <w:bCs/>
        </w:rPr>
        <w:t xml:space="preserve">předepsaném </w:t>
      </w:r>
      <w:r w:rsidRPr="00BA126F">
        <w:rPr>
          <w:bCs/>
        </w:rPr>
        <w:t>formulář</w:t>
      </w:r>
      <w:r w:rsidR="00625272" w:rsidRPr="00BA126F">
        <w:rPr>
          <w:bCs/>
        </w:rPr>
        <w:t>i</w:t>
      </w:r>
      <w:r w:rsidRPr="00BA126F">
        <w:rPr>
          <w:bCs/>
        </w:rPr>
        <w:t xml:space="preserve"> </w:t>
      </w:r>
      <w:r w:rsidR="0066415C" w:rsidRPr="00BA126F">
        <w:rPr>
          <w:bCs/>
        </w:rPr>
        <w:t>Finanční vypořádání vztahů</w:t>
      </w:r>
      <w:r w:rsidR="000603A3" w:rsidRPr="00BA126F">
        <w:rPr>
          <w:bCs/>
        </w:rPr>
        <w:t xml:space="preserve"> se státním rozpočtem,</w:t>
      </w:r>
      <w:r w:rsidR="0066415C" w:rsidRPr="00BA126F">
        <w:rPr>
          <w:bCs/>
        </w:rPr>
        <w:t xml:space="preserve"> daným </w:t>
      </w:r>
      <w:r w:rsidR="00625272" w:rsidRPr="006A36A3">
        <w:t>vyhláškou</w:t>
      </w:r>
      <w:r w:rsidR="0066415C" w:rsidRPr="00BA12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415C" w:rsidRPr="0066415C">
        <w:t>č.</w:t>
      </w:r>
      <w:r w:rsidR="0066415C">
        <w:t xml:space="preserve"> </w:t>
      </w:r>
      <w:r w:rsidR="0066415C" w:rsidRPr="0066415C">
        <w:t>367/2015 Sb., o zásadách a lhůtách finančního vypořádání vztahů se státním rozpočtem, státními finančními aktivy a Národním fondem (vyhláška o</w:t>
      </w:r>
      <w:r w:rsidR="00BA126F">
        <w:t> </w:t>
      </w:r>
      <w:r w:rsidR="0066415C" w:rsidRPr="0066415C">
        <w:t>finančním vypořádání)</w:t>
      </w:r>
      <w:r w:rsidR="009071EA">
        <w:t>, ve znění pozdějších předpisů.</w:t>
      </w:r>
    </w:p>
    <w:p w14:paraId="41977177" w14:textId="77777777" w:rsidR="00812A26" w:rsidRDefault="00812A26" w:rsidP="000247B7">
      <w:pPr>
        <w:jc w:val="both"/>
        <w:rPr>
          <w:b/>
          <w:bCs/>
        </w:rPr>
      </w:pPr>
    </w:p>
    <w:p w14:paraId="633D1AFA" w14:textId="2B5301E2" w:rsidR="000247B7" w:rsidRDefault="00A2067F" w:rsidP="000247B7">
      <w:pPr>
        <w:spacing w:after="200"/>
        <w:jc w:val="both"/>
        <w:rPr>
          <w:b/>
        </w:rPr>
      </w:pPr>
      <w:r w:rsidRPr="00A2067F">
        <w:rPr>
          <w:b/>
        </w:rPr>
        <w:t xml:space="preserve">Pro účely </w:t>
      </w:r>
      <w:r w:rsidR="000247B7" w:rsidRPr="00A2067F">
        <w:rPr>
          <w:b/>
        </w:rPr>
        <w:t>vyúčtování</w:t>
      </w:r>
      <w:r w:rsidR="009071EA">
        <w:rPr>
          <w:b/>
        </w:rPr>
        <w:t xml:space="preserve"> dotace</w:t>
      </w:r>
      <w:r w:rsidR="000247B7" w:rsidRPr="00A2067F">
        <w:rPr>
          <w:b/>
        </w:rPr>
        <w:t xml:space="preserve"> za rok 2020 </w:t>
      </w:r>
      <w:r w:rsidRPr="00A2067F">
        <w:rPr>
          <w:b/>
        </w:rPr>
        <w:t>se použijí</w:t>
      </w:r>
      <w:r w:rsidR="000247B7" w:rsidRPr="00A2067F">
        <w:rPr>
          <w:b/>
        </w:rPr>
        <w:t xml:space="preserve"> přiložené formuláře:</w:t>
      </w:r>
    </w:p>
    <w:p w14:paraId="3A40C9EE" w14:textId="3F1A817B" w:rsidR="000247B7" w:rsidRDefault="000247B7" w:rsidP="00BA126F">
      <w:pPr>
        <w:pStyle w:val="Odstavecseseznamem"/>
        <w:numPr>
          <w:ilvl w:val="0"/>
          <w:numId w:val="23"/>
        </w:numPr>
        <w:spacing w:after="200"/>
        <w:jc w:val="both"/>
      </w:pPr>
      <w:r w:rsidRPr="000247B7">
        <w:t>Vyúčtování dotace (listy 1 až 5; součástí list „</w:t>
      </w:r>
      <w:proofErr w:type="gramStart"/>
      <w:r w:rsidRPr="000247B7">
        <w:t>3A</w:t>
      </w:r>
      <w:proofErr w:type="gramEnd"/>
      <w:r w:rsidRPr="000247B7">
        <w:t xml:space="preserve">-Fin. vypořádání se SR“ k provedení </w:t>
      </w:r>
      <w:r w:rsidR="009071EA">
        <w:t>f</w:t>
      </w:r>
      <w:r w:rsidRPr="000247B7">
        <w:t xml:space="preserve">inančního vypořádání vztahů se státním rozpočtem) → viz přiložený </w:t>
      </w:r>
      <w:proofErr w:type="spellStart"/>
      <w:r w:rsidRPr="000247B7">
        <w:t>excel</w:t>
      </w:r>
      <w:proofErr w:type="spellEnd"/>
      <w:r w:rsidRPr="000247B7">
        <w:t>-soubor</w:t>
      </w:r>
      <w:r w:rsidR="00283B12">
        <w:t>,</w:t>
      </w:r>
    </w:p>
    <w:p w14:paraId="628F7285" w14:textId="585782C9" w:rsidR="000247B7" w:rsidRDefault="000247B7" w:rsidP="00BA126F">
      <w:pPr>
        <w:pStyle w:val="Odstavecseseznamem"/>
        <w:numPr>
          <w:ilvl w:val="0"/>
          <w:numId w:val="23"/>
        </w:numPr>
        <w:spacing w:after="200"/>
        <w:jc w:val="both"/>
      </w:pPr>
      <w:r w:rsidRPr="000247B7">
        <w:t>Závěrečn</w:t>
      </w:r>
      <w:r w:rsidR="00D5614C">
        <w:t>á</w:t>
      </w:r>
      <w:r w:rsidRPr="000247B7">
        <w:t xml:space="preserve"> zpráv</w:t>
      </w:r>
      <w:r w:rsidR="00D5614C">
        <w:t>a</w:t>
      </w:r>
      <w:r w:rsidRPr="000247B7">
        <w:t xml:space="preserve"> o </w:t>
      </w:r>
      <w:r w:rsidR="009071EA">
        <w:t>věcném plnění</w:t>
      </w:r>
      <w:r w:rsidRPr="000247B7">
        <w:t xml:space="preserve"> projektu → viz přiložený </w:t>
      </w:r>
      <w:proofErr w:type="spellStart"/>
      <w:r w:rsidRPr="000247B7">
        <w:t>word</w:t>
      </w:r>
      <w:proofErr w:type="spellEnd"/>
      <w:r w:rsidRPr="000247B7">
        <w:t>-soubor 1</w:t>
      </w:r>
      <w:r w:rsidR="00283B12">
        <w:t>,</w:t>
      </w:r>
    </w:p>
    <w:p w14:paraId="4216D477" w14:textId="30A04405" w:rsidR="000247B7" w:rsidRDefault="00283B12" w:rsidP="00BA126F">
      <w:pPr>
        <w:pStyle w:val="Odstavecseseznamem"/>
        <w:numPr>
          <w:ilvl w:val="0"/>
          <w:numId w:val="23"/>
        </w:numPr>
        <w:spacing w:after="200"/>
        <w:jc w:val="both"/>
      </w:pPr>
      <w:r w:rsidRPr="00283B12">
        <w:t xml:space="preserve">Avízo </w:t>
      </w:r>
      <w:r w:rsidR="007F6406">
        <w:t>o</w:t>
      </w:r>
      <w:bookmarkStart w:id="2" w:name="_GoBack"/>
      <w:bookmarkEnd w:id="2"/>
      <w:r w:rsidRPr="00283B12">
        <w:t xml:space="preserve"> vratce </w:t>
      </w:r>
      <w:r w:rsidR="000247B7" w:rsidRPr="000247B7">
        <w:t>(</w:t>
      </w:r>
      <w:r w:rsidR="00113F37">
        <w:t xml:space="preserve">v </w:t>
      </w:r>
      <w:r w:rsidR="000247B7" w:rsidRPr="000247B7">
        <w:t>případ</w:t>
      </w:r>
      <w:r w:rsidR="00113F37">
        <w:t>ě</w:t>
      </w:r>
      <w:r w:rsidR="000247B7" w:rsidRPr="000247B7">
        <w:t xml:space="preserve"> vrácení </w:t>
      </w:r>
      <w:r w:rsidR="00113F37">
        <w:t xml:space="preserve">(části) </w:t>
      </w:r>
      <w:r w:rsidR="000247B7" w:rsidRPr="000247B7">
        <w:t>dotace</w:t>
      </w:r>
      <w:r w:rsidR="00113F37">
        <w:t xml:space="preserve"> </w:t>
      </w:r>
      <w:r w:rsidR="000247B7" w:rsidRPr="000247B7">
        <w:t>na účet MŠMT)</w:t>
      </w:r>
      <w:r w:rsidR="00113F37">
        <w:t xml:space="preserve">, viz </w:t>
      </w:r>
      <w:r w:rsidR="000247B7" w:rsidRPr="000247B7">
        <w:t xml:space="preserve">přiložený </w:t>
      </w:r>
      <w:proofErr w:type="spellStart"/>
      <w:r w:rsidR="000247B7" w:rsidRPr="000247B7">
        <w:t>word</w:t>
      </w:r>
      <w:proofErr w:type="spellEnd"/>
      <w:r w:rsidR="000247B7" w:rsidRPr="000247B7">
        <w:t>-soubor 2.  </w:t>
      </w:r>
    </w:p>
    <w:p w14:paraId="6E5B4F1C" w14:textId="30E52306" w:rsidR="00B16CD8" w:rsidRDefault="00B16CD8" w:rsidP="00B16CD8"/>
    <w:p w14:paraId="38C5A0BC" w14:textId="369D6EFF" w:rsidR="00E8547E" w:rsidRDefault="00D5614C" w:rsidP="00E8547E">
      <w:pPr>
        <w:jc w:val="both"/>
        <w:rPr>
          <w:b/>
          <w:bCs/>
        </w:rPr>
      </w:pPr>
      <w:r>
        <w:rPr>
          <w:b/>
          <w:bCs/>
        </w:rPr>
        <w:t>P</w:t>
      </w:r>
      <w:r w:rsidRPr="000247B7">
        <w:rPr>
          <w:b/>
          <w:bCs/>
        </w:rPr>
        <w:t xml:space="preserve">říjemce dotace </w:t>
      </w:r>
      <w:r>
        <w:rPr>
          <w:b/>
          <w:bCs/>
        </w:rPr>
        <w:t xml:space="preserve">je současně </w:t>
      </w:r>
      <w:r w:rsidRPr="000247B7">
        <w:rPr>
          <w:b/>
          <w:bCs/>
        </w:rPr>
        <w:t>povinen vložit</w:t>
      </w:r>
      <w:r w:rsidR="00BA126F">
        <w:rPr>
          <w:b/>
          <w:bCs/>
        </w:rPr>
        <w:t xml:space="preserve"> do 31. 1. 2021</w:t>
      </w:r>
      <w:r w:rsidRPr="000247B7">
        <w:rPr>
          <w:b/>
          <w:bCs/>
        </w:rPr>
        <w:t xml:space="preserve"> vyúčtování dotace do elektronického systému ISPROM na</w:t>
      </w:r>
      <w:r>
        <w:rPr>
          <w:b/>
          <w:bCs/>
        </w:rPr>
        <w:t xml:space="preserve"> </w:t>
      </w:r>
      <w:r w:rsidRPr="000247B7">
        <w:rPr>
          <w:b/>
          <w:bCs/>
        </w:rPr>
        <w:t>adrese </w:t>
      </w:r>
      <w:hyperlink r:id="rId10" w:tgtFrame="_blank" w:history="1">
        <w:r w:rsidRPr="000247B7">
          <w:rPr>
            <w:rStyle w:val="Hypertextovodkaz"/>
            <w:b/>
            <w:bCs/>
          </w:rPr>
          <w:t>https://isprom.msmt.cz</w:t>
        </w:r>
      </w:hyperlink>
      <w:r w:rsidR="00E8547E">
        <w:rPr>
          <w:b/>
          <w:bCs/>
        </w:rPr>
        <w:t xml:space="preserve">, na kterou </w:t>
      </w:r>
      <w:r w:rsidR="007B7646" w:rsidRPr="007B7646">
        <w:rPr>
          <w:b/>
          <w:bCs/>
        </w:rPr>
        <w:t xml:space="preserve">se vkládají samostatně </w:t>
      </w:r>
      <w:r w:rsidR="003A6708">
        <w:rPr>
          <w:b/>
          <w:bCs/>
        </w:rPr>
        <w:t xml:space="preserve">dva </w:t>
      </w:r>
      <w:r w:rsidR="007B7646" w:rsidRPr="007B7646">
        <w:rPr>
          <w:b/>
          <w:bCs/>
        </w:rPr>
        <w:t>soubory:</w:t>
      </w:r>
    </w:p>
    <w:p w14:paraId="207F4BFB" w14:textId="6C088D36" w:rsidR="007B7646" w:rsidRDefault="00242309" w:rsidP="00BA126F">
      <w:pPr>
        <w:pStyle w:val="Odstavecseseznamem"/>
        <w:numPr>
          <w:ilvl w:val="0"/>
          <w:numId w:val="24"/>
        </w:numPr>
        <w:jc w:val="both"/>
        <w:rPr>
          <w:bCs/>
        </w:rPr>
      </w:pPr>
      <w:r w:rsidRPr="00BA126F">
        <w:rPr>
          <w:bCs/>
        </w:rPr>
        <w:t>Vyúčtování dotace 2020</w:t>
      </w:r>
      <w:r w:rsidR="0035313C">
        <w:rPr>
          <w:bCs/>
        </w:rPr>
        <w:t>:</w:t>
      </w:r>
      <w:r w:rsidRPr="00BA126F">
        <w:rPr>
          <w:bCs/>
        </w:rPr>
        <w:t xml:space="preserve"> </w:t>
      </w:r>
      <w:r w:rsidR="0035313C">
        <w:rPr>
          <w:bCs/>
        </w:rPr>
        <w:t>„VyuctDotace2020-</w:t>
      </w:r>
      <w:r w:rsidRPr="00BA126F">
        <w:rPr>
          <w:bCs/>
        </w:rPr>
        <w:t>for</w:t>
      </w:r>
      <w:r w:rsidR="0035313C">
        <w:rPr>
          <w:bCs/>
        </w:rPr>
        <w:t>m</w:t>
      </w:r>
      <w:r w:rsidRPr="00BA126F">
        <w:rPr>
          <w:bCs/>
        </w:rPr>
        <w:t>NADANI</w:t>
      </w:r>
      <w:r w:rsidR="0035313C">
        <w:rPr>
          <w:bCs/>
        </w:rPr>
        <w:t>-ZAMK2“</w:t>
      </w:r>
      <w:r w:rsidR="007B7646" w:rsidRPr="00BA126F">
        <w:rPr>
          <w:bCs/>
        </w:rPr>
        <w:t xml:space="preserve"> ve formátu </w:t>
      </w:r>
      <w:r w:rsidR="007B7646" w:rsidRPr="007B7646">
        <w:t>XLS/XLSX (případně ODS)</w:t>
      </w:r>
      <w:r w:rsidR="007B7646" w:rsidRPr="00BA126F">
        <w:rPr>
          <w:bCs/>
        </w:rPr>
        <w:t>,</w:t>
      </w:r>
    </w:p>
    <w:p w14:paraId="4E929CD9" w14:textId="0967A6B3" w:rsidR="007B7646" w:rsidRPr="00BA126F" w:rsidRDefault="007B7646" w:rsidP="00BA126F">
      <w:pPr>
        <w:pStyle w:val="Odstavecseseznamem"/>
        <w:numPr>
          <w:ilvl w:val="0"/>
          <w:numId w:val="24"/>
        </w:numPr>
        <w:jc w:val="both"/>
        <w:rPr>
          <w:bCs/>
        </w:rPr>
      </w:pPr>
      <w:r w:rsidRPr="00BA126F">
        <w:rPr>
          <w:bCs/>
        </w:rPr>
        <w:t xml:space="preserve">Závěrečná zpráva o </w:t>
      </w:r>
      <w:r w:rsidR="00BA126F">
        <w:rPr>
          <w:bCs/>
        </w:rPr>
        <w:t>věcném plnění projektu</w:t>
      </w:r>
      <w:r w:rsidR="0035313C">
        <w:rPr>
          <w:bCs/>
        </w:rPr>
        <w:t>: „ZaverecnaZpravaOprojektu-2020“</w:t>
      </w:r>
      <w:r w:rsidRPr="00BA126F">
        <w:rPr>
          <w:bCs/>
        </w:rPr>
        <w:t xml:space="preserve"> ve formátu </w:t>
      </w:r>
      <w:r w:rsidRPr="007B7646">
        <w:t>DOC/DOCX (případně ODT)</w:t>
      </w:r>
      <w:r w:rsidRPr="00BA126F">
        <w:rPr>
          <w:bCs/>
        </w:rPr>
        <w:t xml:space="preserve">. </w:t>
      </w:r>
    </w:p>
    <w:p w14:paraId="6C0D6DDA" w14:textId="6954484B" w:rsidR="007B7646" w:rsidRDefault="007B7646" w:rsidP="00D5614C">
      <w:pPr>
        <w:jc w:val="both"/>
      </w:pPr>
    </w:p>
    <w:p w14:paraId="30A4FA92" w14:textId="77777777" w:rsidR="00AF29F7" w:rsidRPr="006276BE" w:rsidRDefault="00AF29F7" w:rsidP="00AF29F7">
      <w:pPr>
        <w:jc w:val="both"/>
        <w:rPr>
          <w:b/>
        </w:rPr>
      </w:pPr>
      <w:r w:rsidRPr="006276BE">
        <w:rPr>
          <w:b/>
        </w:rPr>
        <w:t xml:space="preserve">K vyúčtování </w:t>
      </w:r>
      <w:r>
        <w:rPr>
          <w:b/>
        </w:rPr>
        <w:t>příjemce dotace</w:t>
      </w:r>
      <w:r w:rsidRPr="006276BE">
        <w:rPr>
          <w:b/>
        </w:rPr>
        <w:t xml:space="preserve"> nepřikládá originály ani kopie účetních dokladů. Tyto doklady je</w:t>
      </w:r>
      <w:r>
        <w:rPr>
          <w:b/>
        </w:rPr>
        <w:t xml:space="preserve"> </w:t>
      </w:r>
      <w:r w:rsidRPr="006276BE">
        <w:rPr>
          <w:b/>
        </w:rPr>
        <w:t>povinen u sebe uložit a předložit na vyžádání MŠMT či kontrolního orgánu.</w:t>
      </w:r>
      <w:r>
        <w:rPr>
          <w:b/>
        </w:rPr>
        <w:t xml:space="preserve"> </w:t>
      </w:r>
    </w:p>
    <w:p w14:paraId="442D83E3" w14:textId="7D402C56" w:rsidR="00AF29F7" w:rsidRPr="006276BE" w:rsidRDefault="00AF29F7" w:rsidP="00AF29F7">
      <w:pPr>
        <w:jc w:val="both"/>
      </w:pPr>
      <w:r w:rsidRPr="006276BE">
        <w:t>List vyúčtování D1 musí být podepsán statutárním zástupcem organizace. Vyúčtování musí být zasláno MŠMT v listinné podobě nejpozději do 31. 1. 20</w:t>
      </w:r>
      <w:r>
        <w:t>21</w:t>
      </w:r>
      <w:r w:rsidRPr="006276BE">
        <w:t xml:space="preserve"> (rozhodující je razítko pošty) na oficiální</w:t>
      </w:r>
      <w:r>
        <w:t>ch</w:t>
      </w:r>
      <w:r w:rsidRPr="006276BE">
        <w:t xml:space="preserve"> formulář</w:t>
      </w:r>
      <w:r>
        <w:t>ích</w:t>
      </w:r>
      <w:r w:rsidRPr="006276BE">
        <w:t xml:space="preserve"> MŠMT</w:t>
      </w:r>
      <w:r>
        <w:t>, příp. datovou zprávou prostřednictvím datové schránky organizace (v tomto případě se na listu D1 podpis statutárního zástupce organizace nevyžaduje)</w:t>
      </w:r>
      <w:r w:rsidR="009071EA">
        <w:t>.</w:t>
      </w:r>
    </w:p>
    <w:p w14:paraId="616667B2" w14:textId="77777777" w:rsidR="00AF29F7" w:rsidRDefault="00AF29F7" w:rsidP="00D5614C">
      <w:pPr>
        <w:jc w:val="both"/>
      </w:pPr>
    </w:p>
    <w:p w14:paraId="56E3E65F" w14:textId="77777777" w:rsidR="00F56DCF" w:rsidRDefault="00F56DCF" w:rsidP="003A6708">
      <w:pPr>
        <w:rPr>
          <w:b/>
        </w:rPr>
      </w:pPr>
    </w:p>
    <w:p w14:paraId="0C494A00" w14:textId="77777777" w:rsidR="00F56DCF" w:rsidRDefault="00F56DCF" w:rsidP="003A6708">
      <w:pPr>
        <w:rPr>
          <w:b/>
        </w:rPr>
      </w:pPr>
    </w:p>
    <w:p w14:paraId="511E1E8F" w14:textId="00099FEF" w:rsidR="003A6708" w:rsidRPr="003A6708" w:rsidRDefault="003A6708" w:rsidP="003A6708">
      <w:pPr>
        <w:rPr>
          <w:b/>
        </w:rPr>
      </w:pPr>
      <w:r w:rsidRPr="003A6708">
        <w:rPr>
          <w:b/>
        </w:rPr>
        <w:lastRenderedPageBreak/>
        <w:t xml:space="preserve">Nahrání vyúčtování do </w:t>
      </w:r>
      <w:proofErr w:type="spellStart"/>
      <w:r w:rsidRPr="003A6708">
        <w:rPr>
          <w:b/>
        </w:rPr>
        <w:t>ISPROMu</w:t>
      </w:r>
      <w:proofErr w:type="spellEnd"/>
    </w:p>
    <w:p w14:paraId="0B8747A4" w14:textId="20292245" w:rsidR="003A6708" w:rsidRDefault="003A6708" w:rsidP="003A6708">
      <w:pPr>
        <w:jc w:val="both"/>
      </w:pPr>
      <w:r w:rsidRPr="003A6708">
        <w:t>Žadatel se přihlásí ke svému účtu v systému ISPROM. V záložce „PROJEKTY“, pod konkrétním</w:t>
      </w:r>
      <w:r>
        <w:t xml:space="preserve"> </w:t>
      </w:r>
      <w:r w:rsidRPr="003A6708">
        <w:t>dotačním programem, v seznamu podpořených žádostí je u konkrétního projektu tlačítko „NAHRÁT</w:t>
      </w:r>
      <w:r>
        <w:t xml:space="preserve"> </w:t>
      </w:r>
      <w:r w:rsidRPr="003A6708">
        <w:t>VYÚČTOVÁNÍ“.</w:t>
      </w:r>
    </w:p>
    <w:p w14:paraId="29AFC812" w14:textId="77777777" w:rsidR="001C65F0" w:rsidRDefault="001C65F0" w:rsidP="001C65F0">
      <w:pPr>
        <w:jc w:val="both"/>
      </w:pPr>
    </w:p>
    <w:p w14:paraId="5D645782" w14:textId="1494C0A9" w:rsidR="001C65F0" w:rsidRPr="001C65F0" w:rsidRDefault="001C65F0" w:rsidP="001C65F0">
      <w:pPr>
        <w:jc w:val="both"/>
      </w:pPr>
      <w:r w:rsidRPr="001C65F0"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6514789F" w14:textId="5B9E887E" w:rsidR="001C65F0" w:rsidRDefault="001C65F0" w:rsidP="003A6708">
      <w:pPr>
        <w:jc w:val="both"/>
      </w:pPr>
    </w:p>
    <w:p w14:paraId="1EB27FAC" w14:textId="77777777" w:rsidR="00B564F7" w:rsidRPr="00B564F7" w:rsidRDefault="00B564F7" w:rsidP="00B564F7">
      <w:pPr>
        <w:jc w:val="both"/>
      </w:pPr>
      <w:r w:rsidRPr="00B564F7">
        <w:t>Po odeslání vyúčtování je u projektu stav „vyúčtováno“. Pokud MŠMT zjistí, že ve vyúčtování jsou nedostatky, vrátí vyúčtování žadateli k doplnění/opravě. Stav projektu bude nastaven na „vyúčtování vráceno“. Pokud je vyúčtování v pořádku, nastaví MŠMT u projektu stav „vyúčtování přijato“.</w:t>
      </w:r>
    </w:p>
    <w:p w14:paraId="00E1992B" w14:textId="77777777" w:rsidR="00B564F7" w:rsidRDefault="00B564F7" w:rsidP="000247B7">
      <w:pPr>
        <w:spacing w:after="200"/>
        <w:jc w:val="both"/>
      </w:pPr>
    </w:p>
    <w:p w14:paraId="00E1A164" w14:textId="0AB7603B" w:rsidR="000247B7" w:rsidRDefault="000247B7" w:rsidP="000247B7">
      <w:pPr>
        <w:spacing w:after="200"/>
        <w:jc w:val="both"/>
        <w:rPr>
          <w:bCs/>
        </w:rPr>
      </w:pPr>
      <w:r w:rsidRPr="00A2067F">
        <w:rPr>
          <w:b/>
        </w:rPr>
        <w:t xml:space="preserve">Bližší informace </w:t>
      </w:r>
      <w:r w:rsidR="00A2067F">
        <w:rPr>
          <w:b/>
        </w:rPr>
        <w:t xml:space="preserve">pro </w:t>
      </w:r>
      <w:r w:rsidRPr="00A2067F">
        <w:rPr>
          <w:b/>
        </w:rPr>
        <w:t>vypl</w:t>
      </w:r>
      <w:r w:rsidR="00A2067F">
        <w:rPr>
          <w:b/>
        </w:rPr>
        <w:t xml:space="preserve">nění formuláře ad 1) Vyúčtování dotace </w:t>
      </w:r>
      <w:r w:rsidR="00A2067F" w:rsidRPr="00A2067F">
        <w:t>(</w:t>
      </w:r>
      <w:proofErr w:type="spellStart"/>
      <w:r w:rsidR="00A2067F" w:rsidRPr="00A2067F">
        <w:t>ex</w:t>
      </w:r>
      <w:r w:rsidR="0035313C">
        <w:t>c</w:t>
      </w:r>
      <w:r w:rsidR="00A2067F" w:rsidRPr="00A2067F">
        <w:t>el</w:t>
      </w:r>
      <w:proofErr w:type="spellEnd"/>
      <w:r w:rsidR="0035313C">
        <w:t>-</w:t>
      </w:r>
      <w:r w:rsidR="00A2067F" w:rsidRPr="00A2067F">
        <w:t>soubor)</w:t>
      </w:r>
      <w:r w:rsidR="0035313C">
        <w:t xml:space="preserve"> </w:t>
      </w:r>
      <w:r w:rsidR="0035313C">
        <w:rPr>
          <w:bCs/>
        </w:rPr>
        <w:t>„VyuctDotace2020-</w:t>
      </w:r>
      <w:r w:rsidR="0035313C" w:rsidRPr="00BA126F">
        <w:rPr>
          <w:bCs/>
        </w:rPr>
        <w:t>for</w:t>
      </w:r>
      <w:r w:rsidR="0035313C">
        <w:rPr>
          <w:bCs/>
        </w:rPr>
        <w:t>m</w:t>
      </w:r>
      <w:r w:rsidR="0035313C" w:rsidRPr="00BA126F">
        <w:rPr>
          <w:bCs/>
        </w:rPr>
        <w:t>NADANI</w:t>
      </w:r>
      <w:r w:rsidR="0035313C">
        <w:rPr>
          <w:bCs/>
        </w:rPr>
        <w:t>-ZAMK2“</w:t>
      </w:r>
      <w:r w:rsidR="00F12A94">
        <w:rPr>
          <w:bCs/>
        </w:rPr>
        <w:t>:</w:t>
      </w:r>
    </w:p>
    <w:p w14:paraId="6AF929BB" w14:textId="7E62EB15" w:rsidR="000247B7" w:rsidRDefault="000247B7" w:rsidP="000247B7">
      <w:pPr>
        <w:pStyle w:val="Odstavecseseznamem"/>
        <w:numPr>
          <w:ilvl w:val="0"/>
          <w:numId w:val="25"/>
        </w:numPr>
        <w:spacing w:after="200"/>
        <w:jc w:val="both"/>
      </w:pPr>
      <w:r w:rsidRPr="000247B7">
        <w:t>začněte vyplněním listu 4, kde blíže specifikujete realizované náklady projektu ve vztahu k dotaci poskytnuté MŠMT; zároveň uvedete doklady (stačí souhrnně) vztahující se k projektu, které ale nebyly hrazeny z dotace MŠMT (tzv. kofinancování) – tak, aby celkové náklady projektu a čerpání dotace celkem (řádek 106 – list 4, event. řádek 206 – list 4-(2)) odpovídalo údajům uvedeným v rozhodnutí (část I, body 2 /celkový rozpočet projektu/ a 3 /dotace/)</w:t>
      </w:r>
      <w:r w:rsidR="007D017B">
        <w:t>;</w:t>
      </w:r>
    </w:p>
    <w:p w14:paraId="73C2D1CF" w14:textId="3B7C32B8" w:rsidR="000247B7" w:rsidRDefault="000247B7" w:rsidP="000247B7">
      <w:pPr>
        <w:pStyle w:val="Odstavecseseznamem"/>
        <w:numPr>
          <w:ilvl w:val="0"/>
          <w:numId w:val="25"/>
        </w:numPr>
        <w:spacing w:after="200"/>
        <w:jc w:val="both"/>
      </w:pPr>
      <w:r w:rsidRPr="000247B7">
        <w:t>pokračujete vyplněním listu 5, kde blíže specifikujete realizované osobní náklady projektu ve</w:t>
      </w:r>
      <w:r w:rsidR="007D017B">
        <w:t> </w:t>
      </w:r>
      <w:r w:rsidRPr="000247B7">
        <w:t>vztahu k dotaci poskytnuté MŠMT – tak, aby osobní náklady celkem (řádek 79 – list 5, event. řádek 154 – list 5-(2)) odpovídaly údaji uvedenému v rozhodnutí (část I, bod 3 /OON/)</w:t>
      </w:r>
      <w:r w:rsidR="007D017B">
        <w:t>;</w:t>
      </w:r>
    </w:p>
    <w:p w14:paraId="13F7E6B7" w14:textId="2096BC9F" w:rsidR="000247B7" w:rsidRDefault="000247B7" w:rsidP="000247B7">
      <w:pPr>
        <w:pStyle w:val="Odstavecseseznamem"/>
        <w:numPr>
          <w:ilvl w:val="0"/>
          <w:numId w:val="25"/>
        </w:numPr>
        <w:spacing w:after="200"/>
        <w:jc w:val="both"/>
      </w:pPr>
      <w:r w:rsidRPr="000247B7">
        <w:t>pokračujete vyplněním listu 1 (bílé řádky), šedé řádky se propíšou údaji vyplněnými na listech 4 / 4-(2) a 5 / 5-(2) → ad 1), resp. ad 2)</w:t>
      </w:r>
      <w:r w:rsidR="007D017B">
        <w:t>;</w:t>
      </w:r>
    </w:p>
    <w:p w14:paraId="285ABF57" w14:textId="57B36DEB" w:rsidR="000247B7" w:rsidRDefault="000247B7" w:rsidP="000247B7">
      <w:pPr>
        <w:pStyle w:val="Odstavecseseznamem"/>
        <w:numPr>
          <w:ilvl w:val="0"/>
          <w:numId w:val="25"/>
        </w:numPr>
        <w:spacing w:after="200"/>
        <w:jc w:val="both"/>
      </w:pPr>
      <w:r w:rsidRPr="000247B7">
        <w:t>pokračujete vyplněním listu 2 (bílé řádky), kde specifikujete zdroje financování projektu; šedé řádky č. 5 a č. 11 se propíší souhrnnými údaji z listu 4 / 4-(2) → ad 1)</w:t>
      </w:r>
      <w:r w:rsidR="007D017B">
        <w:t>;</w:t>
      </w:r>
    </w:p>
    <w:p w14:paraId="3C6B43AC" w14:textId="1BFD6D5E" w:rsidR="000247B7" w:rsidRDefault="000247B7" w:rsidP="000247B7">
      <w:pPr>
        <w:pStyle w:val="Odstavecseseznamem"/>
        <w:numPr>
          <w:ilvl w:val="0"/>
          <w:numId w:val="25"/>
        </w:numPr>
        <w:spacing w:after="200"/>
        <w:jc w:val="both"/>
      </w:pPr>
      <w:r w:rsidRPr="000247B7">
        <w:t xml:space="preserve">pokračujete vyplněním listu 3 (bílé řádky), kde ve sloupci C specifikujete vyúčtovávané náklady dle reálné skutečnosti (šedé </w:t>
      </w:r>
      <w:proofErr w:type="gramStart"/>
      <w:r w:rsidRPr="000247B7">
        <w:t>buňky - údaje</w:t>
      </w:r>
      <w:proofErr w:type="gramEnd"/>
      <w:r w:rsidRPr="000247B7">
        <w:t xml:space="preserve"> na řádcích 19 a 21 se propíšou z listu 5 / 5-(2), resp. 4 / 4-(2)) a ve sloupci D dle rozhodnutí – přílohy „Rozpočet dle nákladových položek“ na str.</w:t>
      </w:r>
      <w:r w:rsidR="007D017B">
        <w:t> </w:t>
      </w:r>
      <w:r w:rsidRPr="000247B7">
        <w:t>11, přičemž</w:t>
      </w:r>
      <w:r w:rsidR="00F12A94">
        <w:t xml:space="preserve"> je nutno ve sloupci C u jednotlivých položek dodržet min. 80% čerpání sloupce D</w:t>
      </w:r>
      <w:r w:rsidR="00F56DCF">
        <w:t xml:space="preserve"> (signalizuje sloupec E)</w:t>
      </w:r>
      <w:r w:rsidR="00F12A94">
        <w:t xml:space="preserve"> – mezi jednotlivými položkami ostatních neinvestičních nákladů lze dělat</w:t>
      </w:r>
      <w:r w:rsidR="00F56DCF">
        <w:t xml:space="preserve"> ve sloupci C</w:t>
      </w:r>
      <w:r w:rsidR="00F12A94">
        <w:t xml:space="preserve"> přesuny, u položky OON tato možnost aplikovat nelze</w:t>
      </w:r>
      <w:r w:rsidRPr="000247B7">
        <w:t xml:space="preserve"> </w:t>
      </w:r>
      <w:r w:rsidR="00F56DCF">
        <w:t xml:space="preserve">– viz </w:t>
      </w:r>
      <w:r w:rsidRPr="000247B7">
        <w:t>rozhodnutí (část III, bod 16)</w:t>
      </w:r>
      <w:r w:rsidR="007D017B">
        <w:t>;</w:t>
      </w:r>
    </w:p>
    <w:p w14:paraId="7A0FF9DE" w14:textId="158ACCDC" w:rsidR="000247B7" w:rsidRPr="000247B7" w:rsidRDefault="000247B7" w:rsidP="000247B7">
      <w:pPr>
        <w:pStyle w:val="Odstavecseseznamem"/>
        <w:numPr>
          <w:ilvl w:val="0"/>
          <w:numId w:val="25"/>
        </w:numPr>
        <w:spacing w:after="200"/>
        <w:jc w:val="both"/>
      </w:pPr>
      <w:r w:rsidRPr="000247B7">
        <w:t>poslední krok – vyplníte list „</w:t>
      </w:r>
      <w:proofErr w:type="gramStart"/>
      <w:r w:rsidRPr="000247B7">
        <w:t>3A</w:t>
      </w:r>
      <w:proofErr w:type="gramEnd"/>
      <w:r w:rsidRPr="000247B7">
        <w:t>-Fin. vypořádání se SR“</w:t>
      </w:r>
      <w:r w:rsidR="00C72EFB">
        <w:t>.</w:t>
      </w:r>
    </w:p>
    <w:p w14:paraId="0350ABCB" w14:textId="77777777" w:rsidR="00406BB7" w:rsidRPr="00F56DCF" w:rsidRDefault="00406BB7" w:rsidP="00406BB7">
      <w:pPr>
        <w:jc w:val="both"/>
        <w:rPr>
          <w:i/>
        </w:rPr>
      </w:pPr>
      <w:r w:rsidRPr="00F56DCF">
        <w:rPr>
          <w:i/>
        </w:rPr>
        <w:t>Poznámka:</w:t>
      </w:r>
    </w:p>
    <w:p w14:paraId="51F1B86D" w14:textId="701903E5" w:rsidR="000247B7" w:rsidRPr="00F56DCF" w:rsidRDefault="00406BB7" w:rsidP="00406BB7">
      <w:pPr>
        <w:jc w:val="both"/>
        <w:rPr>
          <w:i/>
        </w:rPr>
      </w:pPr>
      <w:r w:rsidRPr="00F56DCF">
        <w:rPr>
          <w:i/>
        </w:rPr>
        <w:t>Č</w:t>
      </w:r>
      <w:r w:rsidR="000247B7" w:rsidRPr="00F56DCF">
        <w:rPr>
          <w:i/>
        </w:rPr>
        <w:t>erveně podbarvené buňky signalizují chyby, resp. porušení nastavených logických kontrol ve</w:t>
      </w:r>
      <w:r w:rsidR="00F12A94" w:rsidRPr="00F56DCF">
        <w:rPr>
          <w:i/>
        </w:rPr>
        <w:t> </w:t>
      </w:r>
      <w:r w:rsidR="000247B7" w:rsidRPr="00F56DCF">
        <w:rPr>
          <w:i/>
        </w:rPr>
        <w:t>formuláři vyúčtování</w:t>
      </w:r>
      <w:r w:rsidRPr="00F56DCF">
        <w:rPr>
          <w:i/>
        </w:rPr>
        <w:t>.</w:t>
      </w:r>
    </w:p>
    <w:p w14:paraId="413D1453" w14:textId="77777777" w:rsidR="000247B7" w:rsidRPr="000247B7" w:rsidRDefault="000247B7" w:rsidP="000247B7">
      <w:pPr>
        <w:spacing w:after="200"/>
        <w:jc w:val="both"/>
      </w:pPr>
      <w:r w:rsidRPr="000247B7">
        <w:t> </w:t>
      </w:r>
    </w:p>
    <w:sectPr w:rsidR="000247B7" w:rsidRPr="000247B7" w:rsidSect="00B34F0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33BB" w14:textId="77777777" w:rsidR="00B118DB" w:rsidRDefault="00B118DB" w:rsidP="0018498E">
      <w:pPr>
        <w:spacing w:line="240" w:lineRule="auto"/>
      </w:pPr>
      <w:r>
        <w:separator/>
      </w:r>
    </w:p>
  </w:endnote>
  <w:endnote w:type="continuationSeparator" w:id="0">
    <w:p w14:paraId="1CC2F004" w14:textId="77777777" w:rsidR="00B118DB" w:rsidRDefault="00B118DB" w:rsidP="00184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269151"/>
      <w:docPartObj>
        <w:docPartGallery w:val="Page Numbers (Bottom of Page)"/>
        <w:docPartUnique/>
      </w:docPartObj>
    </w:sdtPr>
    <w:sdtEndPr/>
    <w:sdtContent>
      <w:p w14:paraId="5B17741C" w14:textId="77777777" w:rsidR="00B34F08" w:rsidRDefault="00EE061A">
        <w:pPr>
          <w:pStyle w:val="Zpat"/>
          <w:jc w:val="center"/>
        </w:pPr>
        <w:r>
          <w:fldChar w:fldCharType="begin"/>
        </w:r>
        <w:r w:rsidR="00B34F08">
          <w:instrText>PAGE   \* MERGEFORMAT</w:instrText>
        </w:r>
        <w:r>
          <w:fldChar w:fldCharType="separate"/>
        </w:r>
        <w:r w:rsidR="00F748FC"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B34F08" w:rsidRDefault="00B34F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723FB" w14:textId="77777777" w:rsidR="00B118DB" w:rsidRDefault="00B118DB" w:rsidP="0018498E">
      <w:pPr>
        <w:spacing w:line="240" w:lineRule="auto"/>
      </w:pPr>
      <w:r>
        <w:separator/>
      </w:r>
    </w:p>
  </w:footnote>
  <w:footnote w:type="continuationSeparator" w:id="0">
    <w:p w14:paraId="2C5816C7" w14:textId="77777777" w:rsidR="00B118DB" w:rsidRDefault="00B118DB" w:rsidP="001849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1A41"/>
    <w:multiLevelType w:val="hybridMultilevel"/>
    <w:tmpl w:val="0229C1B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1C4E"/>
    <w:multiLevelType w:val="multilevel"/>
    <w:tmpl w:val="298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3114AC4"/>
    <w:multiLevelType w:val="hybridMultilevel"/>
    <w:tmpl w:val="10BA0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7E7DC1"/>
    <w:multiLevelType w:val="multilevel"/>
    <w:tmpl w:val="6E089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0A03"/>
    <w:multiLevelType w:val="multilevel"/>
    <w:tmpl w:val="AE5683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D74AB"/>
    <w:multiLevelType w:val="multilevel"/>
    <w:tmpl w:val="0A3032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287A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952952"/>
    <w:multiLevelType w:val="multilevel"/>
    <w:tmpl w:val="F25C47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12E3C"/>
    <w:multiLevelType w:val="multilevel"/>
    <w:tmpl w:val="FE54A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5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2"/>
  </w:num>
  <w:num w:numId="8">
    <w:abstractNumId w:val="0"/>
  </w:num>
  <w:num w:numId="9">
    <w:abstractNumId w:val="21"/>
  </w:num>
  <w:num w:numId="10">
    <w:abstractNumId w:val="13"/>
  </w:num>
  <w:num w:numId="11">
    <w:abstractNumId w:val="10"/>
  </w:num>
  <w:num w:numId="12">
    <w:abstractNumId w:val="2"/>
    <w:lvlOverride w:ilvl="0">
      <w:startOverride w:val="1"/>
    </w:lvlOverride>
  </w:num>
  <w:num w:numId="13">
    <w:abstractNumId w:val="18"/>
  </w:num>
  <w:num w:numId="14">
    <w:abstractNumId w:val="8"/>
  </w:num>
  <w:num w:numId="15">
    <w:abstractNumId w:val="22"/>
  </w:num>
  <w:num w:numId="16">
    <w:abstractNumId w:val="2"/>
  </w:num>
  <w:num w:numId="17">
    <w:abstractNumId w:val="19"/>
  </w:num>
  <w:num w:numId="18">
    <w:abstractNumId w:val="11"/>
  </w:num>
  <w:num w:numId="19">
    <w:abstractNumId w:val="14"/>
  </w:num>
  <w:num w:numId="20">
    <w:abstractNumId w:val="16"/>
  </w:num>
  <w:num w:numId="21">
    <w:abstractNumId w:val="6"/>
  </w:num>
  <w:num w:numId="22">
    <w:abstractNumId w:val="23"/>
  </w:num>
  <w:num w:numId="23">
    <w:abstractNumId w:val="5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247B7"/>
    <w:rsid w:val="0004131C"/>
    <w:rsid w:val="00045DE8"/>
    <w:rsid w:val="000603A3"/>
    <w:rsid w:val="000630FA"/>
    <w:rsid w:val="000A27F6"/>
    <w:rsid w:val="000A42F5"/>
    <w:rsid w:val="00113F37"/>
    <w:rsid w:val="00115E33"/>
    <w:rsid w:val="001236E4"/>
    <w:rsid w:val="00160985"/>
    <w:rsid w:val="0018498E"/>
    <w:rsid w:val="001A114E"/>
    <w:rsid w:val="001A355E"/>
    <w:rsid w:val="001C33DE"/>
    <w:rsid w:val="001C65F0"/>
    <w:rsid w:val="001E5399"/>
    <w:rsid w:val="001F2230"/>
    <w:rsid w:val="001F2698"/>
    <w:rsid w:val="00213926"/>
    <w:rsid w:val="00220CAC"/>
    <w:rsid w:val="00242309"/>
    <w:rsid w:val="00271852"/>
    <w:rsid w:val="0027316B"/>
    <w:rsid w:val="00283B12"/>
    <w:rsid w:val="002A2CF9"/>
    <w:rsid w:val="002C58F5"/>
    <w:rsid w:val="002D36D8"/>
    <w:rsid w:val="002F778D"/>
    <w:rsid w:val="002F7F71"/>
    <w:rsid w:val="00330981"/>
    <w:rsid w:val="0034099D"/>
    <w:rsid w:val="0035313C"/>
    <w:rsid w:val="0037647C"/>
    <w:rsid w:val="0038008C"/>
    <w:rsid w:val="0038188B"/>
    <w:rsid w:val="003A6708"/>
    <w:rsid w:val="003B5DF7"/>
    <w:rsid w:val="003B69AD"/>
    <w:rsid w:val="003C152F"/>
    <w:rsid w:val="003E4BE6"/>
    <w:rsid w:val="00406BB7"/>
    <w:rsid w:val="0043666F"/>
    <w:rsid w:val="00456570"/>
    <w:rsid w:val="00460375"/>
    <w:rsid w:val="00464827"/>
    <w:rsid w:val="00467FA6"/>
    <w:rsid w:val="004C3CFC"/>
    <w:rsid w:val="004E129C"/>
    <w:rsid w:val="00534D61"/>
    <w:rsid w:val="00562599"/>
    <w:rsid w:val="005638B5"/>
    <w:rsid w:val="0057681A"/>
    <w:rsid w:val="005942A2"/>
    <w:rsid w:val="005A0DC6"/>
    <w:rsid w:val="005B06AA"/>
    <w:rsid w:val="005D30A0"/>
    <w:rsid w:val="00615192"/>
    <w:rsid w:val="00625272"/>
    <w:rsid w:val="006258DA"/>
    <w:rsid w:val="006276BE"/>
    <w:rsid w:val="00631732"/>
    <w:rsid w:val="00634D2A"/>
    <w:rsid w:val="0064329D"/>
    <w:rsid w:val="006538D4"/>
    <w:rsid w:val="00655F3C"/>
    <w:rsid w:val="0066415C"/>
    <w:rsid w:val="00666ADA"/>
    <w:rsid w:val="006675E6"/>
    <w:rsid w:val="00672CDB"/>
    <w:rsid w:val="006D3A7C"/>
    <w:rsid w:val="006D4A92"/>
    <w:rsid w:val="006D5EF5"/>
    <w:rsid w:val="006D6A41"/>
    <w:rsid w:val="006F176D"/>
    <w:rsid w:val="006F284B"/>
    <w:rsid w:val="006F318E"/>
    <w:rsid w:val="006F3CE1"/>
    <w:rsid w:val="0073200B"/>
    <w:rsid w:val="00735F26"/>
    <w:rsid w:val="00747F57"/>
    <w:rsid w:val="00753409"/>
    <w:rsid w:val="00773E08"/>
    <w:rsid w:val="00792548"/>
    <w:rsid w:val="007A5865"/>
    <w:rsid w:val="007B5F7C"/>
    <w:rsid w:val="007B7646"/>
    <w:rsid w:val="007C7410"/>
    <w:rsid w:val="007C7792"/>
    <w:rsid w:val="007C7B23"/>
    <w:rsid w:val="007D017B"/>
    <w:rsid w:val="007D2E85"/>
    <w:rsid w:val="007D6BCF"/>
    <w:rsid w:val="007E1E3C"/>
    <w:rsid w:val="007E44FF"/>
    <w:rsid w:val="007F6406"/>
    <w:rsid w:val="00806CD6"/>
    <w:rsid w:val="00812A26"/>
    <w:rsid w:val="0084023A"/>
    <w:rsid w:val="00841CF1"/>
    <w:rsid w:val="0087665E"/>
    <w:rsid w:val="008C02EC"/>
    <w:rsid w:val="008C1B71"/>
    <w:rsid w:val="008C637F"/>
    <w:rsid w:val="008D704D"/>
    <w:rsid w:val="008E5190"/>
    <w:rsid w:val="008E6970"/>
    <w:rsid w:val="009071EA"/>
    <w:rsid w:val="009102D9"/>
    <w:rsid w:val="009165B1"/>
    <w:rsid w:val="00936DD9"/>
    <w:rsid w:val="00956B30"/>
    <w:rsid w:val="00956F09"/>
    <w:rsid w:val="009635AD"/>
    <w:rsid w:val="009865E4"/>
    <w:rsid w:val="009C7D24"/>
    <w:rsid w:val="009D6AB8"/>
    <w:rsid w:val="00A036D7"/>
    <w:rsid w:val="00A0633D"/>
    <w:rsid w:val="00A12009"/>
    <w:rsid w:val="00A2067F"/>
    <w:rsid w:val="00A24A99"/>
    <w:rsid w:val="00A27FEF"/>
    <w:rsid w:val="00A32238"/>
    <w:rsid w:val="00A404B2"/>
    <w:rsid w:val="00A52644"/>
    <w:rsid w:val="00A91C07"/>
    <w:rsid w:val="00A941E9"/>
    <w:rsid w:val="00AA1B8D"/>
    <w:rsid w:val="00AF29F7"/>
    <w:rsid w:val="00AF7D81"/>
    <w:rsid w:val="00B118DB"/>
    <w:rsid w:val="00B16CD8"/>
    <w:rsid w:val="00B24821"/>
    <w:rsid w:val="00B34F08"/>
    <w:rsid w:val="00B35BB5"/>
    <w:rsid w:val="00B3636E"/>
    <w:rsid w:val="00B47F4A"/>
    <w:rsid w:val="00B564F7"/>
    <w:rsid w:val="00B71590"/>
    <w:rsid w:val="00B90921"/>
    <w:rsid w:val="00BA126F"/>
    <w:rsid w:val="00BB2EA8"/>
    <w:rsid w:val="00BB5577"/>
    <w:rsid w:val="00BB6E84"/>
    <w:rsid w:val="00BC4F0C"/>
    <w:rsid w:val="00BC66B2"/>
    <w:rsid w:val="00BD0329"/>
    <w:rsid w:val="00BD4B09"/>
    <w:rsid w:val="00BD7B87"/>
    <w:rsid w:val="00BE0D26"/>
    <w:rsid w:val="00BF36FA"/>
    <w:rsid w:val="00BF516C"/>
    <w:rsid w:val="00C16DD9"/>
    <w:rsid w:val="00C170A0"/>
    <w:rsid w:val="00C60122"/>
    <w:rsid w:val="00C641B8"/>
    <w:rsid w:val="00C72EFB"/>
    <w:rsid w:val="00CA0549"/>
    <w:rsid w:val="00D14E22"/>
    <w:rsid w:val="00D21D31"/>
    <w:rsid w:val="00D432CE"/>
    <w:rsid w:val="00D5614C"/>
    <w:rsid w:val="00D64F2C"/>
    <w:rsid w:val="00D91E3B"/>
    <w:rsid w:val="00D95414"/>
    <w:rsid w:val="00DB292F"/>
    <w:rsid w:val="00DC2B57"/>
    <w:rsid w:val="00DF4B2C"/>
    <w:rsid w:val="00DF6224"/>
    <w:rsid w:val="00E15349"/>
    <w:rsid w:val="00E227BF"/>
    <w:rsid w:val="00E352DB"/>
    <w:rsid w:val="00E47081"/>
    <w:rsid w:val="00E8467C"/>
    <w:rsid w:val="00E8547E"/>
    <w:rsid w:val="00E956A6"/>
    <w:rsid w:val="00EB669B"/>
    <w:rsid w:val="00EE061A"/>
    <w:rsid w:val="00EE1BC3"/>
    <w:rsid w:val="00EE5632"/>
    <w:rsid w:val="00EF2CC8"/>
    <w:rsid w:val="00EF33CC"/>
    <w:rsid w:val="00EF3BB5"/>
    <w:rsid w:val="00F12A94"/>
    <w:rsid w:val="00F17310"/>
    <w:rsid w:val="00F35C50"/>
    <w:rsid w:val="00F429A8"/>
    <w:rsid w:val="00F543FA"/>
    <w:rsid w:val="00F56DCF"/>
    <w:rsid w:val="00F63B61"/>
    <w:rsid w:val="00F748FC"/>
    <w:rsid w:val="00FA21E7"/>
    <w:rsid w:val="00FA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067F"/>
    <w:pPr>
      <w:spacing w:after="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18498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8498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247B7"/>
    <w:rPr>
      <w:color w:val="605E5C"/>
      <w:shd w:val="clear" w:color="auto" w:fill="E1DFDD"/>
    </w:rPr>
  </w:style>
  <w:style w:type="paragraph" w:customStyle="1" w:styleId="Default">
    <w:name w:val="Default"/>
    <w:rsid w:val="00060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sprom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mladez/vyzva-k-podani-zadosti-pro-poskytnuti-dotace-na-podporu-1?highlightWords=podpora+nadan%C3%BDch+%C5%BE%C3%A1k%C5%AF+20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6AA3-4674-4880-90A7-98C0D446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Vít Darek</cp:lastModifiedBy>
  <cp:revision>8</cp:revision>
  <cp:lastPrinted>2019-10-09T09:57:00Z</cp:lastPrinted>
  <dcterms:created xsi:type="dcterms:W3CDTF">2021-01-05T13:22:00Z</dcterms:created>
  <dcterms:modified xsi:type="dcterms:W3CDTF">2021-01-05T14:41:00Z</dcterms:modified>
</cp:coreProperties>
</file>