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966F9E" w14:textId="77777777" w:rsidR="009056DD" w:rsidRPr="0047605B" w:rsidRDefault="0023382A" w:rsidP="00540F7C">
      <w:pPr>
        <w:pStyle w:val="Zkladntext"/>
        <w:spacing w:after="600"/>
        <w:jc w:val="right"/>
        <w:rPr>
          <w:b/>
          <w:sz w:val="22"/>
          <w:szCs w:val="22"/>
        </w:rPr>
      </w:pPr>
      <w:r>
        <w:rPr>
          <w:b/>
          <w:bCs/>
          <w:sz w:val="22"/>
          <w:szCs w:val="22"/>
        </w:rPr>
        <w:t>V</w:t>
      </w:r>
      <w:r w:rsidR="00241479" w:rsidRPr="0047605B">
        <w:rPr>
          <w:b/>
          <w:bCs/>
          <w:sz w:val="22"/>
          <w:szCs w:val="22"/>
        </w:rPr>
        <w:t>.</w:t>
      </w:r>
    </w:p>
    <w:p w14:paraId="2744F3B7" w14:textId="77777777" w:rsidR="00952E4D" w:rsidRPr="00540F7C" w:rsidRDefault="002E4804" w:rsidP="00540F7C">
      <w:pPr>
        <w:pStyle w:val="Zkladntext"/>
        <w:spacing w:before="240" w:after="600"/>
        <w:jc w:val="center"/>
        <w:rPr>
          <w:b/>
          <w:bCs/>
          <w:szCs w:val="22"/>
        </w:rPr>
      </w:pPr>
      <w:r w:rsidRPr="00540F7C">
        <w:rPr>
          <w:b/>
          <w:caps/>
          <w:szCs w:val="22"/>
        </w:rPr>
        <w:t xml:space="preserve">Vypořádání </w:t>
      </w:r>
      <w:r w:rsidR="00287C1E">
        <w:rPr>
          <w:b/>
          <w:caps/>
          <w:szCs w:val="22"/>
        </w:rPr>
        <w:t xml:space="preserve">připomínek k materiálu s </w:t>
      </w:r>
      <w:r w:rsidR="009C42B5">
        <w:rPr>
          <w:b/>
          <w:caps/>
          <w:szCs w:val="22"/>
        </w:rPr>
        <w:t>názvem:</w:t>
      </w:r>
    </w:p>
    <w:p w14:paraId="1B467BF0" w14:textId="77777777" w:rsidR="00164FF9" w:rsidRPr="002423CD" w:rsidRDefault="0023382A" w:rsidP="00164FF9">
      <w:pPr>
        <w:spacing w:after="360"/>
        <w:jc w:val="center"/>
        <w:rPr>
          <w:b/>
        </w:rPr>
      </w:pPr>
      <w:r w:rsidRPr="002423CD">
        <w:rPr>
          <w:b/>
          <w:bCs/>
        </w:rPr>
        <w:t xml:space="preserve">Projekt sdílených činností </w:t>
      </w:r>
      <w:r w:rsidR="002423CD" w:rsidRPr="002423CD">
        <w:rPr>
          <w:b/>
        </w:rPr>
        <w:t>„</w:t>
      </w:r>
      <w:r w:rsidR="00DA0EB6" w:rsidRPr="00DA0EB6">
        <w:rPr>
          <w:b/>
        </w:rPr>
        <w:t>Prohloubení integrace výzkumného a inovačního ekosystému ČR do</w:t>
      </w:r>
      <w:r w:rsidR="00BD3415">
        <w:rPr>
          <w:b/>
        </w:rPr>
        <w:t> </w:t>
      </w:r>
      <w:r w:rsidR="00DA0EB6" w:rsidRPr="00DA0EB6">
        <w:rPr>
          <w:b/>
        </w:rPr>
        <w:t>Evropského</w:t>
      </w:r>
      <w:r w:rsidR="00BD3415">
        <w:rPr>
          <w:b/>
        </w:rPr>
        <w:t> </w:t>
      </w:r>
      <w:r w:rsidR="00DA0EB6" w:rsidRPr="00DA0EB6">
        <w:rPr>
          <w:b/>
        </w:rPr>
        <w:t>výzkumného</w:t>
      </w:r>
      <w:r w:rsidR="00BD3415">
        <w:rPr>
          <w:b/>
        </w:rPr>
        <w:t> </w:t>
      </w:r>
      <w:r w:rsidR="00DA0EB6" w:rsidRPr="00DA0EB6">
        <w:rPr>
          <w:b/>
        </w:rPr>
        <w:t xml:space="preserve">prostoru a podpora intenzivní mezinárodní spolupráce výzkumných organizací a </w:t>
      </w:r>
      <w:r w:rsidR="00115155">
        <w:rPr>
          <w:b/>
        </w:rPr>
        <w:t>podniků ČR ve výzkumu, vývoji a </w:t>
      </w:r>
      <w:r w:rsidR="00DA0EB6" w:rsidRPr="00DA0EB6">
        <w:rPr>
          <w:b/>
        </w:rPr>
        <w:t>inovacích (CZERA)</w:t>
      </w:r>
      <w:r w:rsidRPr="002423CD">
        <w:rPr>
          <w:b/>
          <w:bCs/>
        </w:rPr>
        <w:t>“</w:t>
      </w:r>
    </w:p>
    <w:p w14:paraId="7A0D7276" w14:textId="659B72A8" w:rsidR="00B81330" w:rsidRPr="00312D8E" w:rsidRDefault="00475BF1" w:rsidP="009056DD">
      <w:pPr>
        <w:spacing w:before="240" w:after="240"/>
        <w:jc w:val="both"/>
        <w:rPr>
          <w:sz w:val="22"/>
          <w:szCs w:val="22"/>
        </w:rPr>
      </w:pPr>
      <w:r>
        <w:rPr>
          <w:sz w:val="22"/>
          <w:szCs w:val="22"/>
        </w:rPr>
        <w:t>Pod</w:t>
      </w:r>
      <w:r w:rsidR="00B81330" w:rsidRPr="00312D8E">
        <w:rPr>
          <w:sz w:val="22"/>
          <w:szCs w:val="22"/>
        </w:rPr>
        <w:t xml:space="preserve">le Jednacího řádu vlády </w:t>
      </w:r>
      <w:r w:rsidR="00F23F9F">
        <w:rPr>
          <w:sz w:val="22"/>
          <w:szCs w:val="22"/>
        </w:rPr>
        <w:t>byl materiál rozeslán do mezirez</w:t>
      </w:r>
      <w:r w:rsidR="00B81330" w:rsidRPr="00312D8E">
        <w:rPr>
          <w:sz w:val="22"/>
          <w:szCs w:val="22"/>
        </w:rPr>
        <w:t>ortního připomínkového řízení dopisem</w:t>
      </w:r>
      <w:r w:rsidR="00AD59F5" w:rsidRPr="00312D8E">
        <w:rPr>
          <w:sz w:val="22"/>
          <w:szCs w:val="22"/>
        </w:rPr>
        <w:t xml:space="preserve"> </w:t>
      </w:r>
      <w:r w:rsidR="00241479" w:rsidRPr="00312D8E">
        <w:rPr>
          <w:bCs/>
          <w:sz w:val="22"/>
          <w:szCs w:val="22"/>
        </w:rPr>
        <w:t>ministr</w:t>
      </w:r>
      <w:r w:rsidR="00F23F9F">
        <w:rPr>
          <w:bCs/>
          <w:sz w:val="22"/>
          <w:szCs w:val="22"/>
        </w:rPr>
        <w:t>a</w:t>
      </w:r>
      <w:r w:rsidR="00241479" w:rsidRPr="00312D8E">
        <w:rPr>
          <w:bCs/>
          <w:sz w:val="22"/>
          <w:szCs w:val="22"/>
        </w:rPr>
        <w:t xml:space="preserve"> školství, mládeže a</w:t>
      </w:r>
      <w:r w:rsidR="00164FF9">
        <w:rPr>
          <w:bCs/>
          <w:sz w:val="22"/>
          <w:szCs w:val="22"/>
        </w:rPr>
        <w:t> </w:t>
      </w:r>
      <w:r w:rsidR="00241479" w:rsidRPr="00312D8E">
        <w:rPr>
          <w:bCs/>
          <w:sz w:val="22"/>
          <w:szCs w:val="22"/>
        </w:rPr>
        <w:t xml:space="preserve">tělovýchovy </w:t>
      </w:r>
      <w:r w:rsidR="00B81E22">
        <w:rPr>
          <w:bCs/>
          <w:sz w:val="22"/>
          <w:szCs w:val="22"/>
        </w:rPr>
        <w:t>Ing. </w:t>
      </w:r>
      <w:r w:rsidR="00164FF9">
        <w:rPr>
          <w:bCs/>
          <w:sz w:val="22"/>
          <w:szCs w:val="22"/>
        </w:rPr>
        <w:t>Roberta Plagy, Ph.D.</w:t>
      </w:r>
      <w:r w:rsidR="005277CD">
        <w:rPr>
          <w:bCs/>
          <w:sz w:val="22"/>
          <w:szCs w:val="22"/>
        </w:rPr>
        <w:t xml:space="preserve"> </w:t>
      </w:r>
      <w:r w:rsidR="00B81330" w:rsidRPr="00312D8E">
        <w:rPr>
          <w:sz w:val="22"/>
          <w:szCs w:val="22"/>
        </w:rPr>
        <w:t>dne</w:t>
      </w:r>
      <w:r w:rsidR="00762F91" w:rsidRPr="00312D8E">
        <w:rPr>
          <w:sz w:val="22"/>
          <w:szCs w:val="22"/>
        </w:rPr>
        <w:t xml:space="preserve"> </w:t>
      </w:r>
      <w:r w:rsidR="00C57610">
        <w:rPr>
          <w:sz w:val="22"/>
          <w:szCs w:val="22"/>
        </w:rPr>
        <w:t xml:space="preserve">8. </w:t>
      </w:r>
      <w:r w:rsidR="00AF6343">
        <w:rPr>
          <w:sz w:val="22"/>
          <w:szCs w:val="22"/>
        </w:rPr>
        <w:t>prosince</w:t>
      </w:r>
      <w:r w:rsidR="005277CD">
        <w:rPr>
          <w:sz w:val="22"/>
          <w:szCs w:val="22"/>
        </w:rPr>
        <w:t xml:space="preserve"> 20</w:t>
      </w:r>
      <w:r w:rsidR="0023382A">
        <w:rPr>
          <w:sz w:val="22"/>
          <w:szCs w:val="22"/>
        </w:rPr>
        <w:t>20</w:t>
      </w:r>
      <w:r w:rsidR="00B81330" w:rsidRPr="00312D8E">
        <w:rPr>
          <w:sz w:val="22"/>
          <w:szCs w:val="22"/>
        </w:rPr>
        <w:t xml:space="preserve"> s termínem </w:t>
      </w:r>
      <w:r w:rsidR="005277CD">
        <w:rPr>
          <w:sz w:val="22"/>
          <w:szCs w:val="22"/>
        </w:rPr>
        <w:t xml:space="preserve">pro </w:t>
      </w:r>
      <w:r w:rsidR="00B81330" w:rsidRPr="00312D8E">
        <w:rPr>
          <w:sz w:val="22"/>
          <w:szCs w:val="22"/>
        </w:rPr>
        <w:t xml:space="preserve">dodání stanovisek do </w:t>
      </w:r>
      <w:r w:rsidR="00241479" w:rsidRPr="00312D8E">
        <w:rPr>
          <w:sz w:val="22"/>
          <w:szCs w:val="22"/>
        </w:rPr>
        <w:t xml:space="preserve">dne </w:t>
      </w:r>
      <w:r w:rsidR="00C57610">
        <w:rPr>
          <w:sz w:val="22"/>
          <w:szCs w:val="22"/>
        </w:rPr>
        <w:t>22.</w:t>
      </w:r>
      <w:r w:rsidR="00484AC3">
        <w:rPr>
          <w:sz w:val="22"/>
          <w:szCs w:val="22"/>
        </w:rPr>
        <w:t xml:space="preserve"> </w:t>
      </w:r>
      <w:r w:rsidR="00AF6343">
        <w:rPr>
          <w:sz w:val="22"/>
          <w:szCs w:val="22"/>
        </w:rPr>
        <w:t>prosince</w:t>
      </w:r>
      <w:r w:rsidR="00164FF9">
        <w:rPr>
          <w:sz w:val="22"/>
          <w:szCs w:val="22"/>
        </w:rPr>
        <w:t xml:space="preserve"> </w:t>
      </w:r>
      <w:r w:rsidR="0023382A">
        <w:rPr>
          <w:sz w:val="22"/>
          <w:szCs w:val="22"/>
        </w:rPr>
        <w:t>2020</w:t>
      </w:r>
      <w:r w:rsidR="005277CD">
        <w:rPr>
          <w:sz w:val="22"/>
          <w:szCs w:val="22"/>
        </w:rPr>
        <w:t>.</w:t>
      </w:r>
      <w:r w:rsidR="00B81330" w:rsidRPr="00312D8E">
        <w:rPr>
          <w:sz w:val="22"/>
          <w:szCs w:val="22"/>
        </w:rPr>
        <w:t xml:space="preserve"> Vyhodnocení tohoto řízení je uvedeno v následující tabulce:</w:t>
      </w:r>
    </w:p>
    <w:tbl>
      <w:tblPr>
        <w:tblW w:w="14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5762"/>
        <w:gridCol w:w="6616"/>
      </w:tblGrid>
      <w:tr w:rsidR="001C1BAD" w:rsidRPr="00312D8E" w14:paraId="1ECDA963" w14:textId="77777777" w:rsidTr="00F64D7B">
        <w:trPr>
          <w:trHeight w:val="340"/>
        </w:trPr>
        <w:tc>
          <w:tcPr>
            <w:tcW w:w="1951" w:type="dxa"/>
            <w:shd w:val="clear" w:color="auto" w:fill="auto"/>
            <w:vAlign w:val="center"/>
          </w:tcPr>
          <w:p w14:paraId="70ED159F" w14:textId="77777777" w:rsidR="001C1BAD" w:rsidRPr="00312D8E" w:rsidRDefault="001C1BAD" w:rsidP="001B2B97">
            <w:pPr>
              <w:rPr>
                <w:sz w:val="22"/>
                <w:szCs w:val="22"/>
              </w:rPr>
            </w:pPr>
            <w:r w:rsidRPr="00312D8E">
              <w:rPr>
                <w:b/>
                <w:bCs/>
                <w:sz w:val="22"/>
                <w:szCs w:val="22"/>
              </w:rPr>
              <w:t>Resort</w:t>
            </w:r>
          </w:p>
        </w:tc>
        <w:tc>
          <w:tcPr>
            <w:tcW w:w="5762" w:type="dxa"/>
            <w:shd w:val="clear" w:color="auto" w:fill="auto"/>
            <w:vAlign w:val="center"/>
          </w:tcPr>
          <w:p w14:paraId="52635F3C" w14:textId="77777777" w:rsidR="001C1BAD" w:rsidRPr="00312D8E" w:rsidRDefault="001C1BAD" w:rsidP="001B2B97">
            <w:pPr>
              <w:rPr>
                <w:sz w:val="22"/>
                <w:szCs w:val="22"/>
              </w:rPr>
            </w:pPr>
            <w:r w:rsidRPr="00312D8E">
              <w:rPr>
                <w:b/>
                <w:bCs/>
                <w:sz w:val="22"/>
                <w:szCs w:val="22"/>
              </w:rPr>
              <w:t>Připomínky</w:t>
            </w:r>
          </w:p>
        </w:tc>
        <w:tc>
          <w:tcPr>
            <w:tcW w:w="6616" w:type="dxa"/>
            <w:shd w:val="clear" w:color="auto" w:fill="auto"/>
            <w:vAlign w:val="center"/>
          </w:tcPr>
          <w:p w14:paraId="49495EFB" w14:textId="77777777" w:rsidR="001C1BAD" w:rsidRPr="00312D8E" w:rsidRDefault="001C1BAD" w:rsidP="001B2B97">
            <w:pPr>
              <w:rPr>
                <w:sz w:val="22"/>
                <w:szCs w:val="22"/>
              </w:rPr>
            </w:pPr>
            <w:r w:rsidRPr="00312D8E">
              <w:rPr>
                <w:b/>
                <w:bCs/>
                <w:sz w:val="22"/>
                <w:szCs w:val="22"/>
              </w:rPr>
              <w:t>Vypořádání</w:t>
            </w:r>
          </w:p>
        </w:tc>
      </w:tr>
      <w:tr w:rsidR="006239BC" w:rsidRPr="00312D8E" w14:paraId="3FE72767" w14:textId="77777777" w:rsidTr="009244BD">
        <w:trPr>
          <w:trHeight w:val="340"/>
        </w:trPr>
        <w:tc>
          <w:tcPr>
            <w:tcW w:w="1951" w:type="dxa"/>
            <w:vMerge w:val="restart"/>
            <w:shd w:val="clear" w:color="auto" w:fill="auto"/>
          </w:tcPr>
          <w:p w14:paraId="52E80B83" w14:textId="77777777" w:rsidR="006239BC" w:rsidRDefault="006239BC" w:rsidP="006239BC">
            <w:pPr>
              <w:spacing w:before="120" w:after="120"/>
              <w:rPr>
                <w:b/>
                <w:sz w:val="22"/>
                <w:szCs w:val="22"/>
              </w:rPr>
            </w:pPr>
            <w:r>
              <w:rPr>
                <w:b/>
                <w:sz w:val="22"/>
                <w:szCs w:val="22"/>
              </w:rPr>
              <w:t>Rada pro výzkum, vývoj a </w:t>
            </w:r>
            <w:r w:rsidRPr="00601B36">
              <w:rPr>
                <w:b/>
                <w:sz w:val="22"/>
                <w:szCs w:val="22"/>
              </w:rPr>
              <w:t>inovace</w:t>
            </w:r>
          </w:p>
        </w:tc>
        <w:tc>
          <w:tcPr>
            <w:tcW w:w="5762" w:type="dxa"/>
            <w:shd w:val="clear" w:color="auto" w:fill="auto"/>
            <w:vAlign w:val="center"/>
          </w:tcPr>
          <w:p w14:paraId="2B0E848C" w14:textId="77777777" w:rsidR="006239BC" w:rsidRPr="00601B36" w:rsidRDefault="006239BC" w:rsidP="00601B36">
            <w:pPr>
              <w:widowControl w:val="0"/>
              <w:autoSpaceDE w:val="0"/>
              <w:autoSpaceDN w:val="0"/>
              <w:adjustRightInd w:val="0"/>
              <w:spacing w:before="120" w:after="120"/>
              <w:jc w:val="both"/>
              <w:rPr>
                <w:b/>
                <w:sz w:val="22"/>
                <w:szCs w:val="22"/>
              </w:rPr>
            </w:pPr>
            <w:r w:rsidRPr="00601B36">
              <w:rPr>
                <w:b/>
                <w:sz w:val="22"/>
                <w:szCs w:val="22"/>
              </w:rPr>
              <w:t>Zásadní připomínka</w:t>
            </w:r>
          </w:p>
          <w:p w14:paraId="66FFAE2C" w14:textId="77777777" w:rsidR="006239BC" w:rsidRPr="00601B36" w:rsidRDefault="006239BC" w:rsidP="00601B36">
            <w:pPr>
              <w:widowControl w:val="0"/>
              <w:autoSpaceDE w:val="0"/>
              <w:autoSpaceDN w:val="0"/>
              <w:adjustRightInd w:val="0"/>
              <w:spacing w:before="120" w:after="120"/>
              <w:jc w:val="both"/>
              <w:rPr>
                <w:sz w:val="22"/>
                <w:szCs w:val="22"/>
              </w:rPr>
            </w:pPr>
            <w:r w:rsidRPr="00601B36">
              <w:rPr>
                <w:sz w:val="22"/>
                <w:szCs w:val="22"/>
              </w:rPr>
              <w:t xml:space="preserve">Rada žádá v kontextu anotace opatření 13 NP VaVaI 2021+ o vysvětlení vazeb mezi aktivitami obsaženými v předkládaném projektu sdílených činností s obdobnými aktivitami v jiných projektech (STRATIN+, CZELO, NCIP VaVaI), zejména z hlediska zamezení věcným duplicitám a dvojímu financování. Obdobné vysvětlení Rada požaduje ve vazbě na stávající aktivity zajišťované jednotlivými orgány státní správy (např. zpracování pravidelných ročních analýz v oblasti VaVaI zajišťované ÚV ČR-Odborem Rady) a agenturami (Technologická agentura ČR). Bude mezi všemi výše uvedenými aktivitami zajištěna synergie? Bude zamezeno duplicitám? Pokud ano, jakým způsobem? Požadované vysvětlení Rada žádá doplnit na vhodné místo do materiálu. </w:t>
            </w:r>
          </w:p>
          <w:p w14:paraId="79C9BA7A" w14:textId="77777777" w:rsidR="006239BC" w:rsidRDefault="006239BC" w:rsidP="00601B36">
            <w:pPr>
              <w:widowControl w:val="0"/>
              <w:autoSpaceDE w:val="0"/>
              <w:autoSpaceDN w:val="0"/>
              <w:adjustRightInd w:val="0"/>
              <w:spacing w:before="120" w:after="120"/>
              <w:jc w:val="both"/>
              <w:rPr>
                <w:sz w:val="22"/>
                <w:szCs w:val="22"/>
              </w:rPr>
            </w:pPr>
            <w:r w:rsidRPr="00601B36">
              <w:rPr>
                <w:sz w:val="22"/>
                <w:szCs w:val="22"/>
              </w:rPr>
              <w:t xml:space="preserve">Rada dále žádá o uvedení informace, zda, a pokud ano, tak prostřednictvím jakého schématu podpory a v jaké </w:t>
            </w:r>
            <w:r w:rsidRPr="00601B36">
              <w:rPr>
                <w:sz w:val="22"/>
                <w:szCs w:val="22"/>
              </w:rPr>
              <w:lastRenderedPageBreak/>
              <w:t>výši budou na realizaci projektu využity fondy EU.</w:t>
            </w:r>
          </w:p>
        </w:tc>
        <w:tc>
          <w:tcPr>
            <w:tcW w:w="6616" w:type="dxa"/>
            <w:shd w:val="clear" w:color="auto" w:fill="auto"/>
          </w:tcPr>
          <w:p w14:paraId="4B03DB1F" w14:textId="77777777" w:rsidR="006239BC" w:rsidRDefault="006239BC" w:rsidP="00B72696">
            <w:pPr>
              <w:spacing w:before="120" w:after="120"/>
              <w:jc w:val="both"/>
              <w:rPr>
                <w:b/>
                <w:sz w:val="22"/>
                <w:szCs w:val="22"/>
              </w:rPr>
            </w:pPr>
            <w:r w:rsidRPr="00EE4780">
              <w:rPr>
                <w:b/>
                <w:sz w:val="22"/>
                <w:szCs w:val="22"/>
              </w:rPr>
              <w:lastRenderedPageBreak/>
              <w:t>Akceptováno.</w:t>
            </w:r>
          </w:p>
          <w:p w14:paraId="6DFA1764" w14:textId="735F085C" w:rsidR="006239BC" w:rsidRDefault="006239BC" w:rsidP="00B72696">
            <w:pPr>
              <w:spacing w:before="120" w:after="120"/>
              <w:jc w:val="both"/>
              <w:rPr>
                <w:sz w:val="22"/>
                <w:szCs w:val="22"/>
              </w:rPr>
            </w:pPr>
            <w:r>
              <w:rPr>
                <w:sz w:val="22"/>
                <w:szCs w:val="22"/>
              </w:rPr>
              <w:t>Do předkládací zprávy byly doplněny informace ve znění:</w:t>
            </w:r>
            <w:bookmarkStart w:id="0" w:name="_GoBack"/>
            <w:bookmarkEnd w:id="0"/>
          </w:p>
          <w:p w14:paraId="2E603D15" w14:textId="77777777" w:rsidR="006239BC" w:rsidRDefault="006239BC" w:rsidP="00B72696">
            <w:pPr>
              <w:spacing w:before="120" w:after="120"/>
              <w:jc w:val="both"/>
              <w:rPr>
                <w:i/>
                <w:sz w:val="22"/>
                <w:szCs w:val="22"/>
              </w:rPr>
            </w:pPr>
            <w:r>
              <w:rPr>
                <w:i/>
                <w:sz w:val="22"/>
                <w:szCs w:val="22"/>
              </w:rPr>
              <w:t>„</w:t>
            </w:r>
            <w:r w:rsidRPr="00EE4780">
              <w:rPr>
                <w:i/>
                <w:sz w:val="22"/>
                <w:szCs w:val="22"/>
              </w:rPr>
              <w:t>Na realizaci projektu sdílených činností nebudou využívány fondy EU.</w:t>
            </w:r>
            <w:r>
              <w:rPr>
                <w:i/>
                <w:sz w:val="22"/>
                <w:szCs w:val="22"/>
              </w:rPr>
              <w:t>“</w:t>
            </w:r>
          </w:p>
          <w:p w14:paraId="3D141BE1" w14:textId="0A13F0EB" w:rsidR="006239BC" w:rsidRDefault="006239BC" w:rsidP="00B72696">
            <w:pPr>
              <w:spacing w:before="120" w:after="120"/>
              <w:jc w:val="both"/>
              <w:rPr>
                <w:i/>
                <w:sz w:val="22"/>
                <w:szCs w:val="22"/>
              </w:rPr>
            </w:pPr>
            <w:r w:rsidRPr="00EE4780">
              <w:rPr>
                <w:i/>
                <w:sz w:val="22"/>
                <w:szCs w:val="22"/>
              </w:rPr>
              <w:t>„Projekt sdílených činností CZERA bude realizován plně synergickým, resp. komplementárním způsobem k dalším projektům sdílených činností (tj. STRATIN+, CZELO  a NCIP VaVaI), kdy těžištěm aktivit CZERA bude specializovaný servis zaměřený především na zapojení českých subjektů do evropských iniciativ a programů VaVaI, a v implementaci, pod dohledem řídicího výboru, nebude docházet mezi jednotlivými projekty k</w:t>
            </w:r>
            <w:r w:rsidR="00484AC3">
              <w:rPr>
                <w:i/>
                <w:sz w:val="22"/>
                <w:szCs w:val="22"/>
              </w:rPr>
              <w:t> </w:t>
            </w:r>
            <w:r w:rsidRPr="00EE4780">
              <w:rPr>
                <w:i/>
                <w:sz w:val="22"/>
                <w:szCs w:val="22"/>
              </w:rPr>
              <w:t>překryvům či duplicitám. Stejně tak bude projekt sdílených činností poskytovat komplexní portfolio služeb, a to včetně těch analytického a informačního charakteru, v synergii a komplementárně k aktivitám pravidelně zajišťovaným příslušnými orgány státní správy ČR, a to v souladu s</w:t>
            </w:r>
            <w:r w:rsidR="00484AC3">
              <w:rPr>
                <w:i/>
                <w:sz w:val="22"/>
                <w:szCs w:val="22"/>
              </w:rPr>
              <w:t> </w:t>
            </w:r>
            <w:r w:rsidRPr="00EE4780">
              <w:rPr>
                <w:i/>
                <w:sz w:val="22"/>
                <w:szCs w:val="22"/>
              </w:rPr>
              <w:t>deklarovanými cíli projektu.“</w:t>
            </w:r>
          </w:p>
          <w:p w14:paraId="477E6AFE" w14:textId="77777777" w:rsidR="006239BC" w:rsidRDefault="006239BC" w:rsidP="00B72696">
            <w:pPr>
              <w:spacing w:before="120" w:after="120"/>
              <w:jc w:val="both"/>
              <w:rPr>
                <w:sz w:val="22"/>
                <w:szCs w:val="22"/>
              </w:rPr>
            </w:pPr>
            <w:r>
              <w:rPr>
                <w:sz w:val="22"/>
                <w:szCs w:val="22"/>
              </w:rPr>
              <w:lastRenderedPageBreak/>
              <w:t>Do části III. materiálu byly doplněny informace ve znění:</w:t>
            </w:r>
          </w:p>
          <w:p w14:paraId="57DB6D76" w14:textId="77777777" w:rsidR="006239BC" w:rsidRDefault="006239BC" w:rsidP="00B72696">
            <w:pPr>
              <w:spacing w:before="120" w:after="120"/>
              <w:jc w:val="both"/>
              <w:rPr>
                <w:sz w:val="22"/>
                <w:szCs w:val="22"/>
              </w:rPr>
            </w:pPr>
            <w:r>
              <w:rPr>
                <w:sz w:val="22"/>
                <w:szCs w:val="22"/>
              </w:rPr>
              <w:t>Kapitola 1.3:</w:t>
            </w:r>
          </w:p>
          <w:p w14:paraId="180323E2" w14:textId="77777777" w:rsidR="006239BC" w:rsidRDefault="006239BC" w:rsidP="00B72696">
            <w:pPr>
              <w:spacing w:before="120" w:after="120"/>
              <w:jc w:val="both"/>
              <w:rPr>
                <w:i/>
                <w:sz w:val="22"/>
                <w:szCs w:val="22"/>
              </w:rPr>
            </w:pPr>
            <w:r>
              <w:rPr>
                <w:i/>
                <w:sz w:val="22"/>
                <w:szCs w:val="22"/>
              </w:rPr>
              <w:t>„</w:t>
            </w:r>
            <w:r w:rsidRPr="00EE4780">
              <w:rPr>
                <w:i/>
                <w:sz w:val="22"/>
                <w:szCs w:val="22"/>
              </w:rPr>
              <w:t>Na realizaci projektu sdílených činností nebudou využívány fondy EU.</w:t>
            </w:r>
            <w:r>
              <w:rPr>
                <w:i/>
                <w:sz w:val="22"/>
                <w:szCs w:val="22"/>
              </w:rPr>
              <w:t>“</w:t>
            </w:r>
          </w:p>
          <w:p w14:paraId="4B844AAD" w14:textId="77777777" w:rsidR="006239BC" w:rsidRDefault="006239BC" w:rsidP="00B72696">
            <w:pPr>
              <w:spacing w:before="120" w:after="120"/>
              <w:jc w:val="both"/>
              <w:rPr>
                <w:sz w:val="22"/>
                <w:szCs w:val="22"/>
              </w:rPr>
            </w:pPr>
            <w:r>
              <w:rPr>
                <w:sz w:val="22"/>
                <w:szCs w:val="22"/>
              </w:rPr>
              <w:t>Kapitola 2.5:</w:t>
            </w:r>
          </w:p>
          <w:p w14:paraId="2D31A3D1" w14:textId="53003198" w:rsidR="006239BC" w:rsidRDefault="006239BC" w:rsidP="00B72696">
            <w:pPr>
              <w:spacing w:before="120" w:after="120"/>
              <w:jc w:val="both"/>
              <w:rPr>
                <w:i/>
                <w:sz w:val="22"/>
                <w:szCs w:val="22"/>
              </w:rPr>
            </w:pPr>
            <w:r w:rsidRPr="00DB6E01">
              <w:rPr>
                <w:i/>
                <w:sz w:val="22"/>
                <w:szCs w:val="22"/>
              </w:rPr>
              <w:t>„Projekt sdílených činností CZERA bude realizován plně synergickým, resp. komplementárním způsobem k dalším projektům sdílených činností (tj. STRATIN+, CZELO  a NCIP VaVaI), kdy těžištěm aktivit CZERA bude specializovaný servis zaměřený především na zapojení českých subjektů do evropských iniciativ a programů VaVaI, a v implementaci, pod dohledem řídicího výboru, nebude docházet mezi jednotlivými projekty k</w:t>
            </w:r>
            <w:r w:rsidR="00484AC3">
              <w:rPr>
                <w:i/>
                <w:sz w:val="22"/>
                <w:szCs w:val="22"/>
              </w:rPr>
              <w:t> </w:t>
            </w:r>
            <w:r w:rsidRPr="00DB6E01">
              <w:rPr>
                <w:i/>
                <w:sz w:val="22"/>
                <w:szCs w:val="22"/>
              </w:rPr>
              <w:t>překryvům či duplicitám. Stejně tak bude projekt sdílených činností poskytovat komplexní portfolio služeb, a to včetně těch analytického a informačního charakteru, v synergii a</w:t>
            </w:r>
            <w:r w:rsidR="00484AC3">
              <w:rPr>
                <w:i/>
                <w:sz w:val="22"/>
                <w:szCs w:val="22"/>
              </w:rPr>
              <w:t> </w:t>
            </w:r>
            <w:r w:rsidRPr="00DB6E01">
              <w:rPr>
                <w:i/>
                <w:sz w:val="22"/>
                <w:szCs w:val="22"/>
              </w:rPr>
              <w:t>komplementárně k aktivitám pravidelně zajišťovaným příslušnými orgány státní správy ČR, a to v souladu s</w:t>
            </w:r>
            <w:r w:rsidR="00484AC3">
              <w:rPr>
                <w:i/>
                <w:sz w:val="22"/>
                <w:szCs w:val="22"/>
              </w:rPr>
              <w:t> </w:t>
            </w:r>
            <w:r w:rsidRPr="00DB6E01">
              <w:rPr>
                <w:i/>
                <w:sz w:val="22"/>
                <w:szCs w:val="22"/>
              </w:rPr>
              <w:t>deklarovanými cíli projektu.“</w:t>
            </w:r>
          </w:p>
          <w:p w14:paraId="64666203" w14:textId="77777777" w:rsidR="006239BC" w:rsidRPr="000E00B6" w:rsidRDefault="006239BC" w:rsidP="00B72696">
            <w:pPr>
              <w:spacing w:before="120" w:after="120"/>
              <w:jc w:val="both"/>
              <w:rPr>
                <w:sz w:val="22"/>
                <w:szCs w:val="22"/>
              </w:rPr>
            </w:pPr>
            <w:r w:rsidRPr="000E00B6">
              <w:rPr>
                <w:sz w:val="22"/>
                <w:szCs w:val="22"/>
              </w:rPr>
              <w:t>Kapitola 5.1:</w:t>
            </w:r>
          </w:p>
          <w:p w14:paraId="46CB0C2B" w14:textId="77777777" w:rsidR="006239BC" w:rsidRPr="00DB6E01" w:rsidRDefault="006239BC" w:rsidP="00B72696">
            <w:pPr>
              <w:spacing w:before="120" w:after="120"/>
              <w:jc w:val="both"/>
              <w:rPr>
                <w:i/>
                <w:sz w:val="22"/>
                <w:szCs w:val="22"/>
              </w:rPr>
            </w:pPr>
            <w:r w:rsidRPr="000E00B6">
              <w:rPr>
                <w:i/>
                <w:sz w:val="22"/>
                <w:szCs w:val="22"/>
              </w:rPr>
              <w:t>Řídicí výbor bude dohlížet, aby v realizaci projektu nedocházelo k překryvům, resp. duplicitám a projekt byl implementován v synergii, resp. vzájemné komplementaritě s aktivitami dalších projektů sdílených činností a činnostmi orgánů státní správy ČR.</w:t>
            </w:r>
          </w:p>
          <w:p w14:paraId="769EA9DB" w14:textId="77777777" w:rsidR="006239BC" w:rsidRDefault="006239BC" w:rsidP="00B72696">
            <w:pPr>
              <w:spacing w:before="120" w:after="120"/>
              <w:jc w:val="both"/>
              <w:rPr>
                <w:b/>
                <w:sz w:val="22"/>
                <w:szCs w:val="22"/>
              </w:rPr>
            </w:pPr>
          </w:p>
        </w:tc>
      </w:tr>
      <w:tr w:rsidR="006239BC" w:rsidRPr="00312D8E" w14:paraId="57D52C95" w14:textId="77777777" w:rsidTr="00B72696">
        <w:trPr>
          <w:trHeight w:val="340"/>
        </w:trPr>
        <w:tc>
          <w:tcPr>
            <w:tcW w:w="1951" w:type="dxa"/>
            <w:vMerge/>
            <w:shd w:val="clear" w:color="auto" w:fill="auto"/>
            <w:vAlign w:val="center"/>
          </w:tcPr>
          <w:p w14:paraId="21DF632D" w14:textId="77777777" w:rsidR="006239BC" w:rsidRDefault="006239BC" w:rsidP="00601B36">
            <w:pPr>
              <w:spacing w:before="120" w:after="120"/>
              <w:rPr>
                <w:b/>
                <w:sz w:val="22"/>
                <w:szCs w:val="22"/>
              </w:rPr>
            </w:pPr>
          </w:p>
        </w:tc>
        <w:tc>
          <w:tcPr>
            <w:tcW w:w="5762" w:type="dxa"/>
            <w:shd w:val="clear" w:color="auto" w:fill="auto"/>
            <w:vAlign w:val="center"/>
          </w:tcPr>
          <w:p w14:paraId="11EC7723" w14:textId="77777777" w:rsidR="006239BC" w:rsidRPr="00B47F63" w:rsidRDefault="006239BC" w:rsidP="00601B36">
            <w:pPr>
              <w:widowControl w:val="0"/>
              <w:autoSpaceDE w:val="0"/>
              <w:autoSpaceDN w:val="0"/>
              <w:adjustRightInd w:val="0"/>
              <w:spacing w:before="120" w:after="120"/>
              <w:jc w:val="both"/>
              <w:rPr>
                <w:b/>
                <w:sz w:val="22"/>
                <w:szCs w:val="22"/>
              </w:rPr>
            </w:pPr>
            <w:r w:rsidRPr="00601B36">
              <w:rPr>
                <w:b/>
                <w:sz w:val="22"/>
                <w:szCs w:val="22"/>
              </w:rPr>
              <w:t>Zásadní připomínka</w:t>
            </w:r>
          </w:p>
          <w:p w14:paraId="37A33FA0" w14:textId="77777777" w:rsidR="006239BC" w:rsidRDefault="006239BC" w:rsidP="00601B36">
            <w:pPr>
              <w:widowControl w:val="0"/>
              <w:autoSpaceDE w:val="0"/>
              <w:autoSpaceDN w:val="0"/>
              <w:adjustRightInd w:val="0"/>
              <w:spacing w:before="120" w:after="120"/>
              <w:jc w:val="both"/>
              <w:rPr>
                <w:sz w:val="22"/>
                <w:szCs w:val="22"/>
              </w:rPr>
            </w:pPr>
            <w:r w:rsidRPr="00601B36">
              <w:rPr>
                <w:sz w:val="22"/>
                <w:szCs w:val="22"/>
              </w:rPr>
              <w:t xml:space="preserve">Rada žádá o vyjádření, zda činnosti/výstupy projektu </w:t>
            </w:r>
            <w:r>
              <w:rPr>
                <w:sz w:val="22"/>
                <w:szCs w:val="22"/>
              </w:rPr>
              <w:t xml:space="preserve">CZERA budou </w:t>
            </w:r>
            <w:r w:rsidRPr="00601B36">
              <w:rPr>
                <w:sz w:val="22"/>
                <w:szCs w:val="22"/>
              </w:rPr>
              <w:t>poskytovány bezplatně či za úplatu orgánům státní správy ČR zodpovědným za výkon agendy VaVaI, výzkumným organizacím a podnikům ČR. Vyjádření včetně popisu mechanismu poskytování těchto služeb Rada žádá doplnit na vhodné místo do materiálu.</w:t>
            </w:r>
          </w:p>
        </w:tc>
        <w:tc>
          <w:tcPr>
            <w:tcW w:w="6616" w:type="dxa"/>
            <w:shd w:val="clear" w:color="auto" w:fill="auto"/>
          </w:tcPr>
          <w:p w14:paraId="0CCCA2A9" w14:textId="77777777" w:rsidR="006239BC" w:rsidRDefault="006239BC" w:rsidP="00B72696">
            <w:pPr>
              <w:spacing w:before="120" w:after="120"/>
              <w:jc w:val="both"/>
              <w:rPr>
                <w:b/>
                <w:sz w:val="22"/>
                <w:szCs w:val="22"/>
              </w:rPr>
            </w:pPr>
            <w:r w:rsidRPr="00EE4780">
              <w:rPr>
                <w:b/>
                <w:sz w:val="22"/>
                <w:szCs w:val="22"/>
              </w:rPr>
              <w:t>Akceptováno.</w:t>
            </w:r>
          </w:p>
          <w:p w14:paraId="2188F674" w14:textId="77777777" w:rsidR="006239BC" w:rsidRDefault="006239BC" w:rsidP="00B72696">
            <w:pPr>
              <w:spacing w:before="120" w:after="120"/>
              <w:jc w:val="both"/>
              <w:rPr>
                <w:sz w:val="22"/>
                <w:szCs w:val="22"/>
              </w:rPr>
            </w:pPr>
            <w:r>
              <w:rPr>
                <w:sz w:val="22"/>
                <w:szCs w:val="22"/>
              </w:rPr>
              <w:t>Do předkládací zprávy byla doplněna informace ve znění:</w:t>
            </w:r>
          </w:p>
          <w:p w14:paraId="1E637771" w14:textId="77777777" w:rsidR="006239BC" w:rsidRDefault="006239BC" w:rsidP="00B72696">
            <w:pPr>
              <w:spacing w:before="120" w:after="120"/>
              <w:jc w:val="both"/>
              <w:rPr>
                <w:i/>
                <w:sz w:val="22"/>
                <w:szCs w:val="22"/>
              </w:rPr>
            </w:pPr>
            <w:r>
              <w:rPr>
                <w:i/>
                <w:sz w:val="22"/>
                <w:szCs w:val="22"/>
              </w:rPr>
              <w:t>„</w:t>
            </w:r>
            <w:r w:rsidRPr="00D37FFA">
              <w:rPr>
                <w:i/>
                <w:sz w:val="22"/>
                <w:szCs w:val="22"/>
              </w:rPr>
              <w:t xml:space="preserve">Veškeré služby a výstupy projektu CZERA budou poskytovány všem skupinám uživatelů bezplatně. Nabídka služeb bude zveřejněna a šířena prostřednictvím komunikačních nástrojů projektu (tzn., web, sociální sítě, newslettery, elektronické letáky, přímá komunikace e-mailem směrem k relevantním cílovým skupinám). Výstupy projektu, jako jsou např. prezentace z akcí, </w:t>
            </w:r>
            <w:r w:rsidRPr="00D37FFA">
              <w:rPr>
                <w:i/>
                <w:sz w:val="22"/>
                <w:szCs w:val="22"/>
              </w:rPr>
              <w:lastRenderedPageBreak/>
              <w:t>analytické zprávy, informační a metodické publikace či e-learningová videa, budou zájemcům volně zpřístupněna prostřednictvím webových stránek institucí zapojených do řešení projektu. Řešitelé projektu budou v nabídce a v obsahovém zaměření služeb reagovat na aktuální vývoj v ERA a rovněž na individuální poptávku klientů.</w:t>
            </w:r>
            <w:r>
              <w:rPr>
                <w:i/>
                <w:sz w:val="22"/>
                <w:szCs w:val="22"/>
              </w:rPr>
              <w:t>“</w:t>
            </w:r>
          </w:p>
          <w:p w14:paraId="68E9DF79" w14:textId="77777777" w:rsidR="006239BC" w:rsidRDefault="006239BC" w:rsidP="00B72696">
            <w:pPr>
              <w:spacing w:before="120" w:after="120"/>
              <w:jc w:val="both"/>
              <w:rPr>
                <w:sz w:val="22"/>
                <w:szCs w:val="22"/>
              </w:rPr>
            </w:pPr>
            <w:r>
              <w:rPr>
                <w:sz w:val="22"/>
                <w:szCs w:val="22"/>
              </w:rPr>
              <w:t>Do části III. materiálu byla doplněna informace ve znění:</w:t>
            </w:r>
          </w:p>
          <w:p w14:paraId="6F2F125A" w14:textId="77777777" w:rsidR="006239BC" w:rsidRDefault="006239BC" w:rsidP="00B72696">
            <w:pPr>
              <w:spacing w:before="120" w:after="120"/>
              <w:jc w:val="both"/>
              <w:rPr>
                <w:sz w:val="22"/>
                <w:szCs w:val="22"/>
              </w:rPr>
            </w:pPr>
            <w:r>
              <w:rPr>
                <w:sz w:val="22"/>
                <w:szCs w:val="22"/>
              </w:rPr>
              <w:t>Kapitola 3.3:</w:t>
            </w:r>
          </w:p>
          <w:p w14:paraId="7BDFE806" w14:textId="77777777" w:rsidR="006239BC" w:rsidRPr="004C1F2F" w:rsidRDefault="006239BC" w:rsidP="00B72696">
            <w:pPr>
              <w:spacing w:before="120" w:after="120"/>
              <w:jc w:val="both"/>
              <w:rPr>
                <w:b/>
                <w:i/>
                <w:sz w:val="22"/>
                <w:szCs w:val="22"/>
              </w:rPr>
            </w:pPr>
            <w:r w:rsidRPr="004C1F2F">
              <w:rPr>
                <w:i/>
                <w:sz w:val="22"/>
                <w:szCs w:val="22"/>
              </w:rPr>
              <w:t>„Veškeré služby a výstupy projektu CZERA budou poskytovány všem skupinám uživatelů bezplatně. Nabídka služeb bude zveřejněna a šířena prostřednictvím komunikačních nástrojů projektu (tzn., web, sociální sítě, newslettery, elektronické letáky, přímá komunikace e-mailem směrem k relevantním cílovým skupinám). Výstupy projektu, jako jsou např. prezentace z akcí, analytické zprávy, informační a metodické publikace či e-learningová videa, budou zájemcům volně zpřístupněna prostřednictvím webových stránek institucí zapojených do řešení projektu. Řešitelé projektu budou v nabídce a v obsahovém zaměření služeb reagovat na aktuální vývoj v ERA a rovněž na individuální poptávku klientů.“</w:t>
            </w:r>
          </w:p>
        </w:tc>
      </w:tr>
      <w:tr w:rsidR="006239BC" w:rsidRPr="00312D8E" w14:paraId="6F67670E" w14:textId="77777777" w:rsidTr="00B72696">
        <w:trPr>
          <w:trHeight w:val="340"/>
        </w:trPr>
        <w:tc>
          <w:tcPr>
            <w:tcW w:w="1951" w:type="dxa"/>
            <w:vMerge/>
            <w:shd w:val="clear" w:color="auto" w:fill="auto"/>
            <w:vAlign w:val="center"/>
          </w:tcPr>
          <w:p w14:paraId="281C3A74" w14:textId="77777777" w:rsidR="006239BC" w:rsidRDefault="006239BC" w:rsidP="00601B36">
            <w:pPr>
              <w:spacing w:before="120" w:after="120"/>
              <w:rPr>
                <w:b/>
                <w:sz w:val="22"/>
                <w:szCs w:val="22"/>
              </w:rPr>
            </w:pPr>
          </w:p>
        </w:tc>
        <w:tc>
          <w:tcPr>
            <w:tcW w:w="5762" w:type="dxa"/>
            <w:shd w:val="clear" w:color="auto" w:fill="auto"/>
            <w:vAlign w:val="center"/>
          </w:tcPr>
          <w:p w14:paraId="5DFB4450" w14:textId="77777777" w:rsidR="006239BC" w:rsidRPr="00601B36" w:rsidRDefault="006239BC" w:rsidP="00B47F63">
            <w:pPr>
              <w:widowControl w:val="0"/>
              <w:autoSpaceDE w:val="0"/>
              <w:autoSpaceDN w:val="0"/>
              <w:adjustRightInd w:val="0"/>
              <w:spacing w:before="120" w:after="120"/>
              <w:jc w:val="both"/>
              <w:rPr>
                <w:b/>
                <w:sz w:val="22"/>
                <w:szCs w:val="22"/>
              </w:rPr>
            </w:pPr>
            <w:r w:rsidRPr="00601B36">
              <w:rPr>
                <w:b/>
                <w:sz w:val="22"/>
                <w:szCs w:val="22"/>
              </w:rPr>
              <w:t>Zásadní připomínka</w:t>
            </w:r>
          </w:p>
          <w:p w14:paraId="0B78988B" w14:textId="77777777" w:rsidR="006239BC" w:rsidRPr="00601B36" w:rsidRDefault="006239BC" w:rsidP="00601B36">
            <w:pPr>
              <w:widowControl w:val="0"/>
              <w:autoSpaceDE w:val="0"/>
              <w:autoSpaceDN w:val="0"/>
              <w:adjustRightInd w:val="0"/>
              <w:spacing w:before="120" w:after="120"/>
              <w:jc w:val="both"/>
              <w:rPr>
                <w:sz w:val="22"/>
                <w:szCs w:val="22"/>
              </w:rPr>
            </w:pPr>
            <w:r w:rsidRPr="00601B36">
              <w:rPr>
                <w:sz w:val="22"/>
                <w:szCs w:val="22"/>
              </w:rPr>
              <w:t xml:space="preserve">V předkládací zprávě je uvedeno: „Prostředky finanční podpory, které budou poskytnuty na realizaci projektu sdílených činností CZERA, budou MŠMT hrazeny ze zdrojů účelové podpory v rámci výdajů státního rozpočtu ČR na VaVaI. Předkládaný materiál nevyvolává žádné dodatečné výdaje nad rámec schválených rozpočtových limitů kapitoly MŠMT.“ V kapitole 4 „Finanční náklady“ materiálu je v odstavci Souhrnný rozpočet uveden rozpis nákladů / výdajů na projekt  CZERA v jednotlivých letech 2021-2027, který uvádí, že v roce 2021 budou výdaje potřebné k jeho financování z účelové podpory MŠMT ve výši 5 611 376 Kč, v roce 2022 ve výši 38 961 344 Kč a v roce 2023 ve výši </w:t>
            </w:r>
            <w:r w:rsidRPr="00601B36">
              <w:rPr>
                <w:sz w:val="22"/>
                <w:szCs w:val="22"/>
              </w:rPr>
              <w:lastRenderedPageBreak/>
              <w:t xml:space="preserve">46 570 866 Kč. Celkové náklady na projekt jsou plánovány na 289 886 056 Kč. </w:t>
            </w:r>
          </w:p>
          <w:p w14:paraId="2C80BA0E" w14:textId="77777777" w:rsidR="006239BC" w:rsidRPr="00601B36" w:rsidRDefault="006239BC" w:rsidP="00601B36">
            <w:pPr>
              <w:widowControl w:val="0"/>
              <w:autoSpaceDE w:val="0"/>
              <w:autoSpaceDN w:val="0"/>
              <w:adjustRightInd w:val="0"/>
              <w:spacing w:before="120" w:after="120"/>
              <w:jc w:val="both"/>
              <w:rPr>
                <w:sz w:val="22"/>
                <w:szCs w:val="22"/>
              </w:rPr>
            </w:pPr>
            <w:r w:rsidRPr="00601B36">
              <w:rPr>
                <w:sz w:val="22"/>
                <w:szCs w:val="22"/>
              </w:rPr>
              <w:t xml:space="preserve">Dle schváleného vládního návrhu zákona o státním rozpočtu ČR na VaVaI pro rok 2021 a střednědobého výhledu na roky 2022 a 2023 má MŠMT na položku „Projekt sdílených činností“ schváleny výdaje v roce 2021 ve výši 0,0 Kč a v letech 2022 a 2023 výdaje, jejichž výše však není dostatečná na pokrytí CZERA a současně dalších dvou projektů sdílených činností CZELO a STRATIN+, které jsou v současné době také ve schvalovacím procesu. Rada upozorňuje, že schválení projektu vládou nezakládá automaticky nárok na schválení výdajů projektu v uvedené výši. Financování projektu bude záviset na možnostech státního rozpočtu. </w:t>
            </w:r>
          </w:p>
          <w:p w14:paraId="616E6F58" w14:textId="77777777" w:rsidR="006239BC" w:rsidRDefault="006239BC" w:rsidP="00601B36">
            <w:pPr>
              <w:widowControl w:val="0"/>
              <w:autoSpaceDE w:val="0"/>
              <w:autoSpaceDN w:val="0"/>
              <w:adjustRightInd w:val="0"/>
              <w:spacing w:before="120" w:after="120"/>
              <w:jc w:val="both"/>
              <w:rPr>
                <w:sz w:val="22"/>
                <w:szCs w:val="22"/>
              </w:rPr>
            </w:pPr>
            <w:r w:rsidRPr="00601B36">
              <w:rPr>
                <w:sz w:val="22"/>
                <w:szCs w:val="22"/>
              </w:rPr>
              <w:t>Rada žádá MŠMT o informaci, z čeho budou pokryty plánované výdaje na činnost CZERA v počátečním roce 2021 a o doplnění této informace do materiálu.</w:t>
            </w:r>
          </w:p>
        </w:tc>
        <w:tc>
          <w:tcPr>
            <w:tcW w:w="6616" w:type="dxa"/>
            <w:shd w:val="clear" w:color="auto" w:fill="auto"/>
          </w:tcPr>
          <w:p w14:paraId="64B26F03" w14:textId="77777777" w:rsidR="006239BC" w:rsidRDefault="006239BC" w:rsidP="00B72696">
            <w:pPr>
              <w:spacing w:before="120" w:after="120"/>
              <w:jc w:val="both"/>
              <w:rPr>
                <w:b/>
                <w:sz w:val="22"/>
                <w:szCs w:val="22"/>
              </w:rPr>
            </w:pPr>
            <w:r w:rsidRPr="00EE4780">
              <w:rPr>
                <w:b/>
                <w:sz w:val="22"/>
                <w:szCs w:val="22"/>
              </w:rPr>
              <w:lastRenderedPageBreak/>
              <w:t>Akceptováno.</w:t>
            </w:r>
          </w:p>
          <w:p w14:paraId="2C59C372" w14:textId="77777777" w:rsidR="006239BC" w:rsidRDefault="006239BC" w:rsidP="00B72696">
            <w:pPr>
              <w:spacing w:before="120" w:after="120"/>
              <w:jc w:val="both"/>
              <w:rPr>
                <w:sz w:val="22"/>
                <w:szCs w:val="22"/>
              </w:rPr>
            </w:pPr>
            <w:r>
              <w:rPr>
                <w:sz w:val="22"/>
                <w:szCs w:val="22"/>
              </w:rPr>
              <w:t>Do předkládací zprávy byly doplněny informace ve znění:</w:t>
            </w:r>
          </w:p>
          <w:p w14:paraId="0AABC1D6" w14:textId="77777777" w:rsidR="006239BC" w:rsidRPr="003C62C7" w:rsidRDefault="006239BC" w:rsidP="00B72696">
            <w:pPr>
              <w:spacing w:before="120" w:after="120"/>
              <w:jc w:val="both"/>
              <w:rPr>
                <w:i/>
                <w:sz w:val="22"/>
                <w:szCs w:val="22"/>
              </w:rPr>
            </w:pPr>
            <w:r w:rsidRPr="003C62C7">
              <w:rPr>
                <w:i/>
                <w:sz w:val="22"/>
                <w:szCs w:val="22"/>
              </w:rPr>
              <w:t>„Ná</w:t>
            </w:r>
            <w:r>
              <w:rPr>
                <w:i/>
                <w:sz w:val="22"/>
                <w:szCs w:val="22"/>
              </w:rPr>
              <w:t>klady na realizaci projektu sdí</w:t>
            </w:r>
            <w:r w:rsidRPr="003C62C7">
              <w:rPr>
                <w:i/>
                <w:sz w:val="22"/>
                <w:szCs w:val="22"/>
              </w:rPr>
              <w:t>l</w:t>
            </w:r>
            <w:r>
              <w:rPr>
                <w:i/>
                <w:sz w:val="22"/>
                <w:szCs w:val="22"/>
              </w:rPr>
              <w:t>e</w:t>
            </w:r>
            <w:r w:rsidRPr="003C62C7">
              <w:rPr>
                <w:i/>
                <w:sz w:val="22"/>
                <w:szCs w:val="22"/>
              </w:rPr>
              <w:t>ných činností v roce 2021 budou hrazeny za využití nároků z nepotřebovaných výdajů na VaVaI, kterými MŠMT disponuje.“</w:t>
            </w:r>
          </w:p>
          <w:p w14:paraId="7A37E4EA" w14:textId="77777777" w:rsidR="006239BC" w:rsidRDefault="006239BC" w:rsidP="00B72696">
            <w:pPr>
              <w:spacing w:before="120" w:after="120"/>
              <w:jc w:val="both"/>
              <w:rPr>
                <w:sz w:val="22"/>
                <w:szCs w:val="22"/>
              </w:rPr>
            </w:pPr>
            <w:r>
              <w:rPr>
                <w:sz w:val="22"/>
                <w:szCs w:val="22"/>
              </w:rPr>
              <w:t>Do části III. materiálu byla doplněna informace ve znění:</w:t>
            </w:r>
          </w:p>
          <w:p w14:paraId="4D55CB5C" w14:textId="21B281AD" w:rsidR="006239BC" w:rsidRPr="003C62C7" w:rsidRDefault="006239BC" w:rsidP="00484AC3">
            <w:pPr>
              <w:spacing w:before="120" w:after="120"/>
              <w:jc w:val="both"/>
              <w:rPr>
                <w:sz w:val="22"/>
                <w:szCs w:val="22"/>
              </w:rPr>
            </w:pPr>
            <w:r w:rsidRPr="003C62C7">
              <w:rPr>
                <w:i/>
                <w:sz w:val="22"/>
                <w:szCs w:val="22"/>
              </w:rPr>
              <w:t>„Prostředky finanční podpory, které budou poskytnuty na realizaci projektu sdílených činností CZERA, budou MŠMT hrazeny ze zdrojů účelové podpory v rámci výdajů státního rozpočtu ČR na výzkum, vývoj a inovace. Náklady na realizaci projektu sdílených činností v roce 2021 budou hrazeny za využití nároků z</w:t>
            </w:r>
            <w:r w:rsidR="00484AC3">
              <w:rPr>
                <w:i/>
                <w:sz w:val="22"/>
                <w:szCs w:val="22"/>
              </w:rPr>
              <w:t> </w:t>
            </w:r>
            <w:r w:rsidRPr="003C62C7">
              <w:rPr>
                <w:i/>
                <w:sz w:val="22"/>
                <w:szCs w:val="22"/>
              </w:rPr>
              <w:t xml:space="preserve">nespotřebovaných výdajů na výzkum, vývoj a inovace, jimiž MŠMT disponuje. Předkládaný materiál takto nevyvolává žádné </w:t>
            </w:r>
            <w:r w:rsidRPr="003C62C7">
              <w:rPr>
                <w:i/>
                <w:sz w:val="22"/>
                <w:szCs w:val="22"/>
              </w:rPr>
              <w:lastRenderedPageBreak/>
              <w:t>dodatečné výdaje nad rámec schválených rozpočtových limitů kapitoly MŠMT.“</w:t>
            </w:r>
          </w:p>
        </w:tc>
      </w:tr>
      <w:tr w:rsidR="006239BC" w:rsidRPr="00312D8E" w14:paraId="1C96822A" w14:textId="77777777" w:rsidTr="00B72696">
        <w:trPr>
          <w:trHeight w:val="340"/>
        </w:trPr>
        <w:tc>
          <w:tcPr>
            <w:tcW w:w="1951" w:type="dxa"/>
            <w:vMerge/>
            <w:shd w:val="clear" w:color="auto" w:fill="auto"/>
            <w:vAlign w:val="center"/>
          </w:tcPr>
          <w:p w14:paraId="6CE96DBC" w14:textId="77777777" w:rsidR="006239BC" w:rsidRDefault="006239BC" w:rsidP="00601B36">
            <w:pPr>
              <w:spacing w:before="120" w:after="120"/>
              <w:rPr>
                <w:b/>
                <w:sz w:val="22"/>
                <w:szCs w:val="22"/>
              </w:rPr>
            </w:pPr>
          </w:p>
        </w:tc>
        <w:tc>
          <w:tcPr>
            <w:tcW w:w="5762" w:type="dxa"/>
            <w:shd w:val="clear" w:color="auto" w:fill="auto"/>
            <w:vAlign w:val="center"/>
          </w:tcPr>
          <w:p w14:paraId="5223A3A1" w14:textId="77777777" w:rsidR="006239BC" w:rsidRPr="00601B36" w:rsidRDefault="006239BC" w:rsidP="00B47F63">
            <w:pPr>
              <w:widowControl w:val="0"/>
              <w:autoSpaceDE w:val="0"/>
              <w:autoSpaceDN w:val="0"/>
              <w:adjustRightInd w:val="0"/>
              <w:spacing w:before="120" w:after="120"/>
              <w:jc w:val="both"/>
              <w:rPr>
                <w:b/>
                <w:sz w:val="22"/>
                <w:szCs w:val="22"/>
              </w:rPr>
            </w:pPr>
            <w:r w:rsidRPr="00601B36">
              <w:rPr>
                <w:b/>
                <w:sz w:val="22"/>
                <w:szCs w:val="22"/>
              </w:rPr>
              <w:t>Zásadní připomínka</w:t>
            </w:r>
          </w:p>
          <w:p w14:paraId="082CF7F5" w14:textId="77777777" w:rsidR="00484AC3" w:rsidRDefault="006239BC" w:rsidP="00B227D7">
            <w:pPr>
              <w:widowControl w:val="0"/>
              <w:autoSpaceDE w:val="0"/>
              <w:autoSpaceDN w:val="0"/>
              <w:adjustRightInd w:val="0"/>
              <w:spacing w:before="120" w:after="120"/>
              <w:jc w:val="both"/>
              <w:rPr>
                <w:sz w:val="22"/>
                <w:szCs w:val="22"/>
              </w:rPr>
            </w:pPr>
            <w:r w:rsidRPr="00601B36">
              <w:rPr>
                <w:sz w:val="22"/>
                <w:szCs w:val="22"/>
              </w:rPr>
              <w:t>V kapitole 2.5 je uvedeno, že očekávaným přínosem projektu CZERA je intenzivnější zapojení výzkumných subjektů ČR do FP9 v porovnání s jeho předchůdci. Rada doporučuje doplnit tento ukazatel do seznamu klíčových výkonnostních indikátorů v kapitole 6. 4. (např. obdobně jako indikátor u opatření 16 NP VaVaI 2021+ - „vyšší intenzita zapojení výzkumných organizací a podniků ČR do rámcového programu EU pro výzkum a inovace Horizont Evropa (2021-2027) -- v porovnání s rámcovým programem EU pro výzkum a inovace Horizontem 2020 (2014-2020) -- co se týká počtu předložených návrhů/úspěšných účastí v projektech a výše finančních prostředků, jež výzkumné organizace a podniky ČR z rozpočtu rámcového programu EU získají“.</w:t>
            </w:r>
          </w:p>
          <w:p w14:paraId="3C494BB4" w14:textId="1652F927" w:rsidR="00B227D7" w:rsidRDefault="00B227D7" w:rsidP="00B227D7">
            <w:pPr>
              <w:widowControl w:val="0"/>
              <w:autoSpaceDE w:val="0"/>
              <w:autoSpaceDN w:val="0"/>
              <w:adjustRightInd w:val="0"/>
              <w:spacing w:before="120" w:after="120"/>
              <w:jc w:val="both"/>
              <w:rPr>
                <w:sz w:val="22"/>
                <w:szCs w:val="22"/>
              </w:rPr>
            </w:pPr>
          </w:p>
        </w:tc>
        <w:tc>
          <w:tcPr>
            <w:tcW w:w="6616" w:type="dxa"/>
            <w:shd w:val="clear" w:color="auto" w:fill="auto"/>
          </w:tcPr>
          <w:p w14:paraId="62EA07AA" w14:textId="77777777" w:rsidR="006239BC" w:rsidRDefault="006239BC" w:rsidP="00B72696">
            <w:pPr>
              <w:spacing w:before="120" w:after="120"/>
              <w:jc w:val="both"/>
              <w:rPr>
                <w:b/>
                <w:sz w:val="22"/>
                <w:szCs w:val="22"/>
              </w:rPr>
            </w:pPr>
            <w:r w:rsidRPr="00EE4780">
              <w:rPr>
                <w:b/>
                <w:sz w:val="22"/>
                <w:szCs w:val="22"/>
              </w:rPr>
              <w:t>Akceptováno.</w:t>
            </w:r>
          </w:p>
          <w:p w14:paraId="4734E557" w14:textId="77777777" w:rsidR="006239BC" w:rsidRDefault="006239BC" w:rsidP="00B72696">
            <w:pPr>
              <w:spacing w:before="120" w:after="120"/>
              <w:jc w:val="both"/>
              <w:rPr>
                <w:b/>
                <w:sz w:val="22"/>
                <w:szCs w:val="22"/>
              </w:rPr>
            </w:pPr>
            <w:r>
              <w:rPr>
                <w:sz w:val="22"/>
                <w:szCs w:val="22"/>
              </w:rPr>
              <w:t>Do části III. materiálu byl v kapitole 6.4 doplněn indikátor:</w:t>
            </w:r>
          </w:p>
          <w:p w14:paraId="534F199D" w14:textId="31F502F0" w:rsidR="006239BC" w:rsidRDefault="006239BC" w:rsidP="00484AC3">
            <w:pPr>
              <w:spacing w:before="120" w:after="120"/>
              <w:jc w:val="both"/>
              <w:rPr>
                <w:b/>
                <w:sz w:val="22"/>
                <w:szCs w:val="22"/>
              </w:rPr>
            </w:pPr>
            <w:r w:rsidRPr="00B72696">
              <w:rPr>
                <w:i/>
                <w:sz w:val="22"/>
                <w:szCs w:val="22"/>
              </w:rPr>
              <w:t>„Počet předložených návrhů projektů / úspěšných účastí v</w:t>
            </w:r>
            <w:r w:rsidR="00484AC3">
              <w:rPr>
                <w:i/>
                <w:sz w:val="22"/>
                <w:szCs w:val="22"/>
              </w:rPr>
              <w:t> </w:t>
            </w:r>
            <w:r w:rsidRPr="00B72696">
              <w:rPr>
                <w:i/>
                <w:sz w:val="22"/>
                <w:szCs w:val="22"/>
              </w:rPr>
              <w:t>projektech a výše finančních prostředků, jež výzkumné organizace a podniky ČR získají z rozpočtu rámcového programu EU pro výzkum a inovace Horizontu Evropa (2021-2027)“</w:t>
            </w:r>
          </w:p>
        </w:tc>
      </w:tr>
      <w:tr w:rsidR="006239BC" w:rsidRPr="00312D8E" w14:paraId="4CF5A49A" w14:textId="77777777" w:rsidTr="00B72696">
        <w:trPr>
          <w:trHeight w:val="340"/>
        </w:trPr>
        <w:tc>
          <w:tcPr>
            <w:tcW w:w="1951" w:type="dxa"/>
            <w:vMerge/>
            <w:shd w:val="clear" w:color="auto" w:fill="auto"/>
            <w:vAlign w:val="center"/>
          </w:tcPr>
          <w:p w14:paraId="550C4ED6" w14:textId="77777777" w:rsidR="006239BC" w:rsidRDefault="006239BC" w:rsidP="00601B36">
            <w:pPr>
              <w:spacing w:before="120" w:after="120"/>
              <w:rPr>
                <w:b/>
                <w:sz w:val="22"/>
                <w:szCs w:val="22"/>
              </w:rPr>
            </w:pPr>
          </w:p>
        </w:tc>
        <w:tc>
          <w:tcPr>
            <w:tcW w:w="5762" w:type="dxa"/>
            <w:shd w:val="clear" w:color="auto" w:fill="auto"/>
            <w:vAlign w:val="center"/>
          </w:tcPr>
          <w:p w14:paraId="54394FD1" w14:textId="77777777" w:rsidR="006239BC" w:rsidRPr="00601B36" w:rsidRDefault="006239BC" w:rsidP="00B47F63">
            <w:pPr>
              <w:widowControl w:val="0"/>
              <w:autoSpaceDE w:val="0"/>
              <w:autoSpaceDN w:val="0"/>
              <w:adjustRightInd w:val="0"/>
              <w:spacing w:before="120" w:after="120"/>
              <w:jc w:val="both"/>
              <w:rPr>
                <w:b/>
                <w:sz w:val="22"/>
                <w:szCs w:val="22"/>
              </w:rPr>
            </w:pPr>
            <w:r w:rsidRPr="00601B36">
              <w:rPr>
                <w:b/>
                <w:sz w:val="22"/>
                <w:szCs w:val="22"/>
              </w:rPr>
              <w:t>Zásadní připomínka</w:t>
            </w:r>
          </w:p>
          <w:p w14:paraId="35B7EA3B" w14:textId="47B2D6CC" w:rsidR="006239BC" w:rsidRDefault="006239BC" w:rsidP="00DE3503">
            <w:pPr>
              <w:widowControl w:val="0"/>
              <w:autoSpaceDE w:val="0"/>
              <w:autoSpaceDN w:val="0"/>
              <w:adjustRightInd w:val="0"/>
              <w:spacing w:before="120" w:after="120"/>
              <w:jc w:val="both"/>
              <w:rPr>
                <w:sz w:val="22"/>
                <w:szCs w:val="22"/>
              </w:rPr>
            </w:pPr>
            <w:r w:rsidRPr="00601B36">
              <w:rPr>
                <w:sz w:val="22"/>
                <w:szCs w:val="22"/>
              </w:rPr>
              <w:t>Rada žádá MŠMT, aby doplnilo do materiálu zdůvodnění o dosavadní činnosti v oblasti integrace výzkumného a</w:t>
            </w:r>
            <w:r w:rsidR="00484AC3">
              <w:rPr>
                <w:sz w:val="22"/>
                <w:szCs w:val="22"/>
              </w:rPr>
              <w:t> </w:t>
            </w:r>
            <w:r w:rsidRPr="00601B36">
              <w:rPr>
                <w:sz w:val="22"/>
                <w:szCs w:val="22"/>
              </w:rPr>
              <w:t>inovačního ekosystému ČR do Evropského výzkumného prostoru (ERA) a podpory intenzivní mezinárodní spolupráce výzkumných organizací a</w:t>
            </w:r>
            <w:r w:rsidR="00DE3503">
              <w:rPr>
                <w:sz w:val="22"/>
                <w:szCs w:val="22"/>
              </w:rPr>
              <w:t> </w:t>
            </w:r>
            <w:r w:rsidRPr="00601B36">
              <w:rPr>
                <w:sz w:val="22"/>
                <w:szCs w:val="22"/>
              </w:rPr>
              <w:t>podniků ČR ve VaVaI.</w:t>
            </w:r>
          </w:p>
        </w:tc>
        <w:tc>
          <w:tcPr>
            <w:tcW w:w="6616" w:type="dxa"/>
            <w:shd w:val="clear" w:color="auto" w:fill="auto"/>
          </w:tcPr>
          <w:p w14:paraId="6BA1A316" w14:textId="77777777" w:rsidR="006239BC" w:rsidRDefault="006239BC" w:rsidP="00B72696">
            <w:pPr>
              <w:spacing w:before="120" w:after="120"/>
              <w:jc w:val="both"/>
              <w:rPr>
                <w:b/>
                <w:sz w:val="22"/>
                <w:szCs w:val="22"/>
              </w:rPr>
            </w:pPr>
            <w:r w:rsidRPr="00EE4780">
              <w:rPr>
                <w:b/>
                <w:sz w:val="22"/>
                <w:szCs w:val="22"/>
              </w:rPr>
              <w:t>Akceptováno.</w:t>
            </w:r>
          </w:p>
          <w:p w14:paraId="32FA7209" w14:textId="77777777" w:rsidR="006239BC" w:rsidRDefault="006239BC" w:rsidP="007D5088">
            <w:pPr>
              <w:spacing w:before="120" w:after="120"/>
              <w:jc w:val="both"/>
              <w:rPr>
                <w:b/>
                <w:sz w:val="22"/>
                <w:szCs w:val="22"/>
              </w:rPr>
            </w:pPr>
            <w:r>
              <w:rPr>
                <w:sz w:val="22"/>
                <w:szCs w:val="22"/>
              </w:rPr>
              <w:t>Do části III. materiálu byl v kapitole 2.2 doplněn popis dosavadní činnosti řešitelů projektu v těchto oblastech.</w:t>
            </w:r>
          </w:p>
        </w:tc>
      </w:tr>
      <w:tr w:rsidR="006239BC" w:rsidRPr="00312D8E" w14:paraId="431D2F6D" w14:textId="77777777" w:rsidTr="00B72696">
        <w:trPr>
          <w:trHeight w:val="340"/>
        </w:trPr>
        <w:tc>
          <w:tcPr>
            <w:tcW w:w="1951" w:type="dxa"/>
            <w:vMerge/>
            <w:shd w:val="clear" w:color="auto" w:fill="auto"/>
            <w:vAlign w:val="center"/>
          </w:tcPr>
          <w:p w14:paraId="06B87FEA" w14:textId="77777777" w:rsidR="006239BC" w:rsidRDefault="006239BC" w:rsidP="00601B36">
            <w:pPr>
              <w:spacing w:before="120" w:after="120"/>
              <w:rPr>
                <w:b/>
                <w:sz w:val="22"/>
                <w:szCs w:val="22"/>
              </w:rPr>
            </w:pPr>
          </w:p>
        </w:tc>
        <w:tc>
          <w:tcPr>
            <w:tcW w:w="5762" w:type="dxa"/>
            <w:shd w:val="clear" w:color="auto" w:fill="auto"/>
            <w:vAlign w:val="center"/>
          </w:tcPr>
          <w:p w14:paraId="6F0FF0EC" w14:textId="77777777" w:rsidR="006239BC" w:rsidRPr="00601B36" w:rsidRDefault="006239BC" w:rsidP="00B47F63">
            <w:pPr>
              <w:widowControl w:val="0"/>
              <w:autoSpaceDE w:val="0"/>
              <w:autoSpaceDN w:val="0"/>
              <w:adjustRightInd w:val="0"/>
              <w:spacing w:before="120" w:after="120"/>
              <w:jc w:val="both"/>
              <w:rPr>
                <w:b/>
                <w:sz w:val="22"/>
                <w:szCs w:val="22"/>
              </w:rPr>
            </w:pPr>
            <w:r w:rsidRPr="00601B36">
              <w:rPr>
                <w:b/>
                <w:sz w:val="22"/>
                <w:szCs w:val="22"/>
              </w:rPr>
              <w:t>Zásadní připomínka</w:t>
            </w:r>
          </w:p>
          <w:p w14:paraId="519A816C" w14:textId="68B1676A" w:rsidR="006239BC" w:rsidRDefault="006239BC" w:rsidP="00DE3503">
            <w:pPr>
              <w:widowControl w:val="0"/>
              <w:autoSpaceDE w:val="0"/>
              <w:autoSpaceDN w:val="0"/>
              <w:adjustRightInd w:val="0"/>
              <w:spacing w:before="120" w:after="120"/>
              <w:jc w:val="both"/>
              <w:rPr>
                <w:sz w:val="22"/>
                <w:szCs w:val="22"/>
              </w:rPr>
            </w:pPr>
            <w:r w:rsidRPr="00601B36">
              <w:rPr>
                <w:sz w:val="22"/>
                <w:szCs w:val="22"/>
              </w:rPr>
              <w:t>Rada žádá u kapitoly 3.1 Popis projektových aktivit u</w:t>
            </w:r>
            <w:r w:rsidR="00DE3503">
              <w:rPr>
                <w:sz w:val="22"/>
                <w:szCs w:val="22"/>
              </w:rPr>
              <w:t> </w:t>
            </w:r>
            <w:r w:rsidRPr="00601B36">
              <w:rPr>
                <w:sz w:val="22"/>
                <w:szCs w:val="22"/>
              </w:rPr>
              <w:t>každého modulu o doplnění jasného vymezení odpovědností a kompetencí za realizaci uvedených aktivit.</w:t>
            </w:r>
          </w:p>
        </w:tc>
        <w:tc>
          <w:tcPr>
            <w:tcW w:w="6616" w:type="dxa"/>
            <w:shd w:val="clear" w:color="auto" w:fill="auto"/>
          </w:tcPr>
          <w:p w14:paraId="2F63F775" w14:textId="77777777" w:rsidR="006239BC" w:rsidRDefault="006239BC" w:rsidP="00B72696">
            <w:pPr>
              <w:spacing w:before="120" w:after="120"/>
              <w:jc w:val="both"/>
              <w:rPr>
                <w:b/>
                <w:sz w:val="22"/>
                <w:szCs w:val="22"/>
              </w:rPr>
            </w:pPr>
            <w:r w:rsidRPr="00EE4780">
              <w:rPr>
                <w:b/>
                <w:sz w:val="22"/>
                <w:szCs w:val="22"/>
              </w:rPr>
              <w:t>Akceptováno.</w:t>
            </w:r>
          </w:p>
          <w:p w14:paraId="29191A93" w14:textId="77777777" w:rsidR="006239BC" w:rsidRDefault="006239BC" w:rsidP="007D5088">
            <w:pPr>
              <w:spacing w:before="120" w:after="120"/>
              <w:jc w:val="both"/>
              <w:rPr>
                <w:b/>
                <w:sz w:val="22"/>
                <w:szCs w:val="22"/>
              </w:rPr>
            </w:pPr>
            <w:r>
              <w:rPr>
                <w:sz w:val="22"/>
                <w:szCs w:val="22"/>
              </w:rPr>
              <w:t>Do části III. materiálu bylo v kapitole 3.1.1, 3.1.2 a 3.1.3 doplněno vymezení odpovědností a kompetencí za realizaci uvedených aktivit jednotlivými řešiteli.</w:t>
            </w:r>
          </w:p>
        </w:tc>
      </w:tr>
      <w:tr w:rsidR="005223EE" w:rsidRPr="00312D8E" w14:paraId="4DC3423F" w14:textId="77777777" w:rsidTr="009244BD">
        <w:trPr>
          <w:trHeight w:val="340"/>
        </w:trPr>
        <w:tc>
          <w:tcPr>
            <w:tcW w:w="1951" w:type="dxa"/>
            <w:shd w:val="clear" w:color="auto" w:fill="auto"/>
          </w:tcPr>
          <w:p w14:paraId="51B14103" w14:textId="77777777" w:rsidR="005223EE" w:rsidRDefault="00B92480" w:rsidP="006239BC">
            <w:pPr>
              <w:spacing w:before="120" w:after="120"/>
              <w:rPr>
                <w:b/>
                <w:sz w:val="22"/>
                <w:szCs w:val="22"/>
              </w:rPr>
            </w:pPr>
            <w:r w:rsidRPr="00B92480">
              <w:rPr>
                <w:b/>
                <w:sz w:val="22"/>
                <w:szCs w:val="22"/>
              </w:rPr>
              <w:t>Ministerstvo zemědělství</w:t>
            </w:r>
          </w:p>
        </w:tc>
        <w:tc>
          <w:tcPr>
            <w:tcW w:w="5762" w:type="dxa"/>
            <w:shd w:val="clear" w:color="auto" w:fill="auto"/>
          </w:tcPr>
          <w:p w14:paraId="1817F6D2" w14:textId="77777777" w:rsidR="00B92480" w:rsidRPr="00B92480" w:rsidRDefault="00B92480" w:rsidP="00DE3503">
            <w:pPr>
              <w:widowControl w:val="0"/>
              <w:autoSpaceDE w:val="0"/>
              <w:autoSpaceDN w:val="0"/>
              <w:adjustRightInd w:val="0"/>
              <w:spacing w:before="120" w:after="120"/>
              <w:jc w:val="both"/>
              <w:rPr>
                <w:b/>
                <w:sz w:val="22"/>
                <w:szCs w:val="22"/>
              </w:rPr>
            </w:pPr>
            <w:r>
              <w:rPr>
                <w:b/>
                <w:sz w:val="22"/>
                <w:szCs w:val="22"/>
              </w:rPr>
              <w:t>Doporučující připomínka</w:t>
            </w:r>
          </w:p>
          <w:p w14:paraId="6A648AE3" w14:textId="77777777" w:rsidR="005223EE" w:rsidRPr="00B92480" w:rsidRDefault="00B92480" w:rsidP="00DE3503">
            <w:pPr>
              <w:widowControl w:val="0"/>
              <w:autoSpaceDE w:val="0"/>
              <w:autoSpaceDN w:val="0"/>
              <w:adjustRightInd w:val="0"/>
              <w:spacing w:before="120" w:after="120"/>
              <w:jc w:val="both"/>
              <w:rPr>
                <w:sz w:val="22"/>
                <w:szCs w:val="22"/>
              </w:rPr>
            </w:pPr>
            <w:r w:rsidRPr="00B92480">
              <w:rPr>
                <w:sz w:val="22"/>
                <w:szCs w:val="22"/>
              </w:rPr>
              <w:t>Doporučujeme, aby materiál posoudil z hlediska případné existence veřejné podpory ve smyslu čl. 107 odst. 1 Smlouvy o fungování EU také Úřad pro ochranu hospodářské soutěže (pokud již nebyl zahrnut mezi připomínkovací místa v rámci MPŘ).</w:t>
            </w:r>
          </w:p>
        </w:tc>
        <w:tc>
          <w:tcPr>
            <w:tcW w:w="6616" w:type="dxa"/>
            <w:shd w:val="clear" w:color="auto" w:fill="auto"/>
          </w:tcPr>
          <w:p w14:paraId="2E3113F0" w14:textId="77777777" w:rsidR="005223EE" w:rsidRDefault="00BA003D" w:rsidP="00B72696">
            <w:pPr>
              <w:spacing w:before="120" w:after="120"/>
              <w:jc w:val="both"/>
              <w:rPr>
                <w:b/>
                <w:sz w:val="22"/>
                <w:szCs w:val="22"/>
              </w:rPr>
            </w:pPr>
            <w:r>
              <w:rPr>
                <w:b/>
                <w:sz w:val="22"/>
                <w:szCs w:val="22"/>
              </w:rPr>
              <w:t>N</w:t>
            </w:r>
            <w:r w:rsidR="006B5515">
              <w:rPr>
                <w:b/>
                <w:sz w:val="22"/>
                <w:szCs w:val="22"/>
              </w:rPr>
              <w:t>eakceptováno a vysvětleno.</w:t>
            </w:r>
          </w:p>
          <w:p w14:paraId="1AAD3416" w14:textId="56BE7A48" w:rsidR="00074A51" w:rsidRDefault="00074A51" w:rsidP="00B72696">
            <w:pPr>
              <w:spacing w:before="120" w:after="120"/>
              <w:jc w:val="both"/>
              <w:rPr>
                <w:sz w:val="22"/>
                <w:szCs w:val="22"/>
              </w:rPr>
            </w:pPr>
            <w:r>
              <w:rPr>
                <w:sz w:val="22"/>
                <w:szCs w:val="22"/>
              </w:rPr>
              <w:t>Do části III. materiálu bylo v kapitole 4 na str. 29 doplněno následující:</w:t>
            </w:r>
          </w:p>
          <w:p w14:paraId="2BD6A020" w14:textId="1CCCC7B6" w:rsidR="00B6629E" w:rsidRDefault="00074A51" w:rsidP="00B72696">
            <w:pPr>
              <w:spacing w:before="120" w:after="120"/>
              <w:jc w:val="both"/>
              <w:rPr>
                <w:sz w:val="22"/>
                <w:szCs w:val="22"/>
              </w:rPr>
            </w:pPr>
            <w:r>
              <w:rPr>
                <w:sz w:val="22"/>
                <w:szCs w:val="22"/>
              </w:rPr>
              <w:t>„</w:t>
            </w:r>
            <w:r w:rsidR="00D25FBD" w:rsidRPr="00074A51">
              <w:rPr>
                <w:i/>
                <w:sz w:val="22"/>
                <w:szCs w:val="22"/>
              </w:rPr>
              <w:t>Příjemce a další účastníci projektu sdílených činností CZERA, tzn., ř</w:t>
            </w:r>
            <w:r w:rsidR="00F061DE" w:rsidRPr="00074A51">
              <w:rPr>
                <w:i/>
                <w:sz w:val="22"/>
                <w:szCs w:val="22"/>
              </w:rPr>
              <w:t>ešitelé</w:t>
            </w:r>
            <w:r w:rsidR="00D25FBD" w:rsidRPr="00074A51">
              <w:rPr>
                <w:i/>
                <w:sz w:val="22"/>
                <w:szCs w:val="22"/>
              </w:rPr>
              <w:t>,</w:t>
            </w:r>
            <w:r w:rsidR="00F061DE" w:rsidRPr="00074A51">
              <w:rPr>
                <w:i/>
                <w:sz w:val="22"/>
                <w:szCs w:val="22"/>
              </w:rPr>
              <w:t xml:space="preserve"> </w:t>
            </w:r>
            <w:r w:rsidR="006239BC" w:rsidRPr="00074A51">
              <w:rPr>
                <w:i/>
                <w:sz w:val="22"/>
                <w:szCs w:val="22"/>
              </w:rPr>
              <w:t xml:space="preserve">budou </w:t>
            </w:r>
            <w:r w:rsidR="00F061DE" w:rsidRPr="00074A51">
              <w:rPr>
                <w:i/>
                <w:sz w:val="22"/>
                <w:szCs w:val="22"/>
              </w:rPr>
              <w:t xml:space="preserve">projekt sdílených činností CZERA </w:t>
            </w:r>
            <w:r w:rsidR="006239BC" w:rsidRPr="00074A51">
              <w:rPr>
                <w:i/>
                <w:sz w:val="22"/>
                <w:szCs w:val="22"/>
              </w:rPr>
              <w:t>realizovat v </w:t>
            </w:r>
            <w:r w:rsidR="00D25FBD" w:rsidRPr="00074A51">
              <w:rPr>
                <w:i/>
                <w:sz w:val="22"/>
                <w:szCs w:val="22"/>
              </w:rPr>
              <w:t>kapacitě</w:t>
            </w:r>
            <w:r w:rsidR="006239BC" w:rsidRPr="00074A51">
              <w:rPr>
                <w:i/>
                <w:sz w:val="22"/>
                <w:szCs w:val="22"/>
              </w:rPr>
              <w:t xml:space="preserve"> </w:t>
            </w:r>
            <w:r w:rsidR="00F061DE" w:rsidRPr="00074A51">
              <w:rPr>
                <w:bCs/>
                <w:i/>
                <w:iCs/>
                <w:sz w:val="22"/>
                <w:szCs w:val="22"/>
              </w:rPr>
              <w:t>organizac</w:t>
            </w:r>
            <w:r w:rsidR="006239BC" w:rsidRPr="00074A51">
              <w:rPr>
                <w:bCs/>
                <w:i/>
                <w:iCs/>
                <w:sz w:val="22"/>
                <w:szCs w:val="22"/>
              </w:rPr>
              <w:t>í</w:t>
            </w:r>
            <w:r w:rsidR="00F061DE" w:rsidRPr="00074A51">
              <w:rPr>
                <w:bCs/>
                <w:i/>
                <w:iCs/>
                <w:sz w:val="22"/>
                <w:szCs w:val="22"/>
              </w:rPr>
              <w:t xml:space="preserve"> pro výzkum a šíření znalostí</w:t>
            </w:r>
            <w:r w:rsidR="00F061DE" w:rsidRPr="00074A51">
              <w:rPr>
                <w:i/>
                <w:iCs/>
                <w:sz w:val="22"/>
                <w:szCs w:val="22"/>
              </w:rPr>
              <w:t xml:space="preserve"> tak, jak jsou definovány Rámcem pro státní podporu výzkumu, vývoje a inovací (2014/C 198/01). Podpora řešitelů z prostředků účelové podpory MŠMT z výdajů státního rozpočtu ČR na výzkum, vývoj a inovace poté nebude zakládat veřejnou podporu ve smyslu čl. 107 odst. 1 Smlouvy o fungování EU. Účelová podpora řešitelů projektu sdílených činností </w:t>
            </w:r>
            <w:r w:rsidR="00D25FBD" w:rsidRPr="00074A51">
              <w:rPr>
                <w:i/>
                <w:iCs/>
                <w:sz w:val="22"/>
                <w:szCs w:val="22"/>
              </w:rPr>
              <w:t xml:space="preserve">jim </w:t>
            </w:r>
            <w:r w:rsidR="00F061DE" w:rsidRPr="00074A51">
              <w:rPr>
                <w:i/>
                <w:iCs/>
                <w:sz w:val="22"/>
                <w:szCs w:val="22"/>
              </w:rPr>
              <w:t>bude poskytována</w:t>
            </w:r>
            <w:r w:rsidR="00D25FBD" w:rsidRPr="00074A51">
              <w:rPr>
                <w:i/>
                <w:iCs/>
                <w:sz w:val="22"/>
                <w:szCs w:val="22"/>
              </w:rPr>
              <w:t xml:space="preserve"> v kapacitě</w:t>
            </w:r>
            <w:r w:rsidR="00F061DE" w:rsidRPr="00074A51">
              <w:rPr>
                <w:i/>
                <w:iCs/>
                <w:sz w:val="22"/>
                <w:szCs w:val="22"/>
              </w:rPr>
              <w:t xml:space="preserve"> organizací pro výzkum a šíření znalostí a finanční prostředky budou směřovány na </w:t>
            </w:r>
            <w:r w:rsidR="00F061DE" w:rsidRPr="00074A51">
              <w:rPr>
                <w:bCs/>
                <w:i/>
                <w:iCs/>
                <w:sz w:val="22"/>
                <w:szCs w:val="22"/>
              </w:rPr>
              <w:t>financování jejich nehospodářských činností</w:t>
            </w:r>
            <w:r w:rsidR="00F061DE" w:rsidRPr="00074A51">
              <w:rPr>
                <w:i/>
                <w:iCs/>
                <w:sz w:val="22"/>
                <w:szCs w:val="22"/>
              </w:rPr>
              <w:t xml:space="preserve"> podle odst. 19 Rámce pro státní podporu výzkumu, vývoje a inovací (2014/C 198/01). Pokud budou </w:t>
            </w:r>
            <w:r w:rsidR="00D25FBD" w:rsidRPr="00074A51">
              <w:rPr>
                <w:i/>
                <w:iCs/>
                <w:sz w:val="22"/>
                <w:szCs w:val="22"/>
              </w:rPr>
              <w:t>řešitelé</w:t>
            </w:r>
            <w:r w:rsidR="00F061DE" w:rsidRPr="00074A51">
              <w:rPr>
                <w:i/>
                <w:iCs/>
                <w:sz w:val="22"/>
                <w:szCs w:val="22"/>
              </w:rPr>
              <w:t xml:space="preserve"> vykonávat hospodářské činnosti, budou tyto </w:t>
            </w:r>
            <w:r w:rsidR="00F061DE" w:rsidRPr="00074A51">
              <w:rPr>
                <w:bCs/>
                <w:i/>
                <w:iCs/>
                <w:sz w:val="22"/>
                <w:szCs w:val="22"/>
              </w:rPr>
              <w:t>hospodářské činnosti pouze vedlejší povahy</w:t>
            </w:r>
            <w:r w:rsidR="00F061DE" w:rsidRPr="00074A51">
              <w:rPr>
                <w:i/>
                <w:iCs/>
                <w:sz w:val="22"/>
                <w:szCs w:val="22"/>
              </w:rPr>
              <w:t xml:space="preserve"> a budou přitom vykazovat doplňkový charakter k hlavním nehospodářským činnostem rozvíjeným na základě odst. 20 Rámce pro státní podporu výzkumu, vývoje a inovací (2014/C 198/01). </w:t>
            </w:r>
            <w:r w:rsidR="00F061DE" w:rsidRPr="00074A51">
              <w:rPr>
                <w:bCs/>
                <w:i/>
                <w:iCs/>
                <w:sz w:val="22"/>
                <w:szCs w:val="22"/>
              </w:rPr>
              <w:t xml:space="preserve">Financování řešitelů projektu sdílených činností </w:t>
            </w:r>
            <w:r w:rsidR="00D25FBD" w:rsidRPr="00074A51">
              <w:rPr>
                <w:bCs/>
                <w:i/>
                <w:iCs/>
                <w:sz w:val="22"/>
                <w:szCs w:val="22"/>
              </w:rPr>
              <w:t xml:space="preserve">CZERA </w:t>
            </w:r>
            <w:r w:rsidR="00F061DE" w:rsidRPr="00074A51">
              <w:rPr>
                <w:bCs/>
                <w:i/>
                <w:iCs/>
                <w:sz w:val="22"/>
                <w:szCs w:val="22"/>
              </w:rPr>
              <w:t xml:space="preserve">z prostředků účelové </w:t>
            </w:r>
            <w:r w:rsidR="00F061DE" w:rsidRPr="00074A51">
              <w:rPr>
                <w:bCs/>
                <w:i/>
                <w:iCs/>
                <w:sz w:val="22"/>
                <w:szCs w:val="22"/>
              </w:rPr>
              <w:lastRenderedPageBreak/>
              <w:t>podpory MŠMT tak veřejnou podporu ve smyslu čl. 107 odst. 1 Smlouvy o fungování EU zakládat nebude.</w:t>
            </w:r>
            <w:r w:rsidRPr="00074A51">
              <w:rPr>
                <w:bCs/>
                <w:i/>
                <w:iCs/>
                <w:sz w:val="22"/>
                <w:szCs w:val="22"/>
              </w:rPr>
              <w:t>“</w:t>
            </w:r>
          </w:p>
          <w:p w14:paraId="63C9BF78" w14:textId="77165646" w:rsidR="001A1E56" w:rsidRPr="00BA003D" w:rsidRDefault="00F061DE" w:rsidP="00D25FBD">
            <w:pPr>
              <w:spacing w:before="120" w:after="120"/>
              <w:jc w:val="both"/>
              <w:rPr>
                <w:sz w:val="22"/>
                <w:szCs w:val="22"/>
              </w:rPr>
            </w:pPr>
            <w:r>
              <w:rPr>
                <w:sz w:val="22"/>
                <w:szCs w:val="22"/>
              </w:rPr>
              <w:t xml:space="preserve">Úřad pro ochranu hospodářské soutěže je nepovinným připomínkovým místem a je běžnou praxí, že na předkládané materiály, jež vyžadují posouzení z hlediska ochrany hospodářské soutěže, </w:t>
            </w:r>
            <w:r w:rsidR="00D25FBD">
              <w:rPr>
                <w:sz w:val="22"/>
                <w:szCs w:val="22"/>
              </w:rPr>
              <w:t>Ú</w:t>
            </w:r>
            <w:r>
              <w:rPr>
                <w:sz w:val="22"/>
                <w:szCs w:val="22"/>
              </w:rPr>
              <w:t xml:space="preserve">řad </w:t>
            </w:r>
            <w:r w:rsidR="00D25FBD">
              <w:rPr>
                <w:sz w:val="22"/>
                <w:szCs w:val="22"/>
              </w:rPr>
              <w:t xml:space="preserve">pro ochranu hospodářské soutěže </w:t>
            </w:r>
            <w:r>
              <w:rPr>
                <w:sz w:val="22"/>
                <w:szCs w:val="22"/>
              </w:rPr>
              <w:t>z vlastní iniciativy upozorní.</w:t>
            </w:r>
          </w:p>
        </w:tc>
      </w:tr>
      <w:tr w:rsidR="00D25FBD" w:rsidRPr="00312D8E" w14:paraId="60E38C70" w14:textId="77777777" w:rsidTr="009244BD">
        <w:trPr>
          <w:trHeight w:val="340"/>
        </w:trPr>
        <w:tc>
          <w:tcPr>
            <w:tcW w:w="1951" w:type="dxa"/>
            <w:vMerge w:val="restart"/>
            <w:shd w:val="clear" w:color="auto" w:fill="auto"/>
          </w:tcPr>
          <w:p w14:paraId="56D15B0E" w14:textId="77777777" w:rsidR="00D25FBD" w:rsidRDefault="00D25FBD" w:rsidP="00D25FBD">
            <w:pPr>
              <w:spacing w:before="120" w:after="120"/>
              <w:rPr>
                <w:b/>
                <w:sz w:val="22"/>
                <w:szCs w:val="22"/>
              </w:rPr>
            </w:pPr>
            <w:r w:rsidRPr="00B92480">
              <w:rPr>
                <w:b/>
                <w:sz w:val="22"/>
                <w:szCs w:val="22"/>
              </w:rPr>
              <w:lastRenderedPageBreak/>
              <w:t>Technologická agentura ČR</w:t>
            </w:r>
          </w:p>
        </w:tc>
        <w:tc>
          <w:tcPr>
            <w:tcW w:w="5762" w:type="dxa"/>
            <w:shd w:val="clear" w:color="auto" w:fill="auto"/>
          </w:tcPr>
          <w:p w14:paraId="389EFEB4" w14:textId="77777777" w:rsidR="00D25FBD" w:rsidRPr="00B92480" w:rsidRDefault="00D25FBD" w:rsidP="00DE3503">
            <w:pPr>
              <w:widowControl w:val="0"/>
              <w:autoSpaceDE w:val="0"/>
              <w:autoSpaceDN w:val="0"/>
              <w:adjustRightInd w:val="0"/>
              <w:spacing w:before="120" w:after="120"/>
              <w:jc w:val="both"/>
              <w:rPr>
                <w:b/>
                <w:sz w:val="22"/>
                <w:szCs w:val="22"/>
              </w:rPr>
            </w:pPr>
            <w:r w:rsidRPr="00601B36">
              <w:rPr>
                <w:b/>
                <w:sz w:val="22"/>
                <w:szCs w:val="22"/>
              </w:rPr>
              <w:t>Zásadní připomínka</w:t>
            </w:r>
          </w:p>
          <w:p w14:paraId="469E1855" w14:textId="77777777" w:rsidR="00D25FBD" w:rsidRPr="00601B36" w:rsidRDefault="00D25FBD" w:rsidP="00DE3503">
            <w:pPr>
              <w:widowControl w:val="0"/>
              <w:autoSpaceDE w:val="0"/>
              <w:autoSpaceDN w:val="0"/>
              <w:adjustRightInd w:val="0"/>
              <w:spacing w:before="120" w:after="120"/>
              <w:jc w:val="both"/>
              <w:rPr>
                <w:b/>
                <w:sz w:val="22"/>
                <w:szCs w:val="22"/>
              </w:rPr>
            </w:pPr>
            <w:r w:rsidRPr="00B92480">
              <w:rPr>
                <w:sz w:val="22"/>
                <w:szCs w:val="22"/>
              </w:rPr>
              <w:t>Napříč textem se v přev</w:t>
            </w:r>
            <w:r>
              <w:rPr>
                <w:sz w:val="22"/>
                <w:szCs w:val="22"/>
              </w:rPr>
              <w:t xml:space="preserve">ážné většině případů mluví o VO </w:t>
            </w:r>
            <w:r w:rsidRPr="00B92480">
              <w:rPr>
                <w:sz w:val="22"/>
                <w:szCs w:val="22"/>
              </w:rPr>
              <w:t>a podnicích jako žadatelích do FP9. Požadujeme ale doplnit,</w:t>
            </w:r>
            <w:r>
              <w:rPr>
                <w:sz w:val="22"/>
                <w:szCs w:val="22"/>
              </w:rPr>
              <w:t xml:space="preserve"> </w:t>
            </w:r>
            <w:r w:rsidRPr="00B92480">
              <w:rPr>
                <w:sz w:val="22"/>
                <w:szCs w:val="22"/>
              </w:rPr>
              <w:t>že služby NICER budou moci využít jakékoliv subjekty (ne pouze VO a podniky), které se mohou</w:t>
            </w:r>
            <w:r>
              <w:rPr>
                <w:sz w:val="22"/>
                <w:szCs w:val="22"/>
              </w:rPr>
              <w:t xml:space="preserve"> a chtějí do FP9 zapojit (u EIC </w:t>
            </w:r>
            <w:r w:rsidRPr="00B92480">
              <w:rPr>
                <w:sz w:val="22"/>
                <w:szCs w:val="22"/>
              </w:rPr>
              <w:t>to bude i fyzická osoba). Může se např. jednat o neziskové organizace, orgány státní správy, apod. Z textu by to mělo být jednoznačné, což v</w:t>
            </w:r>
            <w:r>
              <w:rPr>
                <w:sz w:val="22"/>
                <w:szCs w:val="22"/>
              </w:rPr>
              <w:t> </w:t>
            </w:r>
            <w:r w:rsidRPr="00B92480">
              <w:rPr>
                <w:sz w:val="22"/>
                <w:szCs w:val="22"/>
              </w:rPr>
              <w:t>tuto chvíli není.</w:t>
            </w:r>
          </w:p>
        </w:tc>
        <w:tc>
          <w:tcPr>
            <w:tcW w:w="6616" w:type="dxa"/>
            <w:shd w:val="clear" w:color="auto" w:fill="auto"/>
          </w:tcPr>
          <w:p w14:paraId="3A183FA8" w14:textId="77777777" w:rsidR="00D25FBD" w:rsidRDefault="00D25FBD" w:rsidP="00B72696">
            <w:pPr>
              <w:spacing w:before="120" w:after="120"/>
              <w:jc w:val="both"/>
              <w:rPr>
                <w:b/>
                <w:sz w:val="22"/>
                <w:szCs w:val="22"/>
              </w:rPr>
            </w:pPr>
            <w:r>
              <w:rPr>
                <w:b/>
                <w:sz w:val="22"/>
                <w:szCs w:val="22"/>
              </w:rPr>
              <w:t>Akceptováno.</w:t>
            </w:r>
          </w:p>
          <w:p w14:paraId="4F4EF482" w14:textId="77777777" w:rsidR="00D25FBD" w:rsidRDefault="00D25FBD" w:rsidP="00B72696">
            <w:pPr>
              <w:spacing w:before="120" w:after="120"/>
              <w:jc w:val="both"/>
              <w:rPr>
                <w:sz w:val="22"/>
                <w:szCs w:val="22"/>
              </w:rPr>
            </w:pPr>
            <w:r>
              <w:rPr>
                <w:sz w:val="22"/>
                <w:szCs w:val="22"/>
              </w:rPr>
              <w:t xml:space="preserve">Vzhledem k tomu, že výzkumné organizace a podniky tvoří naprostou většinu žadatelů do rámcových programů EU pro výzkum a inovace, v souladu s běžnou praxí klademe důraz především na tento typ subjektů. Domníváme se, že z textu je nicméně na mnoha místech patrné, že kompletní portfolio služeb bude poskytováno bez výjimky </w:t>
            </w:r>
            <w:r w:rsidRPr="008B0279">
              <w:rPr>
                <w:sz w:val="22"/>
                <w:szCs w:val="22"/>
              </w:rPr>
              <w:t>všem zúčastněným stakeholderům z prostředí VaVaI</w:t>
            </w:r>
            <w:r>
              <w:rPr>
                <w:sz w:val="22"/>
                <w:szCs w:val="22"/>
              </w:rPr>
              <w:t>.</w:t>
            </w:r>
          </w:p>
          <w:p w14:paraId="23070F52" w14:textId="566B78AE" w:rsidR="00D25FBD" w:rsidRPr="00E37CAD" w:rsidRDefault="00D25FBD" w:rsidP="00BF65D6">
            <w:pPr>
              <w:spacing w:before="120" w:after="120"/>
              <w:jc w:val="both"/>
              <w:rPr>
                <w:sz w:val="22"/>
                <w:szCs w:val="22"/>
              </w:rPr>
            </w:pPr>
            <w:r>
              <w:rPr>
                <w:sz w:val="22"/>
                <w:szCs w:val="22"/>
              </w:rPr>
              <w:t>V zájmu zdůraznění stávajících i nových možností zapojení dalších typů subjekt</w:t>
            </w:r>
            <w:r w:rsidR="00BF65D6">
              <w:rPr>
                <w:sz w:val="22"/>
                <w:szCs w:val="22"/>
              </w:rPr>
              <w:t>ů</w:t>
            </w:r>
            <w:r>
              <w:rPr>
                <w:sz w:val="22"/>
                <w:szCs w:val="22"/>
              </w:rPr>
              <w:t xml:space="preserve"> bylo do části III. materiálu doplněno, že služby budou poskytovány i dalším subjektům zapojujícím se do FP9. V odst. 2.4 „Cílová skupina projektu“ bylo doplněno </w:t>
            </w:r>
            <w:r w:rsidRPr="00F11861">
              <w:rPr>
                <w:i/>
                <w:sz w:val="22"/>
                <w:szCs w:val="22"/>
              </w:rPr>
              <w:t>„případně další subjekty mezinárodní spolupráce ve VaVaI včetně fyzických osob, neziskových organizací, či org</w:t>
            </w:r>
            <w:r w:rsidR="00BF65D6">
              <w:rPr>
                <w:i/>
                <w:sz w:val="22"/>
                <w:szCs w:val="22"/>
              </w:rPr>
              <w:t>á</w:t>
            </w:r>
            <w:r w:rsidRPr="00F11861">
              <w:rPr>
                <w:i/>
                <w:sz w:val="22"/>
                <w:szCs w:val="22"/>
              </w:rPr>
              <w:t>nů státní správy.“</w:t>
            </w:r>
          </w:p>
        </w:tc>
      </w:tr>
      <w:tr w:rsidR="00D25FBD" w:rsidRPr="00312D8E" w14:paraId="56A4EB8B" w14:textId="77777777" w:rsidTr="00B72696">
        <w:trPr>
          <w:trHeight w:val="340"/>
        </w:trPr>
        <w:tc>
          <w:tcPr>
            <w:tcW w:w="1951" w:type="dxa"/>
            <w:vMerge/>
            <w:shd w:val="clear" w:color="auto" w:fill="auto"/>
            <w:vAlign w:val="center"/>
          </w:tcPr>
          <w:p w14:paraId="148F81C0" w14:textId="77777777" w:rsidR="00D25FBD" w:rsidRDefault="00D25FBD" w:rsidP="00601B36">
            <w:pPr>
              <w:spacing w:before="120" w:after="120"/>
              <w:rPr>
                <w:b/>
                <w:sz w:val="22"/>
                <w:szCs w:val="22"/>
              </w:rPr>
            </w:pPr>
          </w:p>
        </w:tc>
        <w:tc>
          <w:tcPr>
            <w:tcW w:w="5762" w:type="dxa"/>
            <w:shd w:val="clear" w:color="auto" w:fill="auto"/>
            <w:vAlign w:val="center"/>
          </w:tcPr>
          <w:p w14:paraId="60716D27" w14:textId="77777777" w:rsidR="00D25FBD" w:rsidRPr="00B92480" w:rsidRDefault="00D25FBD" w:rsidP="00010969">
            <w:pPr>
              <w:widowControl w:val="0"/>
              <w:autoSpaceDE w:val="0"/>
              <w:autoSpaceDN w:val="0"/>
              <w:adjustRightInd w:val="0"/>
              <w:spacing w:before="120" w:after="120"/>
              <w:jc w:val="both"/>
              <w:rPr>
                <w:b/>
                <w:sz w:val="22"/>
                <w:szCs w:val="22"/>
              </w:rPr>
            </w:pPr>
            <w:r w:rsidRPr="00601B36">
              <w:rPr>
                <w:b/>
                <w:sz w:val="22"/>
                <w:szCs w:val="22"/>
              </w:rPr>
              <w:t>Zásadní připomínka</w:t>
            </w:r>
          </w:p>
          <w:p w14:paraId="7A75592A" w14:textId="77777777" w:rsidR="00D25FBD" w:rsidRDefault="00D25FBD" w:rsidP="00010969">
            <w:pPr>
              <w:widowControl w:val="0"/>
              <w:jc w:val="both"/>
              <w:rPr>
                <w:sz w:val="22"/>
                <w:szCs w:val="22"/>
              </w:rPr>
            </w:pPr>
            <w:r>
              <w:rPr>
                <w:sz w:val="22"/>
                <w:szCs w:val="22"/>
              </w:rPr>
              <w:t>Str. 4, 11 – NICER bude poskytovat informace o aktuálních a připravovaných výzvách nástroje partnerství. Bude organizovat i národní informační dny. Zde vidíme nutnost explicitně uvést, že tyto aktivity musí být ve spolupráci se subjekty (resortem, implementační agenturou), které budou členy partnerství, aby nevznikaly zmatky a dvoukolejnost. Požadujeme doplnit věty na str. 11 následovně:</w:t>
            </w:r>
          </w:p>
          <w:p w14:paraId="02EAA4F6" w14:textId="77777777" w:rsidR="00D25FBD" w:rsidRDefault="00D25FBD" w:rsidP="00010969">
            <w:pPr>
              <w:numPr>
                <w:ilvl w:val="0"/>
                <w:numId w:val="24"/>
              </w:numPr>
              <w:spacing w:before="120" w:after="120"/>
              <w:ind w:left="1434" w:hanging="357"/>
              <w:jc w:val="both"/>
              <w:rPr>
                <w:b/>
                <w:sz w:val="22"/>
                <w:szCs w:val="22"/>
              </w:rPr>
            </w:pPr>
            <w:r>
              <w:rPr>
                <w:sz w:val="22"/>
                <w:szCs w:val="22"/>
              </w:rPr>
              <w:t xml:space="preserve">Kromě včasných informací o aktuálních a nově připravovaných možnostech zapojení do FP9, včetně výzev </w:t>
            </w:r>
            <w:r>
              <w:rPr>
                <w:sz w:val="22"/>
                <w:szCs w:val="22"/>
              </w:rPr>
              <w:lastRenderedPageBreak/>
              <w:t xml:space="preserve">vyhlašovaných v rámci implementačních nástrojů partnerství </w:t>
            </w:r>
            <w:r>
              <w:rPr>
                <w:b/>
                <w:sz w:val="22"/>
                <w:szCs w:val="22"/>
              </w:rPr>
              <w:t>(ve spolupráci se zapojenými strategickými a implementačními subjekty v těchto partnerstvích)</w:t>
            </w:r>
          </w:p>
          <w:p w14:paraId="7EC718DA" w14:textId="77777777" w:rsidR="00D25FBD" w:rsidRPr="00601B36" w:rsidRDefault="00D25FBD" w:rsidP="005F3C38">
            <w:pPr>
              <w:numPr>
                <w:ilvl w:val="0"/>
                <w:numId w:val="24"/>
              </w:numPr>
              <w:spacing w:before="120" w:after="120"/>
              <w:ind w:left="1434" w:hanging="357"/>
              <w:jc w:val="both"/>
              <w:rPr>
                <w:b/>
                <w:sz w:val="22"/>
                <w:szCs w:val="22"/>
              </w:rPr>
            </w:pPr>
            <w:r>
              <w:rPr>
                <w:sz w:val="22"/>
                <w:szCs w:val="22"/>
              </w:rPr>
              <w:t xml:space="preserve">NICER bude organizovat národní informační dny k vyhlašovaným výzvám FP9, a to včetně výzev vyhlašovaných v rámci implementace partnerství </w:t>
            </w:r>
            <w:r>
              <w:rPr>
                <w:b/>
                <w:sz w:val="22"/>
                <w:szCs w:val="22"/>
              </w:rPr>
              <w:t>(v koordinaci se zapojenými strategickými a implementačními subjekty v těchto partnerstvích)</w:t>
            </w:r>
          </w:p>
        </w:tc>
        <w:tc>
          <w:tcPr>
            <w:tcW w:w="6616" w:type="dxa"/>
            <w:shd w:val="clear" w:color="auto" w:fill="auto"/>
          </w:tcPr>
          <w:p w14:paraId="371158D6" w14:textId="77777777" w:rsidR="00D25FBD" w:rsidRDefault="00D25FBD" w:rsidP="00E37CAD">
            <w:pPr>
              <w:spacing w:before="120" w:after="120"/>
              <w:jc w:val="both"/>
              <w:rPr>
                <w:b/>
                <w:sz w:val="22"/>
                <w:szCs w:val="22"/>
              </w:rPr>
            </w:pPr>
            <w:r>
              <w:rPr>
                <w:b/>
                <w:sz w:val="22"/>
                <w:szCs w:val="22"/>
              </w:rPr>
              <w:lastRenderedPageBreak/>
              <w:t>Akceptováno.</w:t>
            </w:r>
          </w:p>
          <w:p w14:paraId="2F89DB0A" w14:textId="77777777" w:rsidR="00D25FBD" w:rsidRPr="00E37CAD" w:rsidRDefault="00D25FBD" w:rsidP="000354E5">
            <w:pPr>
              <w:spacing w:before="120" w:after="120"/>
              <w:jc w:val="both"/>
              <w:rPr>
                <w:sz w:val="22"/>
                <w:szCs w:val="22"/>
              </w:rPr>
            </w:pPr>
            <w:r>
              <w:rPr>
                <w:sz w:val="22"/>
                <w:szCs w:val="22"/>
              </w:rPr>
              <w:t xml:space="preserve">Doplněno v části III. materiálu </w:t>
            </w:r>
            <w:r w:rsidR="00BF65D6">
              <w:rPr>
                <w:sz w:val="22"/>
                <w:szCs w:val="22"/>
              </w:rPr>
              <w:t xml:space="preserve">na </w:t>
            </w:r>
            <w:r>
              <w:rPr>
                <w:sz w:val="22"/>
                <w:szCs w:val="22"/>
              </w:rPr>
              <w:t>str. 11.</w:t>
            </w:r>
          </w:p>
        </w:tc>
      </w:tr>
      <w:tr w:rsidR="00D25FBD" w:rsidRPr="00312D8E" w14:paraId="7C37482E" w14:textId="77777777" w:rsidTr="00074A51">
        <w:trPr>
          <w:trHeight w:val="340"/>
        </w:trPr>
        <w:tc>
          <w:tcPr>
            <w:tcW w:w="1951" w:type="dxa"/>
            <w:vMerge/>
            <w:shd w:val="clear" w:color="auto" w:fill="auto"/>
            <w:vAlign w:val="center"/>
          </w:tcPr>
          <w:p w14:paraId="0FED1654" w14:textId="77777777" w:rsidR="00D25FBD" w:rsidRDefault="00D25FBD" w:rsidP="00601B36">
            <w:pPr>
              <w:spacing w:before="120" w:after="120"/>
              <w:rPr>
                <w:b/>
                <w:sz w:val="22"/>
                <w:szCs w:val="22"/>
              </w:rPr>
            </w:pPr>
          </w:p>
        </w:tc>
        <w:tc>
          <w:tcPr>
            <w:tcW w:w="5762" w:type="dxa"/>
            <w:shd w:val="clear" w:color="auto" w:fill="auto"/>
          </w:tcPr>
          <w:p w14:paraId="157E5E66" w14:textId="77777777" w:rsidR="00D25FBD" w:rsidRPr="00B92480" w:rsidRDefault="00D25FBD" w:rsidP="00074A51">
            <w:pPr>
              <w:widowControl w:val="0"/>
              <w:autoSpaceDE w:val="0"/>
              <w:autoSpaceDN w:val="0"/>
              <w:adjustRightInd w:val="0"/>
              <w:spacing w:before="120" w:after="120"/>
              <w:rPr>
                <w:b/>
                <w:sz w:val="22"/>
                <w:szCs w:val="22"/>
              </w:rPr>
            </w:pPr>
            <w:r w:rsidRPr="00601B36">
              <w:rPr>
                <w:b/>
                <w:sz w:val="22"/>
                <w:szCs w:val="22"/>
              </w:rPr>
              <w:t>Zásadní připomínka</w:t>
            </w:r>
          </w:p>
          <w:p w14:paraId="2BF82647" w14:textId="77777777" w:rsidR="00D25FBD" w:rsidRPr="00010969" w:rsidRDefault="00D25FBD" w:rsidP="00074A51">
            <w:pPr>
              <w:widowControl w:val="0"/>
              <w:autoSpaceDE w:val="0"/>
              <w:autoSpaceDN w:val="0"/>
              <w:adjustRightInd w:val="0"/>
              <w:spacing w:before="120" w:after="120"/>
              <w:rPr>
                <w:sz w:val="22"/>
                <w:szCs w:val="22"/>
              </w:rPr>
            </w:pPr>
            <w:r w:rsidRPr="00010969">
              <w:rPr>
                <w:sz w:val="22"/>
                <w:szCs w:val="22"/>
              </w:rPr>
              <w:t>Str. 11</w:t>
            </w:r>
            <w:r>
              <w:rPr>
                <w:sz w:val="22"/>
                <w:szCs w:val="22"/>
              </w:rPr>
              <w:t xml:space="preserve"> –</w:t>
            </w:r>
            <w:r w:rsidRPr="00010969">
              <w:rPr>
                <w:sz w:val="22"/>
                <w:szCs w:val="22"/>
              </w:rPr>
              <w:t xml:space="preserve"> U školení na poptávku požadujeme doplnit i</w:t>
            </w:r>
            <w:r>
              <w:rPr>
                <w:sz w:val="22"/>
                <w:szCs w:val="22"/>
              </w:rPr>
              <w:t> </w:t>
            </w:r>
            <w:r w:rsidRPr="00010969">
              <w:rPr>
                <w:sz w:val="22"/>
                <w:szCs w:val="22"/>
              </w:rPr>
              <w:t>orgány státní správy.</w:t>
            </w:r>
          </w:p>
        </w:tc>
        <w:tc>
          <w:tcPr>
            <w:tcW w:w="6616" w:type="dxa"/>
            <w:shd w:val="clear" w:color="auto" w:fill="auto"/>
          </w:tcPr>
          <w:p w14:paraId="69E1469C" w14:textId="77777777" w:rsidR="00D25FBD" w:rsidRDefault="00D25FBD" w:rsidP="00E37CAD">
            <w:pPr>
              <w:spacing w:before="120" w:after="120"/>
              <w:jc w:val="both"/>
              <w:rPr>
                <w:b/>
                <w:sz w:val="22"/>
                <w:szCs w:val="22"/>
              </w:rPr>
            </w:pPr>
            <w:r>
              <w:rPr>
                <w:b/>
                <w:sz w:val="22"/>
                <w:szCs w:val="22"/>
              </w:rPr>
              <w:t>Akceptováno.</w:t>
            </w:r>
          </w:p>
          <w:p w14:paraId="025EC031" w14:textId="77777777" w:rsidR="00D25FBD" w:rsidRDefault="00D25FBD" w:rsidP="00B72696">
            <w:pPr>
              <w:spacing w:before="120" w:after="120"/>
              <w:jc w:val="both"/>
              <w:rPr>
                <w:sz w:val="22"/>
                <w:szCs w:val="22"/>
              </w:rPr>
            </w:pPr>
            <w:r>
              <w:rPr>
                <w:sz w:val="22"/>
                <w:szCs w:val="22"/>
              </w:rPr>
              <w:t xml:space="preserve">Doplněno v části III. materiálu </w:t>
            </w:r>
            <w:r w:rsidR="00BF65D6">
              <w:rPr>
                <w:sz w:val="22"/>
                <w:szCs w:val="22"/>
              </w:rPr>
              <w:t xml:space="preserve">na </w:t>
            </w:r>
            <w:r>
              <w:rPr>
                <w:sz w:val="22"/>
                <w:szCs w:val="22"/>
              </w:rPr>
              <w:t>str. 12.</w:t>
            </w:r>
          </w:p>
          <w:p w14:paraId="07FFD266" w14:textId="77777777" w:rsidR="00D25FBD" w:rsidRPr="000354E5" w:rsidRDefault="00BF65D6" w:rsidP="000354E5">
            <w:pPr>
              <w:spacing w:before="120" w:after="120"/>
              <w:jc w:val="both"/>
              <w:rPr>
                <w:i/>
                <w:sz w:val="22"/>
                <w:szCs w:val="22"/>
              </w:rPr>
            </w:pPr>
            <w:r>
              <w:rPr>
                <w:i/>
                <w:sz w:val="22"/>
                <w:szCs w:val="22"/>
              </w:rPr>
              <w:t>„</w:t>
            </w:r>
            <w:r w:rsidR="00D25FBD" w:rsidRPr="000354E5">
              <w:rPr>
                <w:i/>
                <w:sz w:val="22"/>
                <w:szCs w:val="22"/>
              </w:rPr>
              <w:t>NICER bude nabízet i školení na poptávku pro výzkumné a</w:t>
            </w:r>
            <w:r w:rsidR="00D25FBD">
              <w:rPr>
                <w:i/>
                <w:sz w:val="22"/>
                <w:szCs w:val="22"/>
              </w:rPr>
              <w:t> </w:t>
            </w:r>
            <w:r w:rsidR="00D25FBD" w:rsidRPr="000354E5">
              <w:rPr>
                <w:i/>
                <w:sz w:val="22"/>
                <w:szCs w:val="22"/>
              </w:rPr>
              <w:t xml:space="preserve">inovační organizace a instituce </w:t>
            </w:r>
            <w:r w:rsidR="00D25FBD" w:rsidRPr="000354E5">
              <w:rPr>
                <w:b/>
                <w:i/>
                <w:sz w:val="22"/>
                <w:szCs w:val="22"/>
              </w:rPr>
              <w:t>a orgány státní správy</w:t>
            </w:r>
            <w:r w:rsidR="00D25FBD" w:rsidRPr="000354E5">
              <w:rPr>
                <w:i/>
                <w:sz w:val="22"/>
                <w:szCs w:val="22"/>
              </w:rPr>
              <w:t xml:space="preserve"> na základě těsnější a komplexnější spolupráce s jejich managementem a nabízené analýzy jejich potřeb.</w:t>
            </w:r>
            <w:r>
              <w:rPr>
                <w:i/>
                <w:sz w:val="22"/>
                <w:szCs w:val="22"/>
              </w:rPr>
              <w:t>“</w:t>
            </w:r>
          </w:p>
        </w:tc>
      </w:tr>
      <w:tr w:rsidR="00D25FBD" w:rsidRPr="00312D8E" w14:paraId="28891D8D" w14:textId="77777777" w:rsidTr="007D5088">
        <w:trPr>
          <w:trHeight w:val="50"/>
        </w:trPr>
        <w:tc>
          <w:tcPr>
            <w:tcW w:w="1951" w:type="dxa"/>
            <w:vMerge/>
            <w:shd w:val="clear" w:color="auto" w:fill="auto"/>
            <w:vAlign w:val="center"/>
          </w:tcPr>
          <w:p w14:paraId="6FD8F539" w14:textId="77777777" w:rsidR="00D25FBD" w:rsidRDefault="00D25FBD" w:rsidP="00601B36">
            <w:pPr>
              <w:spacing w:before="120" w:after="120"/>
              <w:rPr>
                <w:b/>
                <w:sz w:val="22"/>
                <w:szCs w:val="22"/>
              </w:rPr>
            </w:pPr>
          </w:p>
        </w:tc>
        <w:tc>
          <w:tcPr>
            <w:tcW w:w="5762" w:type="dxa"/>
            <w:shd w:val="clear" w:color="auto" w:fill="auto"/>
            <w:vAlign w:val="center"/>
          </w:tcPr>
          <w:p w14:paraId="71448B9B" w14:textId="77777777" w:rsidR="00D25FBD" w:rsidRPr="00B92480" w:rsidRDefault="00D25FBD" w:rsidP="00010969">
            <w:pPr>
              <w:widowControl w:val="0"/>
              <w:autoSpaceDE w:val="0"/>
              <w:autoSpaceDN w:val="0"/>
              <w:adjustRightInd w:val="0"/>
              <w:spacing w:before="120" w:after="120"/>
              <w:jc w:val="both"/>
              <w:rPr>
                <w:b/>
                <w:sz w:val="22"/>
                <w:szCs w:val="22"/>
              </w:rPr>
            </w:pPr>
            <w:r w:rsidRPr="00601B36">
              <w:rPr>
                <w:b/>
                <w:sz w:val="22"/>
                <w:szCs w:val="22"/>
              </w:rPr>
              <w:t>Zásadní připomínka</w:t>
            </w:r>
          </w:p>
          <w:p w14:paraId="6DACBBE8" w14:textId="77777777" w:rsidR="00D25FBD" w:rsidRPr="0035672B" w:rsidRDefault="00D25FBD" w:rsidP="005F3C38">
            <w:pPr>
              <w:widowControl w:val="0"/>
              <w:autoSpaceDE w:val="0"/>
              <w:autoSpaceDN w:val="0"/>
              <w:adjustRightInd w:val="0"/>
              <w:spacing w:before="120" w:after="120"/>
              <w:jc w:val="both"/>
              <w:rPr>
                <w:sz w:val="22"/>
                <w:szCs w:val="22"/>
              </w:rPr>
            </w:pPr>
            <w:r w:rsidRPr="0035672B">
              <w:rPr>
                <w:sz w:val="22"/>
                <w:szCs w:val="22"/>
              </w:rPr>
              <w:t xml:space="preserve">V souvislosti se zmíněným (ale dosud neschváleným) projektem sdílených činností (viz str. 14 </w:t>
            </w:r>
            <w:r w:rsidRPr="0035672B">
              <w:rPr>
                <w:i/>
                <w:sz w:val="22"/>
                <w:szCs w:val="22"/>
              </w:rPr>
              <w:t>“Spolupráce s oddělením strategických studií TC AV ČR jakožto s</w:t>
            </w:r>
            <w:r>
              <w:rPr>
                <w:i/>
                <w:sz w:val="22"/>
                <w:szCs w:val="22"/>
              </w:rPr>
              <w:t> </w:t>
            </w:r>
            <w:r w:rsidRPr="0035672B">
              <w:rPr>
                <w:i/>
                <w:sz w:val="22"/>
                <w:szCs w:val="22"/>
              </w:rPr>
              <w:t>realizátorem projektu sdílených činností zaměřeného na rozvoj a využívání strategické inteligence pro přípravu, tvorbu a implementaci politiky VaVaI”</w:t>
            </w:r>
            <w:r w:rsidRPr="0035672B">
              <w:rPr>
                <w:sz w:val="22"/>
                <w:szCs w:val="22"/>
              </w:rPr>
              <w:t>)</w:t>
            </w:r>
            <w:r>
              <w:rPr>
                <w:sz w:val="22"/>
                <w:szCs w:val="22"/>
              </w:rPr>
              <w:t> </w:t>
            </w:r>
            <w:r w:rsidRPr="0035672B">
              <w:rPr>
                <w:sz w:val="22"/>
                <w:szCs w:val="22"/>
              </w:rPr>
              <w:t>a uvedeným indikátorem “</w:t>
            </w:r>
            <w:r w:rsidRPr="0035672B">
              <w:rPr>
                <w:i/>
                <w:sz w:val="22"/>
                <w:szCs w:val="22"/>
              </w:rPr>
              <w:t>Vypracované odborné analýzy</w:t>
            </w:r>
            <w:r>
              <w:rPr>
                <w:i/>
                <w:sz w:val="22"/>
                <w:szCs w:val="22"/>
              </w:rPr>
              <w:t xml:space="preserve"> </w:t>
            </w:r>
            <w:r w:rsidRPr="0035672B">
              <w:rPr>
                <w:i/>
                <w:sz w:val="22"/>
                <w:szCs w:val="22"/>
              </w:rPr>
              <w:t>a podkladové studie</w:t>
            </w:r>
            <w:r w:rsidRPr="0035672B">
              <w:rPr>
                <w:sz w:val="22"/>
                <w:szCs w:val="22"/>
              </w:rPr>
              <w:t xml:space="preserve">” požadujeme jasné vymezení </w:t>
            </w:r>
            <w:r>
              <w:rPr>
                <w:sz w:val="22"/>
                <w:szCs w:val="22"/>
              </w:rPr>
              <w:t>aktivit </w:t>
            </w:r>
            <w:r w:rsidRPr="0035672B">
              <w:rPr>
                <w:sz w:val="22"/>
                <w:szCs w:val="22"/>
              </w:rPr>
              <w:t>a zejména využití kapacit. Pokud je zmiňovaný další projekt zaměřený na analýzy a podkladové studie a</w:t>
            </w:r>
            <w:r>
              <w:rPr>
                <w:sz w:val="22"/>
                <w:szCs w:val="22"/>
              </w:rPr>
              <w:t> </w:t>
            </w:r>
            <w:r w:rsidRPr="0035672B">
              <w:rPr>
                <w:sz w:val="22"/>
                <w:szCs w:val="22"/>
              </w:rPr>
              <w:t>tento projekt poskytuje data a součinnost, je uvedený indikátor nadbytečný.</w:t>
            </w:r>
          </w:p>
        </w:tc>
        <w:tc>
          <w:tcPr>
            <w:tcW w:w="6616" w:type="dxa"/>
            <w:shd w:val="clear" w:color="auto" w:fill="auto"/>
          </w:tcPr>
          <w:p w14:paraId="16B1A433" w14:textId="77777777" w:rsidR="00D25FBD" w:rsidRDefault="00D25FBD" w:rsidP="00E37CAD">
            <w:pPr>
              <w:spacing w:before="120" w:after="120"/>
              <w:jc w:val="both"/>
              <w:rPr>
                <w:b/>
                <w:sz w:val="22"/>
                <w:szCs w:val="22"/>
              </w:rPr>
            </w:pPr>
            <w:r>
              <w:rPr>
                <w:b/>
                <w:sz w:val="22"/>
                <w:szCs w:val="22"/>
              </w:rPr>
              <w:t>Neakceptováno a vysvětleno.</w:t>
            </w:r>
          </w:p>
          <w:p w14:paraId="37F5082D" w14:textId="3FD83B35" w:rsidR="00D25FBD" w:rsidRDefault="00D25FBD" w:rsidP="00B72696">
            <w:pPr>
              <w:spacing w:before="120" w:after="120"/>
              <w:jc w:val="both"/>
              <w:rPr>
                <w:sz w:val="22"/>
                <w:szCs w:val="22"/>
              </w:rPr>
            </w:pPr>
            <w:r>
              <w:rPr>
                <w:sz w:val="22"/>
                <w:szCs w:val="22"/>
              </w:rPr>
              <w:t>V rámci předkládaného projektu sdílených činností CZERA budou projektovým týmem vypracovány odborné analýzy a podkladové studie v přímé návaznosti na cíle projektu</w:t>
            </w:r>
            <w:r w:rsidR="00BF65D6">
              <w:rPr>
                <w:sz w:val="22"/>
                <w:szCs w:val="22"/>
              </w:rPr>
              <w:t>,</w:t>
            </w:r>
            <w:r>
              <w:rPr>
                <w:sz w:val="22"/>
                <w:szCs w:val="22"/>
              </w:rPr>
              <w:t xml:space="preserve"> co do věcné podstaty odlišné od výstupů projektu sdílených činností STRATIN. Ve zmiňovaném ohledu půjde o koordinaci a synergický efekt aktivit právě z toho důvodu, aby žádné z výstup</w:t>
            </w:r>
            <w:r w:rsidR="00BF65D6">
              <w:rPr>
                <w:sz w:val="22"/>
                <w:szCs w:val="22"/>
              </w:rPr>
              <w:t>ů</w:t>
            </w:r>
            <w:r>
              <w:rPr>
                <w:sz w:val="22"/>
                <w:szCs w:val="22"/>
              </w:rPr>
              <w:t xml:space="preserve"> nebyly duplicitní a</w:t>
            </w:r>
            <w:r w:rsidR="00DE3503">
              <w:rPr>
                <w:sz w:val="22"/>
                <w:szCs w:val="22"/>
              </w:rPr>
              <w:t> </w:t>
            </w:r>
            <w:r>
              <w:rPr>
                <w:sz w:val="22"/>
                <w:szCs w:val="22"/>
              </w:rPr>
              <w:t>zároveň využívaly již dosažených výsledků.</w:t>
            </w:r>
          </w:p>
          <w:p w14:paraId="4E478368" w14:textId="77777777" w:rsidR="00D25FBD" w:rsidRPr="00E37CAD" w:rsidRDefault="00D25FBD" w:rsidP="007D5088">
            <w:pPr>
              <w:spacing w:before="120" w:after="120"/>
              <w:jc w:val="both"/>
              <w:rPr>
                <w:sz w:val="22"/>
                <w:szCs w:val="22"/>
              </w:rPr>
            </w:pPr>
            <w:r>
              <w:rPr>
                <w:sz w:val="22"/>
                <w:szCs w:val="22"/>
              </w:rPr>
              <w:t>Jak je uvedeno v 5. kapitole části III. materiálu</w:t>
            </w:r>
            <w:r w:rsidR="00BF65D6">
              <w:rPr>
                <w:sz w:val="22"/>
                <w:szCs w:val="22"/>
              </w:rPr>
              <w:t>,</w:t>
            </w:r>
            <w:r>
              <w:rPr>
                <w:sz w:val="22"/>
                <w:szCs w:val="22"/>
              </w:rPr>
              <w:t xml:space="preserve"> ř</w:t>
            </w:r>
            <w:r w:rsidRPr="00E03628">
              <w:rPr>
                <w:sz w:val="22"/>
                <w:szCs w:val="22"/>
              </w:rPr>
              <w:t>ídicí výbor bude dohlížet, aby v realizaci projektu nedocházelo k</w:t>
            </w:r>
            <w:r>
              <w:rPr>
                <w:sz w:val="22"/>
                <w:szCs w:val="22"/>
              </w:rPr>
              <w:t> </w:t>
            </w:r>
            <w:r w:rsidRPr="00E03628">
              <w:rPr>
                <w:sz w:val="22"/>
                <w:szCs w:val="22"/>
              </w:rPr>
              <w:t>překryvům, resp. duplicitám a projekt byl implementován v</w:t>
            </w:r>
            <w:r>
              <w:rPr>
                <w:sz w:val="22"/>
                <w:szCs w:val="22"/>
              </w:rPr>
              <w:t> </w:t>
            </w:r>
            <w:r w:rsidRPr="00E03628">
              <w:rPr>
                <w:sz w:val="22"/>
                <w:szCs w:val="22"/>
              </w:rPr>
              <w:t>synergii, resp. vzájemné komplementaritě s aktivitami dalších projektů sdílených činností a</w:t>
            </w:r>
            <w:r>
              <w:rPr>
                <w:sz w:val="22"/>
                <w:szCs w:val="22"/>
              </w:rPr>
              <w:t> </w:t>
            </w:r>
            <w:r w:rsidRPr="00E03628">
              <w:rPr>
                <w:sz w:val="22"/>
                <w:szCs w:val="22"/>
              </w:rPr>
              <w:t>činnostmi orgánů státní správy ČR.</w:t>
            </w:r>
          </w:p>
        </w:tc>
      </w:tr>
      <w:tr w:rsidR="00D25FBD" w:rsidRPr="00312D8E" w14:paraId="39FE8D0A" w14:textId="77777777" w:rsidTr="00B72696">
        <w:trPr>
          <w:trHeight w:val="340"/>
        </w:trPr>
        <w:tc>
          <w:tcPr>
            <w:tcW w:w="1951" w:type="dxa"/>
            <w:vMerge/>
            <w:shd w:val="clear" w:color="auto" w:fill="auto"/>
            <w:vAlign w:val="center"/>
          </w:tcPr>
          <w:p w14:paraId="2F3F6BDC" w14:textId="77777777" w:rsidR="00D25FBD" w:rsidRDefault="00D25FBD" w:rsidP="00601B36">
            <w:pPr>
              <w:spacing w:before="120" w:after="120"/>
              <w:rPr>
                <w:b/>
                <w:sz w:val="22"/>
                <w:szCs w:val="22"/>
              </w:rPr>
            </w:pPr>
          </w:p>
        </w:tc>
        <w:tc>
          <w:tcPr>
            <w:tcW w:w="5762" w:type="dxa"/>
            <w:shd w:val="clear" w:color="auto" w:fill="auto"/>
            <w:vAlign w:val="center"/>
          </w:tcPr>
          <w:p w14:paraId="2F19B542" w14:textId="77777777" w:rsidR="00D25FBD" w:rsidRPr="00B92480" w:rsidRDefault="00D25FBD" w:rsidP="00010969">
            <w:pPr>
              <w:widowControl w:val="0"/>
              <w:autoSpaceDE w:val="0"/>
              <w:autoSpaceDN w:val="0"/>
              <w:adjustRightInd w:val="0"/>
              <w:spacing w:before="120" w:after="120"/>
              <w:jc w:val="both"/>
              <w:rPr>
                <w:b/>
                <w:sz w:val="22"/>
                <w:szCs w:val="22"/>
              </w:rPr>
            </w:pPr>
            <w:r w:rsidRPr="00601B36">
              <w:rPr>
                <w:b/>
                <w:sz w:val="22"/>
                <w:szCs w:val="22"/>
              </w:rPr>
              <w:t>Zásadní připomínka</w:t>
            </w:r>
          </w:p>
          <w:p w14:paraId="084B72C1" w14:textId="77777777" w:rsidR="00D25FBD" w:rsidRPr="0035672B" w:rsidRDefault="00D25FBD" w:rsidP="005F3C38">
            <w:pPr>
              <w:widowControl w:val="0"/>
              <w:autoSpaceDE w:val="0"/>
              <w:autoSpaceDN w:val="0"/>
              <w:adjustRightInd w:val="0"/>
              <w:spacing w:before="120" w:after="120"/>
              <w:jc w:val="both"/>
              <w:rPr>
                <w:sz w:val="22"/>
                <w:szCs w:val="22"/>
              </w:rPr>
            </w:pPr>
            <w:r w:rsidRPr="0035672B">
              <w:rPr>
                <w:sz w:val="22"/>
                <w:szCs w:val="22"/>
              </w:rPr>
              <w:t xml:space="preserve">Indikátor na str. 33 </w:t>
            </w:r>
            <w:r w:rsidRPr="0035672B">
              <w:rPr>
                <w:i/>
                <w:sz w:val="22"/>
                <w:szCs w:val="22"/>
              </w:rPr>
              <w:t>“Počet předložených návrhů projektů úspěšných účastí v projektech a výše finančních prostředků, jež výzkumné organizace a podniky ČR získají z rozpočtu rámcového programu EU pro výzkum a inovace Horizontu Evropa (2021-2027)”</w:t>
            </w:r>
            <w:r w:rsidRPr="0035672B">
              <w:rPr>
                <w:sz w:val="22"/>
                <w:szCs w:val="22"/>
              </w:rPr>
              <w:t xml:space="preserve"> nemá uvedenou cílovou hodnotu</w:t>
            </w:r>
            <w:r>
              <w:rPr>
                <w:sz w:val="22"/>
                <w:szCs w:val="22"/>
              </w:rPr>
              <w:t xml:space="preserve"> – </w:t>
            </w:r>
            <w:r w:rsidRPr="0035672B">
              <w:rPr>
                <w:sz w:val="22"/>
                <w:szCs w:val="22"/>
              </w:rPr>
              <w:t>požadujeme doplnit a</w:t>
            </w:r>
            <w:r>
              <w:rPr>
                <w:sz w:val="22"/>
                <w:szCs w:val="22"/>
              </w:rPr>
              <w:t> </w:t>
            </w:r>
            <w:r w:rsidRPr="0035672B">
              <w:rPr>
                <w:sz w:val="22"/>
                <w:szCs w:val="22"/>
              </w:rPr>
              <w:t>kvantifikovat. Uvedená formulace cílové hodnoty je nedostatečná a to zejména s ohledem na existující data a analýzy počtu žádostí, úspěšnosti apod., které právě příjemce (TC AV ČR) má k dispozici, a zcela jistě je možné stanovit přinejmenším procentuální nárůst. Jelikož je tento indikátor fakticky jediným výsledkovým - tedy indikujícím skutečné plnění cílů - považujeme doplnění za zásadní. Současně doporučujeme rozšíření indikátorů pro sledování plnění cílů podpory - tedy zvýšení počtu zapojení do ERA. Kvalifikace a zkušenosti příjemců jsou zárukou návrhu více vhodných indikátorů pro sledování přínosu projektu a sledování plnění cílů projektu. Monitoring projektu by jistě neměl být pouze formou “výkazu” vykonaných činností (tedy výstupů).</w:t>
            </w:r>
          </w:p>
        </w:tc>
        <w:tc>
          <w:tcPr>
            <w:tcW w:w="6616" w:type="dxa"/>
            <w:shd w:val="clear" w:color="auto" w:fill="auto"/>
          </w:tcPr>
          <w:p w14:paraId="517E1E6B" w14:textId="244F28A0" w:rsidR="00D25FBD" w:rsidRDefault="00A60645" w:rsidP="0023678C">
            <w:pPr>
              <w:spacing w:before="120" w:after="120"/>
              <w:jc w:val="both"/>
              <w:rPr>
                <w:b/>
                <w:sz w:val="22"/>
                <w:szCs w:val="22"/>
              </w:rPr>
            </w:pPr>
            <w:r>
              <w:rPr>
                <w:b/>
                <w:sz w:val="22"/>
                <w:szCs w:val="22"/>
              </w:rPr>
              <w:t>Akceptováno</w:t>
            </w:r>
            <w:r w:rsidR="00D25FBD">
              <w:rPr>
                <w:b/>
                <w:sz w:val="22"/>
                <w:szCs w:val="22"/>
              </w:rPr>
              <w:t>.</w:t>
            </w:r>
          </w:p>
          <w:p w14:paraId="0BD65A3F" w14:textId="77777777" w:rsidR="00D25FBD" w:rsidRDefault="00D25FBD" w:rsidP="00BF65D6">
            <w:pPr>
              <w:spacing w:before="120" w:after="120"/>
              <w:jc w:val="both"/>
              <w:rPr>
                <w:sz w:val="22"/>
                <w:szCs w:val="22"/>
              </w:rPr>
            </w:pPr>
            <w:r>
              <w:rPr>
                <w:sz w:val="22"/>
                <w:szCs w:val="22"/>
              </w:rPr>
              <w:t xml:space="preserve">Souhlasíme, že příjemce disponuje specifickými daty a studiemi pokrývajícími vývoj účasti subjektů z ČR </w:t>
            </w:r>
            <w:r w:rsidR="00BF65D6">
              <w:rPr>
                <w:sz w:val="22"/>
                <w:szCs w:val="22"/>
              </w:rPr>
              <w:t xml:space="preserve">v </w:t>
            </w:r>
            <w:r>
              <w:rPr>
                <w:sz w:val="22"/>
                <w:szCs w:val="22"/>
              </w:rPr>
              <w:t xml:space="preserve">rámcových programech EU pro výzkum a inovace podle různých parametrů a typů subjektu. </w:t>
            </w:r>
            <w:r w:rsidR="00BF65D6">
              <w:rPr>
                <w:sz w:val="22"/>
                <w:szCs w:val="22"/>
              </w:rPr>
              <w:t>V</w:t>
            </w:r>
            <w:r>
              <w:rPr>
                <w:sz w:val="22"/>
                <w:szCs w:val="22"/>
              </w:rPr>
              <w:t xml:space="preserve">olíme </w:t>
            </w:r>
            <w:r w:rsidR="00BF65D6">
              <w:rPr>
                <w:sz w:val="22"/>
                <w:szCs w:val="22"/>
              </w:rPr>
              <w:t xml:space="preserve">nicméně </w:t>
            </w:r>
            <w:r>
              <w:rPr>
                <w:sz w:val="22"/>
                <w:szCs w:val="22"/>
              </w:rPr>
              <w:t xml:space="preserve">obecný klíčový výkonnostní indikátor, protože očekáváme zvýšenou účast, nicméně projekt sám o sobě nemůže zajistit ani garantovat, že se uživatelé jeho služeb skutečně budou hlásit do </w:t>
            </w:r>
            <w:r w:rsidR="00BF65D6" w:rsidRPr="00BF65D6">
              <w:rPr>
                <w:sz w:val="22"/>
                <w:szCs w:val="22"/>
              </w:rPr>
              <w:t>rámcového programu EU pro výzkum a inovace Horizontu Evropa</w:t>
            </w:r>
            <w:r>
              <w:rPr>
                <w:sz w:val="22"/>
                <w:szCs w:val="22"/>
              </w:rPr>
              <w:t>, a tedy ani ovlivnit naplňování specifických indikátorů pro jednotlivé typy uživatelů.</w:t>
            </w:r>
          </w:p>
          <w:p w14:paraId="6E61D392" w14:textId="69A0D4DA" w:rsidR="00A60645" w:rsidRPr="0023678C" w:rsidRDefault="00A60645" w:rsidP="00043B8A">
            <w:pPr>
              <w:spacing w:before="120" w:after="120"/>
              <w:jc w:val="both"/>
              <w:rPr>
                <w:sz w:val="22"/>
                <w:szCs w:val="22"/>
              </w:rPr>
            </w:pPr>
            <w:r>
              <w:rPr>
                <w:sz w:val="22"/>
                <w:szCs w:val="22"/>
              </w:rPr>
              <w:t>V části III. materiálu byl</w:t>
            </w:r>
            <w:r w:rsidR="00D44F14">
              <w:rPr>
                <w:sz w:val="22"/>
                <w:szCs w:val="22"/>
              </w:rPr>
              <w:t xml:space="preserve"> na str. 33</w:t>
            </w:r>
            <w:r w:rsidR="00204537">
              <w:rPr>
                <w:sz w:val="22"/>
                <w:szCs w:val="22"/>
              </w:rPr>
              <w:t xml:space="preserve"> sledovaný</w:t>
            </w:r>
            <w:r>
              <w:rPr>
                <w:sz w:val="22"/>
                <w:szCs w:val="22"/>
              </w:rPr>
              <w:t xml:space="preserve"> </w:t>
            </w:r>
            <w:r w:rsidR="00066621">
              <w:rPr>
                <w:sz w:val="22"/>
                <w:szCs w:val="22"/>
              </w:rPr>
              <w:t>indikátor „</w:t>
            </w:r>
            <w:r w:rsidR="00066621" w:rsidRPr="00204537">
              <w:rPr>
                <w:i/>
                <w:sz w:val="22"/>
                <w:szCs w:val="22"/>
              </w:rPr>
              <w:t>Počet předložených návrhů projektů / úspěšných účastí v projektech a</w:t>
            </w:r>
            <w:r w:rsidR="00043B8A">
              <w:rPr>
                <w:i/>
                <w:sz w:val="22"/>
                <w:szCs w:val="22"/>
              </w:rPr>
              <w:t> </w:t>
            </w:r>
            <w:r w:rsidR="00066621" w:rsidRPr="00204537">
              <w:rPr>
                <w:i/>
                <w:sz w:val="22"/>
                <w:szCs w:val="22"/>
              </w:rPr>
              <w:t>výše finančních prostředků, jež výzkumné organizace a podniky ČR získají z rozpočtu rámcového programu EU pro výzkum a</w:t>
            </w:r>
            <w:r w:rsidR="00043B8A">
              <w:rPr>
                <w:i/>
                <w:sz w:val="22"/>
                <w:szCs w:val="22"/>
              </w:rPr>
              <w:t> </w:t>
            </w:r>
            <w:r w:rsidR="00066621" w:rsidRPr="00204537">
              <w:rPr>
                <w:i/>
                <w:sz w:val="22"/>
                <w:szCs w:val="22"/>
              </w:rPr>
              <w:t>inovace Horizontu Evropa (2021-2027)</w:t>
            </w:r>
            <w:r w:rsidR="00066621">
              <w:rPr>
                <w:sz w:val="22"/>
                <w:szCs w:val="22"/>
              </w:rPr>
              <w:t>“ zařazen mezi</w:t>
            </w:r>
            <w:r w:rsidR="00204537">
              <w:rPr>
                <w:sz w:val="22"/>
                <w:szCs w:val="22"/>
              </w:rPr>
              <w:t xml:space="preserve"> </w:t>
            </w:r>
            <w:r w:rsidR="00066621">
              <w:rPr>
                <w:sz w:val="22"/>
                <w:szCs w:val="22"/>
              </w:rPr>
              <w:t>výsledkové indikátory s cílovou hodnotou „</w:t>
            </w:r>
            <w:r w:rsidR="00066621" w:rsidRPr="009115CF">
              <w:rPr>
                <w:i/>
                <w:sz w:val="22"/>
                <w:szCs w:val="22"/>
              </w:rPr>
              <w:t>25 % nárůst v porovnání s</w:t>
            </w:r>
            <w:r w:rsidR="00204537" w:rsidRPr="009115CF">
              <w:rPr>
                <w:i/>
                <w:sz w:val="22"/>
                <w:szCs w:val="22"/>
              </w:rPr>
              <w:t> </w:t>
            </w:r>
            <w:r w:rsidR="00066621" w:rsidRPr="009115CF">
              <w:rPr>
                <w:i/>
                <w:sz w:val="22"/>
                <w:szCs w:val="22"/>
              </w:rPr>
              <w:t>rámcovým programem EU pro výzkum a inovace Horizontem 2020 (2014-2020)</w:t>
            </w:r>
            <w:r w:rsidR="00066621">
              <w:rPr>
                <w:sz w:val="22"/>
                <w:szCs w:val="22"/>
              </w:rPr>
              <w:t>“</w:t>
            </w:r>
          </w:p>
        </w:tc>
      </w:tr>
      <w:tr w:rsidR="00D25FBD" w:rsidRPr="00312D8E" w14:paraId="7CB66936" w14:textId="77777777" w:rsidTr="00B72696">
        <w:trPr>
          <w:trHeight w:val="340"/>
        </w:trPr>
        <w:tc>
          <w:tcPr>
            <w:tcW w:w="1951" w:type="dxa"/>
            <w:vMerge/>
            <w:shd w:val="clear" w:color="auto" w:fill="auto"/>
            <w:vAlign w:val="center"/>
          </w:tcPr>
          <w:p w14:paraId="75757BFE" w14:textId="77777777" w:rsidR="00D25FBD" w:rsidRDefault="00D25FBD" w:rsidP="00601B36">
            <w:pPr>
              <w:spacing w:before="120" w:after="120"/>
              <w:rPr>
                <w:b/>
                <w:sz w:val="22"/>
                <w:szCs w:val="22"/>
              </w:rPr>
            </w:pPr>
          </w:p>
        </w:tc>
        <w:tc>
          <w:tcPr>
            <w:tcW w:w="5762" w:type="dxa"/>
            <w:shd w:val="clear" w:color="auto" w:fill="auto"/>
            <w:vAlign w:val="center"/>
          </w:tcPr>
          <w:p w14:paraId="3722A46D" w14:textId="77777777" w:rsidR="00D25FBD" w:rsidRPr="00B92480" w:rsidRDefault="00D25FBD" w:rsidP="00010969">
            <w:pPr>
              <w:widowControl w:val="0"/>
              <w:autoSpaceDE w:val="0"/>
              <w:autoSpaceDN w:val="0"/>
              <w:adjustRightInd w:val="0"/>
              <w:spacing w:before="120" w:after="120"/>
              <w:jc w:val="both"/>
              <w:rPr>
                <w:b/>
                <w:sz w:val="22"/>
                <w:szCs w:val="22"/>
              </w:rPr>
            </w:pPr>
            <w:r w:rsidRPr="00601B36">
              <w:rPr>
                <w:b/>
                <w:sz w:val="22"/>
                <w:szCs w:val="22"/>
              </w:rPr>
              <w:t>Zásadní připomínka</w:t>
            </w:r>
          </w:p>
          <w:p w14:paraId="470ACBD4" w14:textId="77777777" w:rsidR="00D25FBD" w:rsidRPr="0043494F" w:rsidRDefault="00D25FBD" w:rsidP="00554C8A">
            <w:pPr>
              <w:widowControl w:val="0"/>
              <w:autoSpaceDE w:val="0"/>
              <w:autoSpaceDN w:val="0"/>
              <w:adjustRightInd w:val="0"/>
              <w:spacing w:before="120" w:after="120"/>
              <w:jc w:val="both"/>
              <w:rPr>
                <w:sz w:val="22"/>
                <w:szCs w:val="22"/>
              </w:rPr>
            </w:pPr>
            <w:r w:rsidRPr="0043494F">
              <w:rPr>
                <w:sz w:val="22"/>
                <w:szCs w:val="22"/>
              </w:rPr>
              <w:t xml:space="preserve">Str. 16 </w:t>
            </w:r>
            <w:r>
              <w:rPr>
                <w:sz w:val="22"/>
                <w:szCs w:val="22"/>
              </w:rPr>
              <w:t>–</w:t>
            </w:r>
            <w:r w:rsidRPr="0043494F">
              <w:rPr>
                <w:sz w:val="22"/>
                <w:szCs w:val="22"/>
              </w:rPr>
              <w:t xml:space="preserve"> požadujeme modifikaci věty takto: “Na vyžádání orgánů státní správy ČR budou ze strany NICER ve spolupráci s oddělením strategických studií TC AV ČR poskytovány specifické analýzy, hodnotící, výhledové nebo návrhové studie pro tvůrce politiky VaVaI v ČR, implementační orgány v ČR, delegáty a NCP ČR do programového výboru FP9, jakož i zástupce ČR v dalších expertních pracovních skupinách EK (např. pracovní skupiny k misím a k partnerstvím FP9) či v samotných partnerstvích a v dalších strukturách evropské politiky VaVaI.” Možnost využít dat a datové analýzy by měly mít i implementační subjekty, kte</w:t>
            </w:r>
            <w:r>
              <w:rPr>
                <w:sz w:val="22"/>
                <w:szCs w:val="22"/>
              </w:rPr>
              <w:t xml:space="preserve">ré např. chtějí využít synergie </w:t>
            </w:r>
            <w:r w:rsidRPr="0043494F">
              <w:rPr>
                <w:sz w:val="22"/>
                <w:szCs w:val="22"/>
              </w:rPr>
              <w:t xml:space="preserve">či implementovat Seal of Excellence. Stejně tak </w:t>
            </w:r>
            <w:r w:rsidRPr="0043494F">
              <w:rPr>
                <w:sz w:val="22"/>
                <w:szCs w:val="22"/>
              </w:rPr>
              <w:lastRenderedPageBreak/>
              <w:t>by měly mít tuto možn</w:t>
            </w:r>
            <w:r>
              <w:rPr>
                <w:sz w:val="22"/>
                <w:szCs w:val="22"/>
              </w:rPr>
              <w:t>ost i subjekty zapojené přímo v </w:t>
            </w:r>
            <w:r w:rsidRPr="0043494F">
              <w:rPr>
                <w:sz w:val="22"/>
                <w:szCs w:val="22"/>
              </w:rPr>
              <w:t>partnerstvích (resorty a implementační agentury) pro evaluaci a vyhodnocování komplementarit apod. Pokud budou analytické činnosti a podkladové studie předmětem dalšího projektu pak v souladu s připomínkou č. 5 požadujeme patřičnou úpravu (tedy případné převedení do dalšího projektu) tak, aby nedocházelo k</w:t>
            </w:r>
            <w:r>
              <w:rPr>
                <w:sz w:val="22"/>
                <w:szCs w:val="22"/>
              </w:rPr>
              <w:t> </w:t>
            </w:r>
            <w:r w:rsidRPr="0043494F">
              <w:rPr>
                <w:sz w:val="22"/>
                <w:szCs w:val="22"/>
              </w:rPr>
              <w:t>duplicitnímu financování stejných aktivit.</w:t>
            </w:r>
          </w:p>
        </w:tc>
        <w:tc>
          <w:tcPr>
            <w:tcW w:w="6616" w:type="dxa"/>
            <w:shd w:val="clear" w:color="auto" w:fill="auto"/>
          </w:tcPr>
          <w:p w14:paraId="043A62E1" w14:textId="77777777" w:rsidR="00D25FBD" w:rsidRDefault="00D25FBD" w:rsidP="00B72696">
            <w:pPr>
              <w:spacing w:before="120" w:after="120"/>
              <w:jc w:val="both"/>
              <w:rPr>
                <w:b/>
                <w:sz w:val="22"/>
                <w:szCs w:val="22"/>
              </w:rPr>
            </w:pPr>
            <w:r>
              <w:rPr>
                <w:b/>
                <w:sz w:val="22"/>
                <w:szCs w:val="22"/>
              </w:rPr>
              <w:lastRenderedPageBreak/>
              <w:t>Akceptováno.</w:t>
            </w:r>
          </w:p>
          <w:p w14:paraId="4EF00391" w14:textId="77777777" w:rsidR="00BF65D6" w:rsidRDefault="00D25FBD" w:rsidP="00453B25">
            <w:pPr>
              <w:spacing w:before="120" w:after="120"/>
              <w:jc w:val="both"/>
              <w:rPr>
                <w:sz w:val="22"/>
                <w:szCs w:val="22"/>
              </w:rPr>
            </w:pPr>
            <w:r>
              <w:rPr>
                <w:sz w:val="22"/>
                <w:szCs w:val="22"/>
              </w:rPr>
              <w:t xml:space="preserve">Doplněno v části III. materiálu </w:t>
            </w:r>
            <w:r w:rsidR="00BF65D6">
              <w:rPr>
                <w:sz w:val="22"/>
                <w:szCs w:val="22"/>
              </w:rPr>
              <w:t xml:space="preserve">na </w:t>
            </w:r>
            <w:r>
              <w:rPr>
                <w:sz w:val="22"/>
                <w:szCs w:val="22"/>
              </w:rPr>
              <w:t xml:space="preserve">str. 15. </w:t>
            </w:r>
          </w:p>
          <w:p w14:paraId="68C5A37F" w14:textId="77777777" w:rsidR="00D25FBD" w:rsidRDefault="00D25FBD" w:rsidP="00453B25">
            <w:pPr>
              <w:spacing w:before="120" w:after="120"/>
              <w:jc w:val="both"/>
              <w:rPr>
                <w:sz w:val="22"/>
                <w:szCs w:val="22"/>
              </w:rPr>
            </w:pPr>
            <w:r>
              <w:rPr>
                <w:sz w:val="22"/>
                <w:szCs w:val="22"/>
              </w:rPr>
              <w:t>Souvislost s dalšími projekty sdílených činností byla vysvětlena výše.</w:t>
            </w:r>
          </w:p>
          <w:p w14:paraId="011E2678" w14:textId="77777777" w:rsidR="00D25FBD" w:rsidRPr="004334B4" w:rsidRDefault="00D25FBD" w:rsidP="00B72696">
            <w:pPr>
              <w:spacing w:before="120" w:after="120"/>
              <w:jc w:val="both"/>
              <w:rPr>
                <w:sz w:val="22"/>
                <w:szCs w:val="22"/>
              </w:rPr>
            </w:pPr>
          </w:p>
        </w:tc>
      </w:tr>
      <w:tr w:rsidR="00D25FBD" w:rsidRPr="00312D8E" w14:paraId="7E18165B" w14:textId="77777777" w:rsidTr="00B72696">
        <w:trPr>
          <w:trHeight w:val="340"/>
        </w:trPr>
        <w:tc>
          <w:tcPr>
            <w:tcW w:w="1951" w:type="dxa"/>
            <w:vMerge/>
            <w:shd w:val="clear" w:color="auto" w:fill="auto"/>
            <w:vAlign w:val="center"/>
          </w:tcPr>
          <w:p w14:paraId="7CEF2F7B" w14:textId="77777777" w:rsidR="00D25FBD" w:rsidRDefault="00D25FBD" w:rsidP="00601B36">
            <w:pPr>
              <w:spacing w:before="120" w:after="120"/>
              <w:rPr>
                <w:b/>
                <w:sz w:val="22"/>
                <w:szCs w:val="22"/>
              </w:rPr>
            </w:pPr>
          </w:p>
        </w:tc>
        <w:tc>
          <w:tcPr>
            <w:tcW w:w="5762" w:type="dxa"/>
            <w:shd w:val="clear" w:color="auto" w:fill="auto"/>
            <w:vAlign w:val="center"/>
          </w:tcPr>
          <w:p w14:paraId="7EFD7897" w14:textId="77777777" w:rsidR="00D25FBD" w:rsidRPr="00B92480" w:rsidRDefault="00D25FBD" w:rsidP="0043494F">
            <w:pPr>
              <w:widowControl w:val="0"/>
              <w:autoSpaceDE w:val="0"/>
              <w:autoSpaceDN w:val="0"/>
              <w:adjustRightInd w:val="0"/>
              <w:spacing w:before="120" w:after="120"/>
              <w:jc w:val="both"/>
              <w:rPr>
                <w:b/>
                <w:sz w:val="22"/>
                <w:szCs w:val="22"/>
              </w:rPr>
            </w:pPr>
            <w:r w:rsidRPr="00601B36">
              <w:rPr>
                <w:b/>
                <w:sz w:val="22"/>
                <w:szCs w:val="22"/>
              </w:rPr>
              <w:t>Zásadní připomínka</w:t>
            </w:r>
          </w:p>
          <w:p w14:paraId="5D08433F" w14:textId="77777777" w:rsidR="00D25FBD" w:rsidRPr="0043494F" w:rsidRDefault="00D25FBD" w:rsidP="0043494F">
            <w:pPr>
              <w:widowControl w:val="0"/>
              <w:autoSpaceDE w:val="0"/>
              <w:autoSpaceDN w:val="0"/>
              <w:adjustRightInd w:val="0"/>
              <w:spacing w:before="120" w:after="120"/>
              <w:jc w:val="both"/>
              <w:rPr>
                <w:sz w:val="22"/>
                <w:szCs w:val="22"/>
              </w:rPr>
            </w:pPr>
            <w:r w:rsidRPr="0043494F">
              <w:rPr>
                <w:sz w:val="22"/>
                <w:szCs w:val="22"/>
              </w:rPr>
              <w:t>Vzhledem k faktu, že TC AVČR je z pohledu pravidel veřejné podpory podnikem, protože (byť okrajově) realizuje hospodářské činnosti (v roce 2019 podle účetní závěrky výnosy 4 miliony Kč) požadujeme do předkládací zprávy upřesnění, jak bude postupováno z hlediska pravidel veřejné podpory.   Podpora podniků z veřejných zdrojů je zakázána čl. 107 Smlouvy o fungování Evropské unie. V materiálu určeném pro jednání vlády však o</w:t>
            </w:r>
            <w:r>
              <w:rPr>
                <w:sz w:val="22"/>
                <w:szCs w:val="22"/>
              </w:rPr>
              <w:t> </w:t>
            </w:r>
            <w:r w:rsidRPr="0043494F">
              <w:rPr>
                <w:sz w:val="22"/>
                <w:szCs w:val="22"/>
              </w:rPr>
              <w:t xml:space="preserve">režimu podpory z hlediska pravidel veřejné podpory není žádná zmínka. V úvahu by přicházel režim výjimky ze zákazu </w:t>
            </w:r>
            <w:r>
              <w:rPr>
                <w:sz w:val="22"/>
                <w:szCs w:val="22"/>
              </w:rPr>
              <w:t xml:space="preserve">(slučitelná podpora) nebo režim, </w:t>
            </w:r>
            <w:r w:rsidRPr="0043494F">
              <w:rPr>
                <w:sz w:val="22"/>
                <w:szCs w:val="22"/>
              </w:rPr>
              <w:t>který nezakládá veřejnou podporu (podpora služeb obecného hospodářského zájmu). TC AVČR sice je dle indikativního seznamu MŠMT výzkumnou organizací, podpořené aktivity ale nejsou ani výzkumem ani aktivitami transferu, ale přeneseným výkonem úkolů veřejné správy a službou poskytovanou veřejné správě. Nejde je jednoduše označit za nehospodářské, zejména pokud existují jiné soukromé společnosti, které jsou schopné obdobné služby poskytovat rovněž. Z tohoto důvodu považujeme za zásadní uvést toto upřesnění v samotné předkládací zprávě.</w:t>
            </w:r>
          </w:p>
        </w:tc>
        <w:tc>
          <w:tcPr>
            <w:tcW w:w="6616" w:type="dxa"/>
            <w:shd w:val="clear" w:color="auto" w:fill="auto"/>
          </w:tcPr>
          <w:p w14:paraId="2108B49C" w14:textId="7592F62E" w:rsidR="00D25FBD" w:rsidRDefault="00484AC3" w:rsidP="00B72696">
            <w:pPr>
              <w:spacing w:before="120" w:after="120"/>
              <w:jc w:val="both"/>
              <w:rPr>
                <w:b/>
                <w:sz w:val="22"/>
                <w:szCs w:val="22"/>
              </w:rPr>
            </w:pPr>
            <w:r>
              <w:rPr>
                <w:b/>
                <w:sz w:val="22"/>
                <w:szCs w:val="22"/>
              </w:rPr>
              <w:t>Neakceptováno</w:t>
            </w:r>
            <w:r w:rsidR="00D25FBD">
              <w:rPr>
                <w:b/>
                <w:sz w:val="22"/>
                <w:szCs w:val="22"/>
              </w:rPr>
              <w:t xml:space="preserve"> a vysvětleno.</w:t>
            </w:r>
          </w:p>
          <w:p w14:paraId="126B10A4" w14:textId="77777777" w:rsidR="00074A51" w:rsidRDefault="00074A51" w:rsidP="00074A51">
            <w:pPr>
              <w:spacing w:before="120" w:after="120"/>
              <w:jc w:val="both"/>
              <w:rPr>
                <w:sz w:val="22"/>
                <w:szCs w:val="22"/>
              </w:rPr>
            </w:pPr>
            <w:r>
              <w:rPr>
                <w:sz w:val="22"/>
                <w:szCs w:val="22"/>
              </w:rPr>
              <w:t>Do části III. materiálu bylo v kapitole 4 na str. 29 doplněno následující:</w:t>
            </w:r>
          </w:p>
          <w:p w14:paraId="66058DA6" w14:textId="741F81EF" w:rsidR="00D25FBD" w:rsidRPr="00B6629E" w:rsidRDefault="00074A51" w:rsidP="00074A51">
            <w:pPr>
              <w:spacing w:before="120" w:after="120"/>
              <w:jc w:val="both"/>
              <w:rPr>
                <w:sz w:val="22"/>
                <w:szCs w:val="22"/>
              </w:rPr>
            </w:pPr>
            <w:r>
              <w:rPr>
                <w:sz w:val="22"/>
                <w:szCs w:val="22"/>
              </w:rPr>
              <w:t>„</w:t>
            </w:r>
            <w:r w:rsidRPr="00074A51">
              <w:rPr>
                <w:i/>
                <w:sz w:val="22"/>
                <w:szCs w:val="22"/>
              </w:rPr>
              <w:t xml:space="preserve">Příjemce a další účastníci projektu sdílených činností CZERA, tzn., řešitelé, budou projekt sdílených činností CZERA realizovat v kapacitě </w:t>
            </w:r>
            <w:r w:rsidRPr="00074A51">
              <w:rPr>
                <w:bCs/>
                <w:i/>
                <w:iCs/>
                <w:sz w:val="22"/>
                <w:szCs w:val="22"/>
              </w:rPr>
              <w:t>organizací pro výzkum a šíření znalostí</w:t>
            </w:r>
            <w:r w:rsidRPr="00074A51">
              <w:rPr>
                <w:i/>
                <w:iCs/>
                <w:sz w:val="22"/>
                <w:szCs w:val="22"/>
              </w:rPr>
              <w:t xml:space="preserve"> tak, jak jsou definovány Rámcem pro státní podporu výzkumu, vývoje a inovací (2014/C 198/01). Podpora řešitelů z prostředků účelové podpory MŠMT z výdajů státního rozpočtu ČR na výzkum, vývoj a inovace poté nebude zakládat veřejnou podporu ve smyslu čl. 107 odst. 1 Smlouvy o fungování EU. Účelová podpora řešitelů projektu sdílených činností jim bude poskytována v kapacitě organizací pro výzkum a šíření znalostí a finanční prostředky budou směřovány na </w:t>
            </w:r>
            <w:r w:rsidRPr="00074A51">
              <w:rPr>
                <w:bCs/>
                <w:i/>
                <w:iCs/>
                <w:sz w:val="22"/>
                <w:szCs w:val="22"/>
              </w:rPr>
              <w:t>financování jejich nehospodářských činností</w:t>
            </w:r>
            <w:r w:rsidRPr="00074A51">
              <w:rPr>
                <w:i/>
                <w:iCs/>
                <w:sz w:val="22"/>
                <w:szCs w:val="22"/>
              </w:rPr>
              <w:t xml:space="preserve"> podle odst. 19 Rámce pro státní podporu výzkumu, vývoje a inovací (2014/C 198/01). Pokud budou řešitelé vykonávat hospodářské činnosti, budou tyto </w:t>
            </w:r>
            <w:r w:rsidRPr="00074A51">
              <w:rPr>
                <w:bCs/>
                <w:i/>
                <w:iCs/>
                <w:sz w:val="22"/>
                <w:szCs w:val="22"/>
              </w:rPr>
              <w:t>hospodářské činnosti pouze vedlejší povahy</w:t>
            </w:r>
            <w:r w:rsidRPr="00074A51">
              <w:rPr>
                <w:i/>
                <w:iCs/>
                <w:sz w:val="22"/>
                <w:szCs w:val="22"/>
              </w:rPr>
              <w:t xml:space="preserve"> a budou přitom vykazovat doplňkový charakter k hlavním nehospodářským činnostem rozvíjeným na základě odst. 20 Rámce pro státní podporu výzkumu, vývoje a inovací (2014/C 198/01). </w:t>
            </w:r>
            <w:r w:rsidRPr="00074A51">
              <w:rPr>
                <w:bCs/>
                <w:i/>
                <w:iCs/>
                <w:sz w:val="22"/>
                <w:szCs w:val="22"/>
              </w:rPr>
              <w:t>Financování řešitelů projektu sdílených činností CZERA z prostředků účelové podpory MŠMT tak veřejnou podporu ve smyslu čl. 107 odst. 1 Smlouvy o fungování EU zakládat nebude.“</w:t>
            </w:r>
          </w:p>
        </w:tc>
      </w:tr>
      <w:tr w:rsidR="00D25FBD" w:rsidRPr="00312D8E" w14:paraId="6AD7DBAB" w14:textId="77777777" w:rsidTr="00B72696">
        <w:trPr>
          <w:trHeight w:val="340"/>
        </w:trPr>
        <w:tc>
          <w:tcPr>
            <w:tcW w:w="1951" w:type="dxa"/>
            <w:vMerge/>
            <w:shd w:val="clear" w:color="auto" w:fill="auto"/>
            <w:vAlign w:val="center"/>
          </w:tcPr>
          <w:p w14:paraId="7D1EA754" w14:textId="77777777" w:rsidR="00D25FBD" w:rsidRDefault="00D25FBD" w:rsidP="00601B36">
            <w:pPr>
              <w:spacing w:before="120" w:after="120"/>
              <w:rPr>
                <w:b/>
                <w:sz w:val="22"/>
                <w:szCs w:val="22"/>
              </w:rPr>
            </w:pPr>
          </w:p>
        </w:tc>
        <w:tc>
          <w:tcPr>
            <w:tcW w:w="5762" w:type="dxa"/>
            <w:shd w:val="clear" w:color="auto" w:fill="auto"/>
            <w:vAlign w:val="center"/>
          </w:tcPr>
          <w:p w14:paraId="1C062E8A" w14:textId="77777777" w:rsidR="00D25FBD" w:rsidRDefault="00D25FBD" w:rsidP="0043494F">
            <w:pPr>
              <w:widowControl w:val="0"/>
              <w:autoSpaceDE w:val="0"/>
              <w:autoSpaceDN w:val="0"/>
              <w:adjustRightInd w:val="0"/>
              <w:spacing w:before="120" w:after="120"/>
              <w:jc w:val="both"/>
              <w:rPr>
                <w:b/>
                <w:sz w:val="22"/>
                <w:szCs w:val="22"/>
              </w:rPr>
            </w:pPr>
            <w:r w:rsidRPr="0043494F">
              <w:rPr>
                <w:b/>
                <w:sz w:val="22"/>
                <w:szCs w:val="22"/>
              </w:rPr>
              <w:t>Doporučující připomínka</w:t>
            </w:r>
          </w:p>
          <w:p w14:paraId="343422B3" w14:textId="4A68FB18" w:rsidR="00D25FBD" w:rsidRPr="00601B36" w:rsidRDefault="00D25FBD" w:rsidP="00DE3503">
            <w:pPr>
              <w:widowControl w:val="0"/>
              <w:autoSpaceDE w:val="0"/>
              <w:autoSpaceDN w:val="0"/>
              <w:adjustRightInd w:val="0"/>
              <w:spacing w:before="120" w:after="120"/>
              <w:jc w:val="both"/>
              <w:rPr>
                <w:b/>
                <w:sz w:val="22"/>
                <w:szCs w:val="22"/>
              </w:rPr>
            </w:pPr>
            <w:r w:rsidRPr="0043494F">
              <w:rPr>
                <w:sz w:val="22"/>
                <w:szCs w:val="22"/>
              </w:rPr>
              <w:t xml:space="preserve">Str. 7 </w:t>
            </w:r>
            <w:r>
              <w:rPr>
                <w:sz w:val="22"/>
                <w:szCs w:val="22"/>
              </w:rPr>
              <w:t xml:space="preserve">– </w:t>
            </w:r>
            <w:r w:rsidRPr="0043494F">
              <w:rPr>
                <w:sz w:val="22"/>
                <w:szCs w:val="22"/>
              </w:rPr>
              <w:t xml:space="preserve">“NCP úzce spolupracují s delegáty” - navrhujeme větu pozměnit přidáním závorky “NCP úzce </w:t>
            </w:r>
            <w:r w:rsidR="00DE3503" w:rsidRPr="0043494F">
              <w:rPr>
                <w:sz w:val="22"/>
                <w:szCs w:val="22"/>
              </w:rPr>
              <w:t>spolupracují</w:t>
            </w:r>
            <w:r w:rsidRPr="0043494F">
              <w:rPr>
                <w:sz w:val="22"/>
                <w:szCs w:val="22"/>
              </w:rPr>
              <w:t xml:space="preserve"> </w:t>
            </w:r>
            <w:r w:rsidRPr="0043494F">
              <w:rPr>
                <w:sz w:val="22"/>
                <w:szCs w:val="22"/>
              </w:rPr>
              <w:lastRenderedPageBreak/>
              <w:t>s</w:t>
            </w:r>
            <w:r w:rsidR="00DE3503">
              <w:rPr>
                <w:sz w:val="22"/>
                <w:szCs w:val="22"/>
              </w:rPr>
              <w:t> </w:t>
            </w:r>
            <w:r w:rsidRPr="0043494F">
              <w:rPr>
                <w:sz w:val="22"/>
                <w:szCs w:val="22"/>
              </w:rPr>
              <w:t>delegáty (a zároveň jsou ve valné většině i jejich alternáty)”. Tuto zmínku považujeme za důležitou, protože i z povahy této role se podílí na přípravě podkladů.</w:t>
            </w:r>
          </w:p>
        </w:tc>
        <w:tc>
          <w:tcPr>
            <w:tcW w:w="6616" w:type="dxa"/>
            <w:shd w:val="clear" w:color="auto" w:fill="auto"/>
          </w:tcPr>
          <w:p w14:paraId="4F23FA34" w14:textId="77777777" w:rsidR="00D25FBD" w:rsidRDefault="00D25FBD" w:rsidP="003500F9">
            <w:pPr>
              <w:spacing w:before="120" w:after="120"/>
              <w:jc w:val="both"/>
              <w:rPr>
                <w:b/>
                <w:sz w:val="22"/>
                <w:szCs w:val="22"/>
              </w:rPr>
            </w:pPr>
            <w:r>
              <w:rPr>
                <w:b/>
                <w:sz w:val="22"/>
                <w:szCs w:val="22"/>
              </w:rPr>
              <w:lastRenderedPageBreak/>
              <w:t>Akceptováno.</w:t>
            </w:r>
          </w:p>
          <w:p w14:paraId="32427A2D" w14:textId="77777777" w:rsidR="00D25FBD" w:rsidRDefault="00D25FBD" w:rsidP="009B77FA">
            <w:pPr>
              <w:spacing w:before="120" w:after="120"/>
              <w:jc w:val="both"/>
              <w:rPr>
                <w:sz w:val="22"/>
                <w:szCs w:val="22"/>
              </w:rPr>
            </w:pPr>
            <w:r>
              <w:rPr>
                <w:sz w:val="22"/>
                <w:szCs w:val="22"/>
              </w:rPr>
              <w:t xml:space="preserve">Doplněno v části III. materiálu </w:t>
            </w:r>
            <w:r w:rsidR="00BF65D6">
              <w:rPr>
                <w:sz w:val="22"/>
                <w:szCs w:val="22"/>
              </w:rPr>
              <w:t xml:space="preserve">na </w:t>
            </w:r>
            <w:r>
              <w:rPr>
                <w:sz w:val="22"/>
                <w:szCs w:val="22"/>
              </w:rPr>
              <w:t>str. 7.</w:t>
            </w:r>
          </w:p>
          <w:p w14:paraId="3B55EFA8" w14:textId="77777777" w:rsidR="00D25FBD" w:rsidRPr="003500F9" w:rsidRDefault="00D25FBD" w:rsidP="00B72696">
            <w:pPr>
              <w:spacing w:before="120" w:after="120"/>
              <w:jc w:val="both"/>
              <w:rPr>
                <w:sz w:val="22"/>
                <w:szCs w:val="22"/>
              </w:rPr>
            </w:pPr>
          </w:p>
        </w:tc>
      </w:tr>
      <w:tr w:rsidR="00BF65D6" w:rsidRPr="00312D8E" w14:paraId="5B8743D8" w14:textId="77777777" w:rsidTr="009B0215">
        <w:trPr>
          <w:trHeight w:val="340"/>
        </w:trPr>
        <w:tc>
          <w:tcPr>
            <w:tcW w:w="1951" w:type="dxa"/>
            <w:vMerge w:val="restart"/>
            <w:shd w:val="clear" w:color="auto" w:fill="auto"/>
          </w:tcPr>
          <w:p w14:paraId="76130E94" w14:textId="6B68EFA2" w:rsidR="00BF65D6" w:rsidRDefault="00BF65D6" w:rsidP="00BF65D6">
            <w:pPr>
              <w:spacing w:before="120" w:after="120"/>
              <w:rPr>
                <w:b/>
                <w:sz w:val="22"/>
                <w:szCs w:val="22"/>
              </w:rPr>
            </w:pPr>
            <w:r>
              <w:rPr>
                <w:b/>
                <w:sz w:val="22"/>
                <w:szCs w:val="22"/>
              </w:rPr>
              <w:lastRenderedPageBreak/>
              <w:t>Svaz průmyslu a dopravy ČR</w:t>
            </w:r>
          </w:p>
        </w:tc>
        <w:tc>
          <w:tcPr>
            <w:tcW w:w="5762" w:type="dxa"/>
            <w:shd w:val="clear" w:color="auto" w:fill="auto"/>
          </w:tcPr>
          <w:p w14:paraId="54232D7D" w14:textId="77777777" w:rsidR="00BF65D6" w:rsidRPr="00B92480" w:rsidRDefault="00BF65D6" w:rsidP="009B0215">
            <w:pPr>
              <w:widowControl w:val="0"/>
              <w:autoSpaceDE w:val="0"/>
              <w:autoSpaceDN w:val="0"/>
              <w:adjustRightInd w:val="0"/>
              <w:spacing w:before="120" w:after="120"/>
              <w:jc w:val="both"/>
              <w:rPr>
                <w:b/>
                <w:sz w:val="22"/>
                <w:szCs w:val="22"/>
              </w:rPr>
            </w:pPr>
            <w:r w:rsidRPr="00601B36">
              <w:rPr>
                <w:b/>
                <w:sz w:val="22"/>
                <w:szCs w:val="22"/>
              </w:rPr>
              <w:t>Zásadní připomínka</w:t>
            </w:r>
          </w:p>
          <w:p w14:paraId="6494F9A3" w14:textId="77777777" w:rsidR="00BF65D6" w:rsidRPr="000E71AC" w:rsidRDefault="00BF65D6" w:rsidP="009B0215">
            <w:pPr>
              <w:widowControl w:val="0"/>
              <w:autoSpaceDE w:val="0"/>
              <w:autoSpaceDN w:val="0"/>
              <w:adjustRightInd w:val="0"/>
              <w:spacing w:before="120" w:after="120"/>
              <w:jc w:val="both"/>
              <w:rPr>
                <w:sz w:val="22"/>
                <w:szCs w:val="22"/>
              </w:rPr>
            </w:pPr>
            <w:r w:rsidRPr="000E71AC">
              <w:rPr>
                <w:sz w:val="22"/>
                <w:szCs w:val="22"/>
              </w:rPr>
              <w:t>Žádáme o provedení ex ante hodnocení projektu sdílených činností před jeho předložením vládě ke schválení.</w:t>
            </w:r>
          </w:p>
          <w:p w14:paraId="4239CB44" w14:textId="77777777" w:rsidR="00BF65D6" w:rsidRPr="000E71AC" w:rsidRDefault="00BF65D6" w:rsidP="009B0215">
            <w:pPr>
              <w:widowControl w:val="0"/>
              <w:autoSpaceDE w:val="0"/>
              <w:autoSpaceDN w:val="0"/>
              <w:adjustRightInd w:val="0"/>
              <w:spacing w:before="120" w:after="120"/>
              <w:jc w:val="both"/>
              <w:rPr>
                <w:sz w:val="22"/>
                <w:szCs w:val="22"/>
                <w:u w:val="single"/>
              </w:rPr>
            </w:pPr>
            <w:r w:rsidRPr="000E71AC">
              <w:rPr>
                <w:sz w:val="22"/>
                <w:szCs w:val="22"/>
                <w:u w:val="single"/>
              </w:rPr>
              <w:t>Odůvodnění</w:t>
            </w:r>
          </w:p>
          <w:p w14:paraId="3E37BC81" w14:textId="02F91160" w:rsidR="00BF65D6" w:rsidRPr="000E71AC" w:rsidRDefault="00BF65D6" w:rsidP="009B0215">
            <w:pPr>
              <w:widowControl w:val="0"/>
              <w:autoSpaceDE w:val="0"/>
              <w:autoSpaceDN w:val="0"/>
              <w:adjustRightInd w:val="0"/>
              <w:spacing w:before="120" w:after="120"/>
              <w:jc w:val="both"/>
              <w:rPr>
                <w:sz w:val="22"/>
                <w:szCs w:val="22"/>
              </w:rPr>
            </w:pPr>
            <w:r w:rsidRPr="000E71AC">
              <w:rPr>
                <w:sz w:val="22"/>
                <w:szCs w:val="22"/>
              </w:rPr>
              <w:t>Projekt sdílených činností CZERA navrhuje poskytnutí dotace formou účelové podpory na výzkum, vývoj a</w:t>
            </w:r>
            <w:r w:rsidR="009B0215">
              <w:rPr>
                <w:sz w:val="22"/>
                <w:szCs w:val="22"/>
              </w:rPr>
              <w:t> </w:t>
            </w:r>
            <w:r w:rsidRPr="000E71AC">
              <w:rPr>
                <w:sz w:val="22"/>
                <w:szCs w:val="22"/>
              </w:rPr>
              <w:t>inovace ve výši 290 mil. Kč přímo konkrétním subjektům bez provedení veřejné soutěže a hodnocení návrhů projektů, které jsou u jiných forem účelové podpory standardní. Návrh projektu sdílených činností nebyl vůbec hodnocen ani po odborné stránce, ani po ekonomické aj. stránkách a není doloženo, že předložený návrh je (1) nejvhodnějším způsobem zajištění podpory mezinárodní spolupráce a (2) že ho zajišťuje ekonomicky nejlepším způsobem.</w:t>
            </w:r>
          </w:p>
        </w:tc>
        <w:tc>
          <w:tcPr>
            <w:tcW w:w="6616" w:type="dxa"/>
            <w:shd w:val="clear" w:color="auto" w:fill="auto"/>
          </w:tcPr>
          <w:p w14:paraId="7B4781AB" w14:textId="77777777" w:rsidR="00BF65D6" w:rsidRDefault="00BF65D6" w:rsidP="00B72696">
            <w:pPr>
              <w:spacing w:before="120" w:after="120"/>
              <w:jc w:val="both"/>
              <w:rPr>
                <w:b/>
                <w:sz w:val="22"/>
                <w:szCs w:val="22"/>
              </w:rPr>
            </w:pPr>
            <w:r w:rsidRPr="003500F9">
              <w:rPr>
                <w:b/>
                <w:sz w:val="22"/>
                <w:szCs w:val="22"/>
              </w:rPr>
              <w:t>N</w:t>
            </w:r>
            <w:r>
              <w:rPr>
                <w:b/>
                <w:sz w:val="22"/>
                <w:szCs w:val="22"/>
              </w:rPr>
              <w:t>eakceptováno a vysvětleno.</w:t>
            </w:r>
          </w:p>
          <w:p w14:paraId="0146710A" w14:textId="15AF4682" w:rsidR="00BF65D6" w:rsidRDefault="00BF65D6" w:rsidP="00B72696">
            <w:pPr>
              <w:spacing w:before="120" w:after="120"/>
              <w:jc w:val="both"/>
              <w:rPr>
                <w:sz w:val="22"/>
                <w:szCs w:val="22"/>
              </w:rPr>
            </w:pPr>
            <w:r>
              <w:rPr>
                <w:sz w:val="22"/>
                <w:szCs w:val="22"/>
              </w:rPr>
              <w:t xml:space="preserve">MŠMT při předkládání projektu sdílených činností postupuje plně v intencích </w:t>
            </w:r>
            <w:r w:rsidR="00A66D47">
              <w:rPr>
                <w:sz w:val="22"/>
                <w:szCs w:val="22"/>
              </w:rPr>
              <w:t xml:space="preserve">ust. </w:t>
            </w:r>
            <w:r>
              <w:rPr>
                <w:sz w:val="22"/>
                <w:szCs w:val="22"/>
              </w:rPr>
              <w:t xml:space="preserve">§ 7 odst. 5 </w:t>
            </w:r>
            <w:r w:rsidR="00A66D47" w:rsidRPr="00A66D47">
              <w:rPr>
                <w:sz w:val="22"/>
                <w:szCs w:val="22"/>
              </w:rPr>
              <w:t>zákona č. 130/2002 Sb., o podpoře výzkumu, experimentálního vývoje a inovací z veřejných prostředků a o změně některých souvisejících zákonů (zákon o</w:t>
            </w:r>
            <w:r w:rsidR="00DE3503">
              <w:rPr>
                <w:sz w:val="22"/>
                <w:szCs w:val="22"/>
              </w:rPr>
              <w:t> </w:t>
            </w:r>
            <w:r w:rsidR="00A66D47" w:rsidRPr="00A66D47">
              <w:rPr>
                <w:sz w:val="22"/>
                <w:szCs w:val="22"/>
              </w:rPr>
              <w:t>podpoře výzkumu, experimentálního vývoje a inovací), ve znění pozdějších předpisů</w:t>
            </w:r>
            <w:r>
              <w:rPr>
                <w:sz w:val="22"/>
                <w:szCs w:val="22"/>
              </w:rPr>
              <w:t xml:space="preserve">, přičemž veřejná soutěž ani jiná </w:t>
            </w:r>
            <w:r w:rsidR="00A66D47">
              <w:rPr>
                <w:sz w:val="22"/>
                <w:szCs w:val="22"/>
              </w:rPr>
              <w:t xml:space="preserve">kompetitivní </w:t>
            </w:r>
            <w:r>
              <w:rPr>
                <w:sz w:val="22"/>
                <w:szCs w:val="22"/>
              </w:rPr>
              <w:t>forma výběru projektu není v uvedeném případě obligatorní. Projekt saturuje potřeby napříč všemi stakeholdery VaVaI a jako takový byl</w:t>
            </w:r>
            <w:r w:rsidR="00A66D47">
              <w:rPr>
                <w:sz w:val="22"/>
                <w:szCs w:val="22"/>
              </w:rPr>
              <w:t xml:space="preserve"> k předložení vládě ČR</w:t>
            </w:r>
            <w:r>
              <w:rPr>
                <w:sz w:val="22"/>
                <w:szCs w:val="22"/>
              </w:rPr>
              <w:t xml:space="preserve"> doporučen </w:t>
            </w:r>
            <w:r w:rsidR="00A66D47">
              <w:rPr>
                <w:sz w:val="22"/>
                <w:szCs w:val="22"/>
              </w:rPr>
              <w:t xml:space="preserve">i </w:t>
            </w:r>
            <w:r>
              <w:rPr>
                <w:sz w:val="22"/>
                <w:szCs w:val="22"/>
              </w:rPr>
              <w:t xml:space="preserve">Radou vlády pro výzkum, vývoj a inovace </w:t>
            </w:r>
            <w:r w:rsidR="00A66D47">
              <w:rPr>
                <w:sz w:val="22"/>
                <w:szCs w:val="22"/>
              </w:rPr>
              <w:t>jako poradním orgánem vlády ČR</w:t>
            </w:r>
            <w:r>
              <w:rPr>
                <w:sz w:val="22"/>
                <w:szCs w:val="22"/>
              </w:rPr>
              <w:t>.</w:t>
            </w:r>
          </w:p>
          <w:p w14:paraId="4629B538" w14:textId="77777777" w:rsidR="00BF65D6" w:rsidRDefault="00BF65D6" w:rsidP="00A66D47">
            <w:pPr>
              <w:spacing w:before="120" w:after="120"/>
              <w:jc w:val="both"/>
              <w:rPr>
                <w:sz w:val="22"/>
                <w:szCs w:val="22"/>
              </w:rPr>
            </w:pPr>
            <w:r>
              <w:rPr>
                <w:sz w:val="22"/>
                <w:szCs w:val="22"/>
              </w:rPr>
              <w:t xml:space="preserve">Řešitelé projektu poskytují část uvedených služeb mandatorních pro účast na rámcových programech EU pro výzkum a inovace již od 5. rámcového programu </w:t>
            </w:r>
            <w:r w:rsidR="00A66D47">
              <w:rPr>
                <w:sz w:val="22"/>
                <w:szCs w:val="22"/>
              </w:rPr>
              <w:t xml:space="preserve">EU </w:t>
            </w:r>
            <w:r>
              <w:rPr>
                <w:sz w:val="22"/>
                <w:szCs w:val="22"/>
              </w:rPr>
              <w:t xml:space="preserve">(1998–2002) a </w:t>
            </w:r>
            <w:r w:rsidR="00A66D47">
              <w:rPr>
                <w:sz w:val="22"/>
                <w:szCs w:val="22"/>
              </w:rPr>
              <w:t xml:space="preserve">i proto tak </w:t>
            </w:r>
            <w:r>
              <w:rPr>
                <w:sz w:val="22"/>
                <w:szCs w:val="22"/>
              </w:rPr>
              <w:t xml:space="preserve">disponují nenahraditelnými zkušenostmi a praxí v podpoře účasti českých subjektů </w:t>
            </w:r>
            <w:r w:rsidR="00A66D47">
              <w:rPr>
                <w:sz w:val="22"/>
                <w:szCs w:val="22"/>
              </w:rPr>
              <w:t xml:space="preserve">v </w:t>
            </w:r>
            <w:r>
              <w:rPr>
                <w:sz w:val="22"/>
                <w:szCs w:val="22"/>
              </w:rPr>
              <w:t>rámcových programech EU a v zapojení do dalších aktivit výzkumné a inovační spolupráce v rámci Evropského výzkumného prostoru.</w:t>
            </w:r>
          </w:p>
          <w:p w14:paraId="066B401D" w14:textId="281C3B56" w:rsidR="009B0215" w:rsidRPr="003500F9" w:rsidRDefault="009B0215" w:rsidP="00A66D47">
            <w:pPr>
              <w:spacing w:before="120" w:after="120"/>
              <w:jc w:val="both"/>
              <w:rPr>
                <w:sz w:val="22"/>
                <w:szCs w:val="22"/>
              </w:rPr>
            </w:pPr>
            <w:r w:rsidRPr="009B0215">
              <w:rPr>
                <w:sz w:val="22"/>
                <w:szCs w:val="22"/>
              </w:rPr>
              <w:t>Předložený návrh projektu sdílených činností CZERA podle názoru předkladatele materiálu zajišťuje věcně příslušné aktivity podpory mezinárodní spolupráce ČR ve výzkumu, vývoji a inovacích tím nejvhodnějším i ekonomicky nejlepším způsobem</w:t>
            </w:r>
            <w:r>
              <w:rPr>
                <w:sz w:val="22"/>
                <w:szCs w:val="22"/>
              </w:rPr>
              <w:t>.</w:t>
            </w:r>
          </w:p>
        </w:tc>
      </w:tr>
      <w:tr w:rsidR="00BF65D6" w:rsidRPr="00312D8E" w14:paraId="6D397918" w14:textId="77777777" w:rsidTr="00B72696">
        <w:trPr>
          <w:trHeight w:val="340"/>
        </w:trPr>
        <w:tc>
          <w:tcPr>
            <w:tcW w:w="1951" w:type="dxa"/>
            <w:vMerge/>
            <w:shd w:val="clear" w:color="auto" w:fill="auto"/>
            <w:vAlign w:val="center"/>
          </w:tcPr>
          <w:p w14:paraId="6F429A5A" w14:textId="77777777" w:rsidR="00BF65D6" w:rsidRDefault="00BF65D6" w:rsidP="003500F9">
            <w:pPr>
              <w:spacing w:before="120" w:after="120"/>
              <w:rPr>
                <w:b/>
                <w:sz w:val="22"/>
                <w:szCs w:val="22"/>
              </w:rPr>
            </w:pPr>
          </w:p>
        </w:tc>
        <w:tc>
          <w:tcPr>
            <w:tcW w:w="5762" w:type="dxa"/>
            <w:shd w:val="clear" w:color="auto" w:fill="auto"/>
            <w:vAlign w:val="center"/>
          </w:tcPr>
          <w:p w14:paraId="69286A53" w14:textId="77777777" w:rsidR="00BF65D6" w:rsidRPr="00B92480" w:rsidRDefault="00BF65D6" w:rsidP="003500F9">
            <w:pPr>
              <w:widowControl w:val="0"/>
              <w:autoSpaceDE w:val="0"/>
              <w:autoSpaceDN w:val="0"/>
              <w:adjustRightInd w:val="0"/>
              <w:spacing w:before="120" w:after="120"/>
              <w:jc w:val="both"/>
              <w:rPr>
                <w:b/>
                <w:sz w:val="22"/>
                <w:szCs w:val="22"/>
              </w:rPr>
            </w:pPr>
            <w:r w:rsidRPr="00601B36">
              <w:rPr>
                <w:b/>
                <w:sz w:val="22"/>
                <w:szCs w:val="22"/>
              </w:rPr>
              <w:t>Zásadní připomínka</w:t>
            </w:r>
          </w:p>
          <w:p w14:paraId="4E83E744" w14:textId="77777777" w:rsidR="00BF65D6" w:rsidRPr="000E71AC" w:rsidRDefault="00BF65D6" w:rsidP="003500F9">
            <w:pPr>
              <w:widowControl w:val="0"/>
              <w:autoSpaceDE w:val="0"/>
              <w:autoSpaceDN w:val="0"/>
              <w:adjustRightInd w:val="0"/>
              <w:spacing w:before="120" w:after="120"/>
              <w:jc w:val="both"/>
              <w:rPr>
                <w:sz w:val="22"/>
                <w:szCs w:val="22"/>
              </w:rPr>
            </w:pPr>
            <w:r w:rsidRPr="000E71AC">
              <w:rPr>
                <w:sz w:val="22"/>
                <w:szCs w:val="22"/>
              </w:rPr>
              <w:t>Žádáme o doplnění materiálu o uvedení důvodů, proč MŠMT navrhuje přenesení činnosti ve své kompetenci na externí subjekty a zejména o analýzu rizik tohoto přístupu vč. opatření k jejich minimalizace.</w:t>
            </w:r>
          </w:p>
          <w:p w14:paraId="354BF1DF" w14:textId="77777777" w:rsidR="00BF65D6" w:rsidRPr="000E71AC" w:rsidRDefault="00BF65D6" w:rsidP="003500F9">
            <w:pPr>
              <w:widowControl w:val="0"/>
              <w:autoSpaceDE w:val="0"/>
              <w:autoSpaceDN w:val="0"/>
              <w:adjustRightInd w:val="0"/>
              <w:spacing w:before="120" w:after="120"/>
              <w:jc w:val="both"/>
              <w:rPr>
                <w:sz w:val="22"/>
                <w:szCs w:val="22"/>
                <w:u w:val="single"/>
              </w:rPr>
            </w:pPr>
            <w:r w:rsidRPr="000E71AC">
              <w:rPr>
                <w:sz w:val="22"/>
                <w:szCs w:val="22"/>
                <w:u w:val="single"/>
              </w:rPr>
              <w:t>Odůvodnění</w:t>
            </w:r>
          </w:p>
          <w:p w14:paraId="3D8ACD81" w14:textId="77777777" w:rsidR="00BF65D6" w:rsidRPr="000E71AC" w:rsidRDefault="00BF65D6" w:rsidP="003500F9">
            <w:pPr>
              <w:widowControl w:val="0"/>
              <w:autoSpaceDE w:val="0"/>
              <w:autoSpaceDN w:val="0"/>
              <w:adjustRightInd w:val="0"/>
              <w:spacing w:before="120" w:after="120"/>
              <w:jc w:val="both"/>
              <w:rPr>
                <w:sz w:val="22"/>
                <w:szCs w:val="22"/>
              </w:rPr>
            </w:pPr>
            <w:r w:rsidRPr="000E71AC">
              <w:rPr>
                <w:sz w:val="22"/>
                <w:szCs w:val="22"/>
              </w:rPr>
              <w:lastRenderedPageBreak/>
              <w:t>Podpora mezinárodní spolupráce ve výzkumu a vývoji je podle § 7 odst. 1 kompetenčního zákona (zákon č. 2/1969 Sb., ve znění pozdějších předpisů) ústředním orgánem státní správy pro výzkum a vývoj, včetně mezinárodní spolupráce v této oblasti. Část své působnosti navrhovaným projektem sdílených činností CZERA přenáší na další subjekty. Že je tento postup rizikový, ukázal např. Úřad vlády ČR, odpovědný za informační systém výzkumu, vývoje a inovací, který obdobně přenesl odpovědnost za jeho provoz a rozvoj na ČVUT Praha a v r. 2016 došlo k vypnutí celého systému. Odlišný přístup volí TA ČR, která rovněž zajišťuje část programů mezinárodní spolupráce, ale související aktivity včetně podpůrných činností realizuje sama.</w:t>
            </w:r>
          </w:p>
        </w:tc>
        <w:tc>
          <w:tcPr>
            <w:tcW w:w="6616" w:type="dxa"/>
            <w:shd w:val="clear" w:color="auto" w:fill="auto"/>
          </w:tcPr>
          <w:p w14:paraId="10FAB15F" w14:textId="77777777" w:rsidR="00BF65D6" w:rsidRDefault="00BF65D6" w:rsidP="003500F9">
            <w:pPr>
              <w:spacing w:before="120" w:after="120"/>
              <w:jc w:val="both"/>
              <w:rPr>
                <w:b/>
                <w:sz w:val="22"/>
                <w:szCs w:val="22"/>
              </w:rPr>
            </w:pPr>
            <w:r w:rsidRPr="003500F9">
              <w:rPr>
                <w:b/>
                <w:sz w:val="22"/>
                <w:szCs w:val="22"/>
              </w:rPr>
              <w:lastRenderedPageBreak/>
              <w:t>N</w:t>
            </w:r>
            <w:r>
              <w:rPr>
                <w:b/>
                <w:sz w:val="22"/>
                <w:szCs w:val="22"/>
              </w:rPr>
              <w:t>eakceptováno a vysvětleno.</w:t>
            </w:r>
          </w:p>
          <w:p w14:paraId="7C734560" w14:textId="49B143DD" w:rsidR="00BF65D6" w:rsidRPr="003500F9" w:rsidRDefault="00BF65D6" w:rsidP="00A66D47">
            <w:pPr>
              <w:spacing w:before="120" w:after="120"/>
              <w:jc w:val="both"/>
              <w:rPr>
                <w:sz w:val="22"/>
                <w:szCs w:val="22"/>
              </w:rPr>
            </w:pPr>
            <w:r>
              <w:rPr>
                <w:sz w:val="22"/>
                <w:szCs w:val="22"/>
              </w:rPr>
              <w:t>Řešitelé projektu poskytují část uvedených služeb mandatorních pro účast na rámcových programech EU pro výzkum a inovace již od 5. rámcového programu</w:t>
            </w:r>
            <w:r w:rsidR="00A66D47">
              <w:rPr>
                <w:sz w:val="22"/>
                <w:szCs w:val="22"/>
              </w:rPr>
              <w:t xml:space="preserve"> EU</w:t>
            </w:r>
            <w:r>
              <w:rPr>
                <w:sz w:val="22"/>
                <w:szCs w:val="22"/>
              </w:rPr>
              <w:t xml:space="preserve"> (1998–2002) a </w:t>
            </w:r>
            <w:r w:rsidR="00A66D47">
              <w:rPr>
                <w:sz w:val="22"/>
                <w:szCs w:val="22"/>
              </w:rPr>
              <w:t xml:space="preserve">i proto </w:t>
            </w:r>
            <w:r>
              <w:rPr>
                <w:sz w:val="22"/>
                <w:szCs w:val="22"/>
              </w:rPr>
              <w:t xml:space="preserve">disponují nenahraditelnými zkušenostmi a praxí v podpoře účasti českých subjektů </w:t>
            </w:r>
            <w:r w:rsidR="00A66D47">
              <w:rPr>
                <w:sz w:val="22"/>
                <w:szCs w:val="22"/>
              </w:rPr>
              <w:t xml:space="preserve">v </w:t>
            </w:r>
            <w:r>
              <w:rPr>
                <w:sz w:val="22"/>
                <w:szCs w:val="22"/>
              </w:rPr>
              <w:t xml:space="preserve">rámcových programech EU a v zapojení do dalších aktivit výzkumné a inovační spolupráce v rámci Evropského </w:t>
            </w:r>
            <w:r>
              <w:rPr>
                <w:sz w:val="22"/>
                <w:szCs w:val="22"/>
              </w:rPr>
              <w:lastRenderedPageBreak/>
              <w:t>výzkumného prostoru. T</w:t>
            </w:r>
            <w:r w:rsidR="00A66D47">
              <w:rPr>
                <w:sz w:val="22"/>
                <w:szCs w:val="22"/>
              </w:rPr>
              <w:t>C</w:t>
            </w:r>
            <w:r>
              <w:rPr>
                <w:sz w:val="22"/>
                <w:szCs w:val="22"/>
              </w:rPr>
              <w:t xml:space="preserve"> AV ČR setrvale vykonává roli NCP pro rámcov</w:t>
            </w:r>
            <w:r w:rsidR="00A66D47">
              <w:rPr>
                <w:sz w:val="22"/>
                <w:szCs w:val="22"/>
              </w:rPr>
              <w:t>é</w:t>
            </w:r>
            <w:r>
              <w:rPr>
                <w:sz w:val="22"/>
                <w:szCs w:val="22"/>
              </w:rPr>
              <w:t xml:space="preserve"> program</w:t>
            </w:r>
            <w:r w:rsidR="00A66D47">
              <w:rPr>
                <w:sz w:val="22"/>
                <w:szCs w:val="22"/>
              </w:rPr>
              <w:t>y EU</w:t>
            </w:r>
            <w:r>
              <w:rPr>
                <w:sz w:val="22"/>
                <w:szCs w:val="22"/>
              </w:rPr>
              <w:t>, SSČ zajišťuje služby Euraxess a NKC jakožto příslušný odborný subjekt zajišťuje otázky genderové problematiky. Expertíza těchto subjektů v daných oblastech je v současné chvíli pro vytyčené cíle projektu plně žádoucí a nenahraditelná.</w:t>
            </w:r>
          </w:p>
        </w:tc>
      </w:tr>
      <w:tr w:rsidR="00BF65D6" w:rsidRPr="00312D8E" w14:paraId="5195E375" w14:textId="77777777" w:rsidTr="00B72696">
        <w:trPr>
          <w:trHeight w:val="340"/>
        </w:trPr>
        <w:tc>
          <w:tcPr>
            <w:tcW w:w="1951" w:type="dxa"/>
            <w:vMerge/>
            <w:shd w:val="clear" w:color="auto" w:fill="auto"/>
            <w:vAlign w:val="center"/>
          </w:tcPr>
          <w:p w14:paraId="50E78C6C" w14:textId="77777777" w:rsidR="00BF65D6" w:rsidRDefault="00BF65D6" w:rsidP="0064295A">
            <w:pPr>
              <w:spacing w:before="120" w:after="120"/>
              <w:rPr>
                <w:b/>
                <w:sz w:val="22"/>
                <w:szCs w:val="22"/>
              </w:rPr>
            </w:pPr>
          </w:p>
        </w:tc>
        <w:tc>
          <w:tcPr>
            <w:tcW w:w="5762" w:type="dxa"/>
            <w:shd w:val="clear" w:color="auto" w:fill="auto"/>
            <w:vAlign w:val="center"/>
          </w:tcPr>
          <w:p w14:paraId="5E02EB11" w14:textId="77777777" w:rsidR="00BF65D6" w:rsidRPr="00B92480" w:rsidRDefault="00BF65D6" w:rsidP="0064295A">
            <w:pPr>
              <w:widowControl w:val="0"/>
              <w:autoSpaceDE w:val="0"/>
              <w:autoSpaceDN w:val="0"/>
              <w:adjustRightInd w:val="0"/>
              <w:spacing w:before="120" w:after="120"/>
              <w:jc w:val="both"/>
              <w:rPr>
                <w:b/>
                <w:sz w:val="22"/>
                <w:szCs w:val="22"/>
              </w:rPr>
            </w:pPr>
            <w:r w:rsidRPr="00601B36">
              <w:rPr>
                <w:b/>
                <w:sz w:val="22"/>
                <w:szCs w:val="22"/>
              </w:rPr>
              <w:t>Zásadní připomínka</w:t>
            </w:r>
          </w:p>
          <w:p w14:paraId="3100D13B" w14:textId="77777777" w:rsidR="00BF65D6" w:rsidRPr="000E71AC" w:rsidRDefault="00BF65D6" w:rsidP="0064295A">
            <w:pPr>
              <w:widowControl w:val="0"/>
              <w:autoSpaceDE w:val="0"/>
              <w:autoSpaceDN w:val="0"/>
              <w:adjustRightInd w:val="0"/>
              <w:spacing w:before="120" w:after="120"/>
              <w:jc w:val="both"/>
              <w:rPr>
                <w:sz w:val="22"/>
                <w:szCs w:val="22"/>
              </w:rPr>
            </w:pPr>
            <w:r w:rsidRPr="000E71AC">
              <w:rPr>
                <w:sz w:val="22"/>
                <w:szCs w:val="22"/>
              </w:rPr>
              <w:t>Žádáme o změnu návrhu usnesení vlády v bodě, kterým má být hodnotící zpráva (Evaluation report) předložena do 30. června 2025 a 30. června 2028 vládě, aby tak nebylo učiněno jen pro informaci, ale ke schválení.</w:t>
            </w:r>
          </w:p>
          <w:p w14:paraId="0767870C" w14:textId="77777777" w:rsidR="00BF65D6" w:rsidRPr="000E71AC" w:rsidRDefault="00BF65D6" w:rsidP="0064295A">
            <w:pPr>
              <w:widowControl w:val="0"/>
              <w:autoSpaceDE w:val="0"/>
              <w:autoSpaceDN w:val="0"/>
              <w:adjustRightInd w:val="0"/>
              <w:spacing w:before="120" w:after="120"/>
              <w:jc w:val="both"/>
              <w:rPr>
                <w:sz w:val="22"/>
                <w:szCs w:val="22"/>
                <w:u w:val="single"/>
              </w:rPr>
            </w:pPr>
            <w:r w:rsidRPr="000E71AC">
              <w:rPr>
                <w:sz w:val="22"/>
                <w:szCs w:val="22"/>
                <w:u w:val="single"/>
              </w:rPr>
              <w:t>Odůvodnění</w:t>
            </w:r>
          </w:p>
          <w:p w14:paraId="29B49D32" w14:textId="77777777" w:rsidR="00BF65D6" w:rsidRPr="000E71AC" w:rsidRDefault="00BF65D6" w:rsidP="0064295A">
            <w:pPr>
              <w:widowControl w:val="0"/>
              <w:autoSpaceDE w:val="0"/>
              <w:autoSpaceDN w:val="0"/>
              <w:adjustRightInd w:val="0"/>
              <w:spacing w:before="120" w:after="120"/>
              <w:jc w:val="both"/>
              <w:rPr>
                <w:sz w:val="22"/>
                <w:szCs w:val="22"/>
              </w:rPr>
            </w:pPr>
            <w:r w:rsidRPr="000E71AC">
              <w:rPr>
                <w:sz w:val="22"/>
                <w:szCs w:val="22"/>
              </w:rPr>
              <w:t>Projekt sdílených činností CZERA schvaluje vláda a jen vláda může rozhodnout, zda v projektu pokračovat v nezměněné formě nebo schválit jeho nezbytné změny.</w:t>
            </w:r>
          </w:p>
        </w:tc>
        <w:tc>
          <w:tcPr>
            <w:tcW w:w="6616" w:type="dxa"/>
            <w:shd w:val="clear" w:color="auto" w:fill="auto"/>
          </w:tcPr>
          <w:p w14:paraId="10FF45BB" w14:textId="77777777" w:rsidR="00BF65D6" w:rsidRDefault="00BF65D6" w:rsidP="0064295A">
            <w:pPr>
              <w:spacing w:before="120" w:after="120"/>
              <w:jc w:val="both"/>
              <w:rPr>
                <w:b/>
                <w:sz w:val="22"/>
                <w:szCs w:val="22"/>
              </w:rPr>
            </w:pPr>
            <w:r w:rsidRPr="003500F9">
              <w:rPr>
                <w:b/>
                <w:sz w:val="22"/>
                <w:szCs w:val="22"/>
              </w:rPr>
              <w:t>N</w:t>
            </w:r>
            <w:r>
              <w:rPr>
                <w:b/>
                <w:sz w:val="22"/>
                <w:szCs w:val="22"/>
              </w:rPr>
              <w:t>eakceptováno a vysvětleno.</w:t>
            </w:r>
          </w:p>
          <w:p w14:paraId="2C22E41C" w14:textId="093D22A6" w:rsidR="00BF65D6" w:rsidRPr="0064295A" w:rsidRDefault="00A66D47" w:rsidP="009B0215">
            <w:pPr>
              <w:spacing w:before="120" w:after="120"/>
              <w:jc w:val="both"/>
              <w:rPr>
                <w:sz w:val="22"/>
                <w:szCs w:val="22"/>
              </w:rPr>
            </w:pPr>
            <w:r>
              <w:rPr>
                <w:sz w:val="22"/>
                <w:szCs w:val="22"/>
              </w:rPr>
              <w:t>P</w:t>
            </w:r>
            <w:r w:rsidR="00BF65D6">
              <w:rPr>
                <w:sz w:val="22"/>
                <w:szCs w:val="22"/>
              </w:rPr>
              <w:t xml:space="preserve">raxí </w:t>
            </w:r>
            <w:r>
              <w:rPr>
                <w:sz w:val="22"/>
                <w:szCs w:val="22"/>
              </w:rPr>
              <w:t xml:space="preserve">i dříve vládou ČR schválených </w:t>
            </w:r>
            <w:r w:rsidR="00BF65D6">
              <w:rPr>
                <w:sz w:val="22"/>
                <w:szCs w:val="22"/>
              </w:rPr>
              <w:t xml:space="preserve">projektů sdílených činností jest předkládat hodnotící zprávu vládě </w:t>
            </w:r>
            <w:r>
              <w:rPr>
                <w:sz w:val="22"/>
                <w:szCs w:val="22"/>
              </w:rPr>
              <w:t xml:space="preserve">ČR pouze </w:t>
            </w:r>
            <w:r w:rsidR="00BF65D6">
              <w:rPr>
                <w:sz w:val="22"/>
                <w:szCs w:val="22"/>
              </w:rPr>
              <w:t>pro informaci, a</w:t>
            </w:r>
            <w:r w:rsidR="00DE3503">
              <w:rPr>
                <w:sz w:val="22"/>
                <w:szCs w:val="22"/>
              </w:rPr>
              <w:t> </w:t>
            </w:r>
            <w:r w:rsidR="00BF65D6">
              <w:rPr>
                <w:sz w:val="22"/>
                <w:szCs w:val="22"/>
              </w:rPr>
              <w:t xml:space="preserve">to vzhledem ke skutečnosti, že její podstatou je poskytnout vládě </w:t>
            </w:r>
            <w:r>
              <w:rPr>
                <w:sz w:val="22"/>
                <w:szCs w:val="22"/>
              </w:rPr>
              <w:t xml:space="preserve">ČR </w:t>
            </w:r>
            <w:r w:rsidR="00BF65D6">
              <w:rPr>
                <w:sz w:val="22"/>
                <w:szCs w:val="22"/>
              </w:rPr>
              <w:t xml:space="preserve">informace </w:t>
            </w:r>
            <w:r>
              <w:rPr>
                <w:sz w:val="22"/>
                <w:szCs w:val="22"/>
              </w:rPr>
              <w:t>o </w:t>
            </w:r>
            <w:r w:rsidR="00BF65D6">
              <w:rPr>
                <w:sz w:val="22"/>
                <w:szCs w:val="22"/>
              </w:rPr>
              <w:t>průběhu implementace projektu. Případné</w:t>
            </w:r>
            <w:r w:rsidR="009B0215">
              <w:rPr>
                <w:sz w:val="22"/>
                <w:szCs w:val="22"/>
              </w:rPr>
              <w:t xml:space="preserve"> dílčí</w:t>
            </w:r>
            <w:r w:rsidR="00BF65D6">
              <w:rPr>
                <w:sz w:val="22"/>
                <w:szCs w:val="22"/>
              </w:rPr>
              <w:t xml:space="preserve"> změny ve směřování projektu</w:t>
            </w:r>
            <w:r w:rsidR="009B0215">
              <w:rPr>
                <w:sz w:val="22"/>
                <w:szCs w:val="22"/>
              </w:rPr>
              <w:t>, nevyžadující si schválení vládou ČR,</w:t>
            </w:r>
            <w:r w:rsidR="00BF65D6">
              <w:rPr>
                <w:sz w:val="22"/>
                <w:szCs w:val="22"/>
              </w:rPr>
              <w:t xml:space="preserve"> jsou zajištěny prostřednictvím implementační struktury</w:t>
            </w:r>
            <w:r w:rsidR="009B0215">
              <w:rPr>
                <w:sz w:val="22"/>
                <w:szCs w:val="22"/>
              </w:rPr>
              <w:t xml:space="preserve"> projektu, tzn. prostřednictvím</w:t>
            </w:r>
            <w:r w:rsidR="00BF65D6">
              <w:rPr>
                <w:sz w:val="22"/>
                <w:szCs w:val="22"/>
              </w:rPr>
              <w:t xml:space="preserve"> řídícího výboru, ve kterém jsou zastoupeni příslušní klíčoví stakeholdeři VaVaI v ČR.</w:t>
            </w:r>
          </w:p>
        </w:tc>
      </w:tr>
      <w:tr w:rsidR="00BF65D6" w:rsidRPr="00312D8E" w14:paraId="1971BBEC" w14:textId="77777777" w:rsidTr="00B72696">
        <w:trPr>
          <w:trHeight w:val="340"/>
        </w:trPr>
        <w:tc>
          <w:tcPr>
            <w:tcW w:w="1951" w:type="dxa"/>
            <w:vMerge/>
            <w:shd w:val="clear" w:color="auto" w:fill="auto"/>
            <w:vAlign w:val="center"/>
          </w:tcPr>
          <w:p w14:paraId="7E43DECF" w14:textId="77777777" w:rsidR="00BF65D6" w:rsidRDefault="00BF65D6" w:rsidP="00041515">
            <w:pPr>
              <w:spacing w:before="120" w:after="120"/>
              <w:rPr>
                <w:b/>
                <w:sz w:val="22"/>
                <w:szCs w:val="22"/>
              </w:rPr>
            </w:pPr>
          </w:p>
        </w:tc>
        <w:tc>
          <w:tcPr>
            <w:tcW w:w="5762" w:type="dxa"/>
            <w:shd w:val="clear" w:color="auto" w:fill="auto"/>
            <w:vAlign w:val="center"/>
          </w:tcPr>
          <w:p w14:paraId="0CC7AD34" w14:textId="77777777" w:rsidR="00BF65D6" w:rsidRPr="00B92480" w:rsidRDefault="00BF65D6" w:rsidP="00041515">
            <w:pPr>
              <w:widowControl w:val="0"/>
              <w:autoSpaceDE w:val="0"/>
              <w:autoSpaceDN w:val="0"/>
              <w:adjustRightInd w:val="0"/>
              <w:spacing w:before="120" w:after="120"/>
              <w:jc w:val="both"/>
              <w:rPr>
                <w:b/>
                <w:sz w:val="22"/>
                <w:szCs w:val="22"/>
              </w:rPr>
            </w:pPr>
            <w:r w:rsidRPr="00601B36">
              <w:rPr>
                <w:b/>
                <w:sz w:val="22"/>
                <w:szCs w:val="22"/>
              </w:rPr>
              <w:t>Zásadní připomínka</w:t>
            </w:r>
          </w:p>
          <w:p w14:paraId="634C5D0F" w14:textId="77777777" w:rsidR="00BF65D6" w:rsidRPr="000E71AC" w:rsidRDefault="00BF65D6" w:rsidP="00041515">
            <w:pPr>
              <w:widowControl w:val="0"/>
              <w:autoSpaceDE w:val="0"/>
              <w:autoSpaceDN w:val="0"/>
              <w:adjustRightInd w:val="0"/>
              <w:spacing w:before="120" w:after="120"/>
              <w:jc w:val="both"/>
              <w:rPr>
                <w:sz w:val="22"/>
                <w:szCs w:val="22"/>
              </w:rPr>
            </w:pPr>
            <w:r w:rsidRPr="000E71AC">
              <w:rPr>
                <w:sz w:val="22"/>
                <w:szCs w:val="22"/>
              </w:rPr>
              <w:t>Žádáme o uvedení materiálu do souladu s obecně závaznými právními předpisy, zejm. Nařízením Komise (EU) č. 651/2014 ze dne 17. června 2014, kterým se v souladu s články 107 a 108 Smlouvy prohlašují určité kategorie podpory za slučitelné s vnitřním trhem.</w:t>
            </w:r>
          </w:p>
          <w:p w14:paraId="039AF8FF" w14:textId="77777777" w:rsidR="00BF65D6" w:rsidRPr="000E71AC" w:rsidRDefault="00BF65D6" w:rsidP="00041515">
            <w:pPr>
              <w:widowControl w:val="0"/>
              <w:autoSpaceDE w:val="0"/>
              <w:autoSpaceDN w:val="0"/>
              <w:adjustRightInd w:val="0"/>
              <w:spacing w:before="120" w:after="120"/>
              <w:jc w:val="both"/>
              <w:rPr>
                <w:sz w:val="22"/>
                <w:szCs w:val="22"/>
                <w:u w:val="single"/>
              </w:rPr>
            </w:pPr>
            <w:r w:rsidRPr="000E71AC">
              <w:rPr>
                <w:sz w:val="22"/>
                <w:szCs w:val="22"/>
                <w:u w:val="single"/>
              </w:rPr>
              <w:t>Odůvodnění</w:t>
            </w:r>
          </w:p>
          <w:p w14:paraId="6B4EFB5E" w14:textId="77777777" w:rsidR="00BF65D6" w:rsidRPr="00601B36" w:rsidRDefault="00BF65D6" w:rsidP="00041515">
            <w:pPr>
              <w:widowControl w:val="0"/>
              <w:autoSpaceDE w:val="0"/>
              <w:autoSpaceDN w:val="0"/>
              <w:adjustRightInd w:val="0"/>
              <w:spacing w:before="120" w:after="120"/>
              <w:jc w:val="both"/>
              <w:rPr>
                <w:b/>
                <w:sz w:val="22"/>
                <w:szCs w:val="22"/>
              </w:rPr>
            </w:pPr>
            <w:r w:rsidRPr="000E71AC">
              <w:rPr>
                <w:sz w:val="22"/>
                <w:szCs w:val="22"/>
              </w:rPr>
              <w:t xml:space="preserve">Článek 25, odst. 5 Nařízením Komise (EU) č. 651/2014 stanovuje nejvyšší povolené intenzity podpory, které se </w:t>
            </w:r>
            <w:r w:rsidRPr="000E71AC">
              <w:rPr>
                <w:sz w:val="22"/>
                <w:szCs w:val="22"/>
              </w:rPr>
              <w:lastRenderedPageBreak/>
              <w:t xml:space="preserve">ale nevztahují na výzkumné organizace. Příjemci projektu Technologické centrum AV ČR, z.s.p.o. a Sociologický ústav AV ČR, v.v.i. jsou uvedeni v Seznamu výzkumných organizací, který jako informační systém veřejné správy podle § 33a zákona č. 130/2002 Sb. spravuje a provozuje MŠMT. Středisko společných činností AV ČR, v.v.i. ale v Seznamu výzkumných organizací uvedeno není a podle jeho </w:t>
            </w:r>
            <w:hyperlink r:id="rId8" w:history="1">
              <w:r w:rsidRPr="000E71AC">
                <w:rPr>
                  <w:rStyle w:val="Hypertextovodkaz"/>
                  <w:sz w:val="22"/>
                  <w:szCs w:val="22"/>
                </w:rPr>
                <w:t>Výroční zprávy o činnosti a hospodaření za r. 2019</w:t>
              </w:r>
            </w:hyperlink>
            <w:r w:rsidRPr="000E71AC">
              <w:rPr>
                <w:sz w:val="22"/>
                <w:szCs w:val="22"/>
              </w:rPr>
              <w:t xml:space="preserve"> je podíl jeho jiných činností 30 % (podle popisu hospodářských činností – viz např. str. 29, 46 atd.) a výzkumnou organizací být bez výjimky udělené EK zřejmě nemůže - platí pak pro něj plně článek 25, odst. 5 Nařízením Komise (EU) č. 651/2014.</w:t>
            </w:r>
          </w:p>
        </w:tc>
        <w:tc>
          <w:tcPr>
            <w:tcW w:w="6616" w:type="dxa"/>
            <w:shd w:val="clear" w:color="auto" w:fill="auto"/>
          </w:tcPr>
          <w:p w14:paraId="500E2FD8" w14:textId="7F9783FC" w:rsidR="00BF65D6" w:rsidRDefault="006053DA" w:rsidP="00041515">
            <w:pPr>
              <w:spacing w:before="120" w:after="120"/>
              <w:jc w:val="both"/>
              <w:rPr>
                <w:b/>
                <w:sz w:val="22"/>
                <w:szCs w:val="22"/>
              </w:rPr>
            </w:pPr>
            <w:r>
              <w:rPr>
                <w:b/>
                <w:sz w:val="22"/>
                <w:szCs w:val="22"/>
              </w:rPr>
              <w:lastRenderedPageBreak/>
              <w:t>Akceptováno</w:t>
            </w:r>
            <w:r w:rsidR="00BF65D6">
              <w:rPr>
                <w:b/>
                <w:sz w:val="22"/>
                <w:szCs w:val="22"/>
              </w:rPr>
              <w:t>.</w:t>
            </w:r>
          </w:p>
          <w:p w14:paraId="070568FD" w14:textId="77777777" w:rsidR="00484AC3" w:rsidRDefault="00484AC3" w:rsidP="00484AC3">
            <w:pPr>
              <w:spacing w:before="120" w:after="120"/>
              <w:jc w:val="both"/>
              <w:rPr>
                <w:sz w:val="22"/>
                <w:szCs w:val="22"/>
              </w:rPr>
            </w:pPr>
            <w:r>
              <w:rPr>
                <w:sz w:val="22"/>
                <w:szCs w:val="22"/>
              </w:rPr>
              <w:t>Do části III. materiálu bylo v kapitole 4 na str. 29 doplněno následující:</w:t>
            </w:r>
          </w:p>
          <w:p w14:paraId="4B4E647C" w14:textId="197CF102" w:rsidR="00BF65D6" w:rsidRPr="00041515" w:rsidRDefault="00484AC3" w:rsidP="00041515">
            <w:pPr>
              <w:spacing w:before="120" w:after="120"/>
              <w:jc w:val="both"/>
              <w:rPr>
                <w:sz w:val="22"/>
                <w:szCs w:val="22"/>
              </w:rPr>
            </w:pPr>
            <w:r>
              <w:rPr>
                <w:sz w:val="22"/>
                <w:szCs w:val="22"/>
              </w:rPr>
              <w:t>„</w:t>
            </w:r>
            <w:r w:rsidRPr="00074A51">
              <w:rPr>
                <w:i/>
                <w:sz w:val="22"/>
                <w:szCs w:val="22"/>
              </w:rPr>
              <w:t xml:space="preserve">Příjemce a další účastníci projektu sdílených činností CZERA, tzn., řešitelé, budou projekt sdílených činností CZERA realizovat v kapacitě </w:t>
            </w:r>
            <w:r w:rsidRPr="00074A51">
              <w:rPr>
                <w:bCs/>
                <w:i/>
                <w:iCs/>
                <w:sz w:val="22"/>
                <w:szCs w:val="22"/>
              </w:rPr>
              <w:t>organizací pro výzkum a šíření znalostí</w:t>
            </w:r>
            <w:r w:rsidRPr="00074A51">
              <w:rPr>
                <w:i/>
                <w:iCs/>
                <w:sz w:val="22"/>
                <w:szCs w:val="22"/>
              </w:rPr>
              <w:t xml:space="preserve"> tak, jak jsou definovány Rámcem pro státní podporu výzkumu, vývoje a inovací (2014/C 198/01). Podpora řešitelů z prostředků účelové podpory MŠMT z výdajů státního rozpočtu ČR na výzkum, vývoj a inovace poté nebude zakládat veřejnou podporu ve smyslu čl. 107 odst. 1 </w:t>
            </w:r>
            <w:r w:rsidRPr="00074A51">
              <w:rPr>
                <w:i/>
                <w:iCs/>
                <w:sz w:val="22"/>
                <w:szCs w:val="22"/>
              </w:rPr>
              <w:lastRenderedPageBreak/>
              <w:t xml:space="preserve">Smlouvy o fungování EU. Účelová podpora řešitelů projektu sdílených činností jim bude poskytována v kapacitě organizací pro výzkum a šíření znalostí a finanční prostředky budou směřovány na </w:t>
            </w:r>
            <w:r w:rsidRPr="00074A51">
              <w:rPr>
                <w:bCs/>
                <w:i/>
                <w:iCs/>
                <w:sz w:val="22"/>
                <w:szCs w:val="22"/>
              </w:rPr>
              <w:t>financování jejich nehospodářských činností</w:t>
            </w:r>
            <w:r w:rsidRPr="00074A51">
              <w:rPr>
                <w:i/>
                <w:iCs/>
                <w:sz w:val="22"/>
                <w:szCs w:val="22"/>
              </w:rPr>
              <w:t xml:space="preserve"> podle odst. 19 Rámce pro státní podporu výzkumu, vývoje a inovací (2014/C 198/01). Pokud budou řešitelé vykonávat hospodářské činnosti, budou tyto </w:t>
            </w:r>
            <w:r w:rsidRPr="00074A51">
              <w:rPr>
                <w:bCs/>
                <w:i/>
                <w:iCs/>
                <w:sz w:val="22"/>
                <w:szCs w:val="22"/>
              </w:rPr>
              <w:t>hospodářské činnosti pouze vedlejší povahy</w:t>
            </w:r>
            <w:r w:rsidRPr="00074A51">
              <w:rPr>
                <w:i/>
                <w:iCs/>
                <w:sz w:val="22"/>
                <w:szCs w:val="22"/>
              </w:rPr>
              <w:t xml:space="preserve"> a budou přitom vykazovat doplňkový charakter k hlavním nehospodářským činnostem rozvíjeným na základě odst. 20 Rámce pro státní podporu výzkumu, vývoje a inovací (2014/C 198/01). </w:t>
            </w:r>
            <w:r w:rsidRPr="00074A51">
              <w:rPr>
                <w:bCs/>
                <w:i/>
                <w:iCs/>
                <w:sz w:val="22"/>
                <w:szCs w:val="22"/>
              </w:rPr>
              <w:t>Financování řešitelů projektu sdílených činností CZERA z prostředků účelové podpory MŠMT tak veřejnou podporu ve smyslu čl. 107 odst. 1 Smlouvy o fungování EU zakládat nebude.“</w:t>
            </w:r>
          </w:p>
        </w:tc>
      </w:tr>
      <w:tr w:rsidR="00BF65D6" w:rsidRPr="00312D8E" w14:paraId="4F3161FD" w14:textId="77777777" w:rsidTr="00B72696">
        <w:trPr>
          <w:trHeight w:val="340"/>
        </w:trPr>
        <w:tc>
          <w:tcPr>
            <w:tcW w:w="1951" w:type="dxa"/>
            <w:vMerge/>
            <w:shd w:val="clear" w:color="auto" w:fill="auto"/>
            <w:vAlign w:val="center"/>
          </w:tcPr>
          <w:p w14:paraId="3B42FC2A" w14:textId="77777777" w:rsidR="00BF65D6" w:rsidRDefault="00BF65D6" w:rsidP="00041515">
            <w:pPr>
              <w:spacing w:before="120" w:after="120"/>
              <w:rPr>
                <w:b/>
                <w:sz w:val="22"/>
                <w:szCs w:val="22"/>
              </w:rPr>
            </w:pPr>
          </w:p>
        </w:tc>
        <w:tc>
          <w:tcPr>
            <w:tcW w:w="5762" w:type="dxa"/>
            <w:shd w:val="clear" w:color="auto" w:fill="auto"/>
            <w:vAlign w:val="center"/>
          </w:tcPr>
          <w:p w14:paraId="13D0B047" w14:textId="77777777" w:rsidR="00BF65D6" w:rsidRPr="00B92480" w:rsidRDefault="00BF65D6" w:rsidP="00041515">
            <w:pPr>
              <w:widowControl w:val="0"/>
              <w:autoSpaceDE w:val="0"/>
              <w:autoSpaceDN w:val="0"/>
              <w:adjustRightInd w:val="0"/>
              <w:spacing w:before="120" w:after="120"/>
              <w:jc w:val="both"/>
              <w:rPr>
                <w:b/>
                <w:sz w:val="22"/>
                <w:szCs w:val="22"/>
              </w:rPr>
            </w:pPr>
            <w:r w:rsidRPr="00601B36">
              <w:rPr>
                <w:b/>
                <w:sz w:val="22"/>
                <w:szCs w:val="22"/>
              </w:rPr>
              <w:t>Zásadní připomínka</w:t>
            </w:r>
          </w:p>
          <w:p w14:paraId="48073F2D" w14:textId="77777777" w:rsidR="00BF65D6" w:rsidRPr="00E338EF" w:rsidRDefault="00BF65D6" w:rsidP="00041515">
            <w:pPr>
              <w:widowControl w:val="0"/>
              <w:autoSpaceDE w:val="0"/>
              <w:autoSpaceDN w:val="0"/>
              <w:adjustRightInd w:val="0"/>
              <w:spacing w:before="120" w:after="120"/>
              <w:jc w:val="both"/>
              <w:rPr>
                <w:sz w:val="22"/>
                <w:szCs w:val="22"/>
              </w:rPr>
            </w:pPr>
            <w:r w:rsidRPr="00E338EF">
              <w:rPr>
                <w:sz w:val="22"/>
                <w:szCs w:val="22"/>
              </w:rPr>
              <w:t>Žádáme o doplnění materiálu o informace o účasti ČR v rámcových programech EU v minulosti a uvedení důvodů, proč předkladatel předpokládá, že se tato účast zvýší, když její podporu mají zajišťovat stejné subjekty jako doposud, jak je v materiálu podrobně popsáno.</w:t>
            </w:r>
          </w:p>
          <w:p w14:paraId="590F81B4" w14:textId="77777777" w:rsidR="00BF65D6" w:rsidRPr="00E338EF" w:rsidRDefault="00BF65D6" w:rsidP="00041515">
            <w:pPr>
              <w:widowControl w:val="0"/>
              <w:autoSpaceDE w:val="0"/>
              <w:autoSpaceDN w:val="0"/>
              <w:adjustRightInd w:val="0"/>
              <w:spacing w:before="120" w:after="120"/>
              <w:jc w:val="both"/>
              <w:rPr>
                <w:sz w:val="22"/>
                <w:szCs w:val="22"/>
                <w:u w:val="single"/>
              </w:rPr>
            </w:pPr>
            <w:r w:rsidRPr="00E338EF">
              <w:rPr>
                <w:sz w:val="22"/>
                <w:szCs w:val="22"/>
                <w:u w:val="single"/>
              </w:rPr>
              <w:t>Odůvodnění</w:t>
            </w:r>
          </w:p>
          <w:p w14:paraId="42EFC6DC" w14:textId="77777777" w:rsidR="00BF65D6" w:rsidRPr="00601B36" w:rsidRDefault="00BF65D6" w:rsidP="00041515">
            <w:pPr>
              <w:widowControl w:val="0"/>
              <w:autoSpaceDE w:val="0"/>
              <w:autoSpaceDN w:val="0"/>
              <w:adjustRightInd w:val="0"/>
              <w:spacing w:before="120" w:after="120"/>
              <w:jc w:val="both"/>
              <w:rPr>
                <w:b/>
                <w:sz w:val="22"/>
                <w:szCs w:val="22"/>
              </w:rPr>
            </w:pPr>
            <w:r w:rsidRPr="00E338EF">
              <w:rPr>
                <w:bCs/>
                <w:sz w:val="22"/>
                <w:szCs w:val="22"/>
              </w:rPr>
              <w:t>V kap. 3. 3 materiálu je uvedeno „</w:t>
            </w:r>
            <w:r w:rsidRPr="00E338EF">
              <w:rPr>
                <w:bCs/>
                <w:i/>
                <w:sz w:val="22"/>
                <w:szCs w:val="22"/>
              </w:rPr>
              <w:t xml:space="preserve">Klíčovým výstupem </w:t>
            </w:r>
            <w:r w:rsidRPr="00E338EF">
              <w:rPr>
                <w:i/>
                <w:sz w:val="22"/>
                <w:szCs w:val="22"/>
              </w:rPr>
              <w:t>realizace projektu sdílených činností bude intenzivnější účast ČR v FP9, v porovnání s předchozími rámcovými programy EU.</w:t>
            </w:r>
            <w:r w:rsidRPr="00E338EF">
              <w:rPr>
                <w:sz w:val="22"/>
                <w:szCs w:val="22"/>
              </w:rPr>
              <w:t>“. Současně materiál v kap. 2.2 podrobně popisuje dosavadní aktivity příjemců, které se od navrhovaných aktivit výrazně neliší.</w:t>
            </w:r>
          </w:p>
        </w:tc>
        <w:tc>
          <w:tcPr>
            <w:tcW w:w="6616" w:type="dxa"/>
            <w:shd w:val="clear" w:color="auto" w:fill="auto"/>
          </w:tcPr>
          <w:p w14:paraId="03ACB20E" w14:textId="77777777" w:rsidR="00BF65D6" w:rsidRDefault="00BF65D6" w:rsidP="00041515">
            <w:pPr>
              <w:spacing w:before="120" w:after="120"/>
              <w:jc w:val="both"/>
              <w:rPr>
                <w:b/>
                <w:sz w:val="22"/>
                <w:szCs w:val="22"/>
              </w:rPr>
            </w:pPr>
            <w:r w:rsidRPr="003500F9">
              <w:rPr>
                <w:b/>
                <w:sz w:val="22"/>
                <w:szCs w:val="22"/>
              </w:rPr>
              <w:t>N</w:t>
            </w:r>
            <w:r>
              <w:rPr>
                <w:b/>
                <w:sz w:val="22"/>
                <w:szCs w:val="22"/>
              </w:rPr>
              <w:t>eakceptováno a vysvětleno.</w:t>
            </w:r>
          </w:p>
          <w:p w14:paraId="1337652E" w14:textId="21FB416B" w:rsidR="00BF65D6" w:rsidRPr="00041515" w:rsidRDefault="00BF65D6" w:rsidP="002839F9">
            <w:pPr>
              <w:spacing w:before="120" w:after="120"/>
              <w:jc w:val="both"/>
              <w:rPr>
                <w:sz w:val="22"/>
                <w:szCs w:val="22"/>
              </w:rPr>
            </w:pPr>
            <w:r>
              <w:rPr>
                <w:sz w:val="22"/>
                <w:szCs w:val="22"/>
              </w:rPr>
              <w:t xml:space="preserve">Předmětem předkládaného projektu jsou aktivity směřované k zajištění mandatorních podmínek a zvýšení účasti v nadcházejícím rámcovém programu EU pro výzkum a vývoj Horizont Evropa. Samotné instituce zajištující </w:t>
            </w:r>
            <w:r w:rsidR="00A66D47">
              <w:rPr>
                <w:sz w:val="22"/>
                <w:szCs w:val="22"/>
              </w:rPr>
              <w:t xml:space="preserve">služby </w:t>
            </w:r>
            <w:r>
              <w:rPr>
                <w:sz w:val="22"/>
                <w:szCs w:val="22"/>
              </w:rPr>
              <w:t>NCP ovšem</w:t>
            </w:r>
            <w:r w:rsidR="00A66D47">
              <w:rPr>
                <w:sz w:val="22"/>
                <w:szCs w:val="22"/>
              </w:rPr>
              <w:t xml:space="preserve"> samy o sobě</w:t>
            </w:r>
            <w:r>
              <w:rPr>
                <w:sz w:val="22"/>
                <w:szCs w:val="22"/>
              </w:rPr>
              <w:t xml:space="preserve"> nemohou zaručit úspěch v rámcových program</w:t>
            </w:r>
            <w:r w:rsidR="009244BD">
              <w:rPr>
                <w:sz w:val="22"/>
                <w:szCs w:val="22"/>
              </w:rPr>
              <w:t>ech</w:t>
            </w:r>
            <w:r>
              <w:rPr>
                <w:sz w:val="22"/>
                <w:szCs w:val="22"/>
              </w:rPr>
              <w:t xml:space="preserve"> EU pro výzkum a inovace a je rovněž nutné podporovat české subjekty množstvím dalším aktivit, v jejichž realizaci řešiteli projektu má MŠMT plnou důvěru. Práce na těchto aktivitách, včetně celkového směřování a implementace projektu bude probíhat pod </w:t>
            </w:r>
            <w:r w:rsidR="00A66D47">
              <w:rPr>
                <w:sz w:val="22"/>
                <w:szCs w:val="22"/>
              </w:rPr>
              <w:t xml:space="preserve">dozorem ústředních orgánů </w:t>
            </w:r>
            <w:r>
              <w:rPr>
                <w:sz w:val="22"/>
                <w:szCs w:val="22"/>
              </w:rPr>
              <w:t>státní správy</w:t>
            </w:r>
            <w:r w:rsidR="00A66D47">
              <w:rPr>
                <w:sz w:val="22"/>
                <w:szCs w:val="22"/>
              </w:rPr>
              <w:t xml:space="preserve"> ČR</w:t>
            </w:r>
            <w:r>
              <w:rPr>
                <w:sz w:val="22"/>
                <w:szCs w:val="22"/>
              </w:rPr>
              <w:t>, přičemž příslušní klíčoví stakeholdeři VaVaI v ČR budou plně zapojeni do řídících struktur předkládaného projektu.</w:t>
            </w:r>
          </w:p>
        </w:tc>
      </w:tr>
      <w:tr w:rsidR="00BF65D6" w:rsidRPr="00312D8E" w14:paraId="43DB26B9" w14:textId="77777777" w:rsidTr="00B227D7">
        <w:trPr>
          <w:trHeight w:val="2542"/>
        </w:trPr>
        <w:tc>
          <w:tcPr>
            <w:tcW w:w="1951" w:type="dxa"/>
            <w:vMerge/>
            <w:shd w:val="clear" w:color="auto" w:fill="auto"/>
            <w:vAlign w:val="center"/>
          </w:tcPr>
          <w:p w14:paraId="3488FD4E" w14:textId="77777777" w:rsidR="00BF65D6" w:rsidRDefault="00BF65D6" w:rsidP="00D25889">
            <w:pPr>
              <w:spacing w:before="120" w:after="120"/>
              <w:rPr>
                <w:b/>
                <w:sz w:val="22"/>
                <w:szCs w:val="22"/>
              </w:rPr>
            </w:pPr>
          </w:p>
        </w:tc>
        <w:tc>
          <w:tcPr>
            <w:tcW w:w="5762" w:type="dxa"/>
            <w:shd w:val="clear" w:color="auto" w:fill="auto"/>
            <w:vAlign w:val="center"/>
          </w:tcPr>
          <w:p w14:paraId="066A5D60" w14:textId="77777777" w:rsidR="00BF65D6" w:rsidRPr="00B92480" w:rsidRDefault="00BF65D6" w:rsidP="00D25889">
            <w:pPr>
              <w:widowControl w:val="0"/>
              <w:autoSpaceDE w:val="0"/>
              <w:autoSpaceDN w:val="0"/>
              <w:adjustRightInd w:val="0"/>
              <w:spacing w:before="120" w:after="120"/>
              <w:jc w:val="both"/>
              <w:rPr>
                <w:b/>
                <w:sz w:val="22"/>
                <w:szCs w:val="22"/>
              </w:rPr>
            </w:pPr>
            <w:r w:rsidRPr="00601B36">
              <w:rPr>
                <w:b/>
                <w:sz w:val="22"/>
                <w:szCs w:val="22"/>
              </w:rPr>
              <w:t>Zásadní připomínka</w:t>
            </w:r>
          </w:p>
          <w:p w14:paraId="398CDCA7" w14:textId="77777777" w:rsidR="00BF65D6" w:rsidRPr="00424E90" w:rsidRDefault="00BF65D6" w:rsidP="00D25889">
            <w:pPr>
              <w:widowControl w:val="0"/>
              <w:autoSpaceDE w:val="0"/>
              <w:autoSpaceDN w:val="0"/>
              <w:adjustRightInd w:val="0"/>
              <w:spacing w:before="120" w:after="120"/>
              <w:jc w:val="both"/>
              <w:rPr>
                <w:sz w:val="22"/>
                <w:szCs w:val="22"/>
              </w:rPr>
            </w:pPr>
            <w:r w:rsidRPr="00424E90">
              <w:rPr>
                <w:sz w:val="22"/>
                <w:szCs w:val="22"/>
              </w:rPr>
              <w:t>Žádáme o doplnění části 4 materiálu o podrobné odůvodnění prokazující, že náklady na aktivity uvedené v části 3.1 materiálu „Popis projektových aktivit“ nejsou a nebudou předmětem podpory z výdajů státního rozpočtu na výzkum, vývoj a inovace, realizovaným jinou formou.</w:t>
            </w:r>
          </w:p>
          <w:p w14:paraId="6BF9D605" w14:textId="77777777" w:rsidR="00BF65D6" w:rsidRPr="00424E90" w:rsidRDefault="00BF65D6" w:rsidP="00D25889">
            <w:pPr>
              <w:widowControl w:val="0"/>
              <w:autoSpaceDE w:val="0"/>
              <w:autoSpaceDN w:val="0"/>
              <w:adjustRightInd w:val="0"/>
              <w:spacing w:before="120" w:after="120"/>
              <w:jc w:val="both"/>
              <w:rPr>
                <w:sz w:val="22"/>
                <w:szCs w:val="22"/>
                <w:u w:val="single"/>
              </w:rPr>
            </w:pPr>
            <w:r w:rsidRPr="00424E90">
              <w:rPr>
                <w:sz w:val="22"/>
                <w:szCs w:val="22"/>
                <w:u w:val="single"/>
              </w:rPr>
              <w:t>Odůvodnění</w:t>
            </w:r>
          </w:p>
          <w:p w14:paraId="6A947879" w14:textId="77777777" w:rsidR="00BF65D6" w:rsidRPr="00424E90" w:rsidRDefault="00BF65D6" w:rsidP="00D25889">
            <w:pPr>
              <w:widowControl w:val="0"/>
              <w:autoSpaceDE w:val="0"/>
              <w:autoSpaceDN w:val="0"/>
              <w:adjustRightInd w:val="0"/>
              <w:spacing w:before="120" w:after="120"/>
              <w:jc w:val="both"/>
              <w:rPr>
                <w:sz w:val="22"/>
                <w:szCs w:val="22"/>
              </w:rPr>
            </w:pPr>
            <w:r w:rsidRPr="00424E90">
              <w:rPr>
                <w:sz w:val="22"/>
                <w:szCs w:val="22"/>
              </w:rPr>
              <w:t>Řada činností uvedených v části 3.1 materiálu „Popis projektových aktivit“ je obdobným způsobem popisována i v jiných aktivitách příjemců (projektech, velkých výzkumných infrastrukturách, institucionální podpoře) financovaných rovněž ze státního rozpočtu na výzkum, vývoj a inovace, např.:</w:t>
            </w:r>
          </w:p>
          <w:p w14:paraId="5CDEA122" w14:textId="77777777" w:rsidR="00BF65D6" w:rsidRPr="00424E90" w:rsidRDefault="00BF65D6" w:rsidP="00D25889">
            <w:pPr>
              <w:widowControl w:val="0"/>
              <w:autoSpaceDE w:val="0"/>
              <w:autoSpaceDN w:val="0"/>
              <w:adjustRightInd w:val="0"/>
              <w:spacing w:before="120" w:after="120"/>
              <w:jc w:val="both"/>
              <w:rPr>
                <w:sz w:val="22"/>
                <w:szCs w:val="22"/>
                <w:u w:val="dottedHeavy"/>
              </w:rPr>
            </w:pPr>
            <w:r w:rsidRPr="00424E90">
              <w:rPr>
                <w:sz w:val="22"/>
                <w:szCs w:val="22"/>
                <w:u w:val="dottedHeavy"/>
              </w:rPr>
              <w:t>Technologické centrum AV ČR, z.s.p.o.</w:t>
            </w:r>
          </w:p>
          <w:p w14:paraId="63D873C2" w14:textId="77777777" w:rsidR="00BF65D6" w:rsidRPr="00424E90" w:rsidRDefault="00BF65D6" w:rsidP="00D25889">
            <w:pPr>
              <w:widowControl w:val="0"/>
              <w:numPr>
                <w:ilvl w:val="0"/>
                <w:numId w:val="25"/>
              </w:numPr>
              <w:autoSpaceDE w:val="0"/>
              <w:autoSpaceDN w:val="0"/>
              <w:adjustRightInd w:val="0"/>
              <w:spacing w:before="120" w:after="120"/>
              <w:jc w:val="both"/>
              <w:rPr>
                <w:bCs/>
                <w:sz w:val="22"/>
                <w:szCs w:val="22"/>
              </w:rPr>
            </w:pPr>
            <w:r w:rsidRPr="00424E90">
              <w:rPr>
                <w:bCs/>
                <w:sz w:val="22"/>
                <w:szCs w:val="22"/>
              </w:rPr>
              <w:t>Česká republika v ERA, projekt MŠMT, 2018 – 2021</w:t>
            </w:r>
          </w:p>
          <w:p w14:paraId="01DDD496" w14:textId="77777777" w:rsidR="00BF65D6" w:rsidRPr="00424E90" w:rsidRDefault="00BF65D6" w:rsidP="00D25889">
            <w:pPr>
              <w:widowControl w:val="0"/>
              <w:numPr>
                <w:ilvl w:val="0"/>
                <w:numId w:val="25"/>
              </w:numPr>
              <w:autoSpaceDE w:val="0"/>
              <w:autoSpaceDN w:val="0"/>
              <w:adjustRightInd w:val="0"/>
              <w:spacing w:before="120" w:after="120"/>
              <w:jc w:val="both"/>
              <w:rPr>
                <w:bCs/>
                <w:sz w:val="22"/>
                <w:szCs w:val="22"/>
              </w:rPr>
            </w:pPr>
            <w:r w:rsidRPr="00424E90">
              <w:rPr>
                <w:bCs/>
                <w:sz w:val="22"/>
                <w:szCs w:val="22"/>
              </w:rPr>
              <w:t>Strategické informace pro mezinárodní výzkum (STRATIN), projekt MŠMT, 2020 – 2021</w:t>
            </w:r>
          </w:p>
          <w:p w14:paraId="363142AE" w14:textId="77777777" w:rsidR="00BF65D6" w:rsidRPr="00424E90" w:rsidRDefault="00BF65D6" w:rsidP="00D25889">
            <w:pPr>
              <w:widowControl w:val="0"/>
              <w:numPr>
                <w:ilvl w:val="0"/>
                <w:numId w:val="25"/>
              </w:numPr>
              <w:autoSpaceDE w:val="0"/>
              <w:autoSpaceDN w:val="0"/>
              <w:adjustRightInd w:val="0"/>
              <w:spacing w:before="120" w:after="120"/>
              <w:jc w:val="both"/>
              <w:rPr>
                <w:bCs/>
                <w:sz w:val="22"/>
                <w:szCs w:val="22"/>
              </w:rPr>
            </w:pPr>
            <w:r w:rsidRPr="00424E90">
              <w:rPr>
                <w:bCs/>
                <w:sz w:val="22"/>
                <w:szCs w:val="22"/>
              </w:rPr>
              <w:t>Horizon scanning pro odpovědný výzkum a inovace, projekt TA ČR, 2019 – 2021</w:t>
            </w:r>
          </w:p>
          <w:p w14:paraId="1AD7CBEE" w14:textId="77777777" w:rsidR="00BF65D6" w:rsidRPr="00424E90" w:rsidRDefault="00BF65D6" w:rsidP="00D25889">
            <w:pPr>
              <w:widowControl w:val="0"/>
              <w:numPr>
                <w:ilvl w:val="0"/>
                <w:numId w:val="25"/>
              </w:numPr>
              <w:autoSpaceDE w:val="0"/>
              <w:autoSpaceDN w:val="0"/>
              <w:adjustRightInd w:val="0"/>
              <w:spacing w:before="120" w:after="120"/>
              <w:jc w:val="both"/>
              <w:rPr>
                <w:bCs/>
                <w:sz w:val="22"/>
                <w:szCs w:val="22"/>
              </w:rPr>
            </w:pPr>
            <w:r w:rsidRPr="00424E90">
              <w:rPr>
                <w:bCs/>
                <w:sz w:val="22"/>
                <w:szCs w:val="22"/>
              </w:rPr>
              <w:t>Hodnocení ekonomických dopadů podpory výzkumu a vývoje na firemní sektor, projekt TA ČR, 2020 – 2022 atd.,</w:t>
            </w:r>
          </w:p>
          <w:p w14:paraId="63B73536" w14:textId="77777777" w:rsidR="00BF65D6" w:rsidRPr="00424E90" w:rsidRDefault="00BF65D6" w:rsidP="00D25889">
            <w:pPr>
              <w:widowControl w:val="0"/>
              <w:autoSpaceDE w:val="0"/>
              <w:autoSpaceDN w:val="0"/>
              <w:adjustRightInd w:val="0"/>
              <w:spacing w:before="120" w:after="120"/>
              <w:jc w:val="both"/>
              <w:rPr>
                <w:sz w:val="22"/>
                <w:szCs w:val="22"/>
                <w:u w:val="dottedHeavy"/>
              </w:rPr>
            </w:pPr>
            <w:r w:rsidRPr="00424E90">
              <w:rPr>
                <w:sz w:val="22"/>
                <w:szCs w:val="22"/>
                <w:u w:val="dottedHeavy"/>
              </w:rPr>
              <w:t>Sociologický ústav AV ČR, v.v.i.</w:t>
            </w:r>
          </w:p>
          <w:p w14:paraId="06814AF6" w14:textId="77777777" w:rsidR="00BF65D6" w:rsidRPr="00424E90" w:rsidRDefault="00BF65D6" w:rsidP="00D25889">
            <w:pPr>
              <w:widowControl w:val="0"/>
              <w:numPr>
                <w:ilvl w:val="0"/>
                <w:numId w:val="25"/>
              </w:numPr>
              <w:autoSpaceDE w:val="0"/>
              <w:autoSpaceDN w:val="0"/>
              <w:adjustRightInd w:val="0"/>
              <w:spacing w:before="120" w:after="120"/>
              <w:jc w:val="both"/>
              <w:rPr>
                <w:bCs/>
                <w:sz w:val="22"/>
                <w:szCs w:val="22"/>
              </w:rPr>
            </w:pPr>
            <w:r w:rsidRPr="00424E90">
              <w:rPr>
                <w:bCs/>
                <w:sz w:val="22"/>
                <w:szCs w:val="22"/>
              </w:rPr>
              <w:t>Mezinárodní mobilita pracovníků Sociologického ústavu AV ČR, v.v.i. II – projekt MŠMT, 2020 - 2022,</w:t>
            </w:r>
          </w:p>
          <w:p w14:paraId="292579E3" w14:textId="77777777" w:rsidR="00BF65D6" w:rsidRPr="00424E90" w:rsidRDefault="00BF65D6" w:rsidP="00D25889">
            <w:pPr>
              <w:widowControl w:val="0"/>
              <w:numPr>
                <w:ilvl w:val="0"/>
                <w:numId w:val="25"/>
              </w:numPr>
              <w:autoSpaceDE w:val="0"/>
              <w:autoSpaceDN w:val="0"/>
              <w:adjustRightInd w:val="0"/>
              <w:spacing w:before="120" w:after="120"/>
              <w:jc w:val="both"/>
              <w:rPr>
                <w:bCs/>
                <w:sz w:val="22"/>
                <w:szCs w:val="22"/>
              </w:rPr>
            </w:pPr>
            <w:r w:rsidRPr="00424E90">
              <w:rPr>
                <w:bCs/>
                <w:sz w:val="22"/>
                <w:szCs w:val="22"/>
              </w:rPr>
              <w:t>Český národní uzel ESS – projekt velké výzkumné infrastruktury, MŠMT 2020 – 2022,</w:t>
            </w:r>
          </w:p>
          <w:p w14:paraId="1DC1CDFD" w14:textId="77777777" w:rsidR="00BF65D6" w:rsidRPr="00424E90" w:rsidRDefault="00BF65D6" w:rsidP="00D25889">
            <w:pPr>
              <w:widowControl w:val="0"/>
              <w:numPr>
                <w:ilvl w:val="0"/>
                <w:numId w:val="25"/>
              </w:numPr>
              <w:autoSpaceDE w:val="0"/>
              <w:autoSpaceDN w:val="0"/>
              <w:adjustRightInd w:val="0"/>
              <w:spacing w:before="120" w:after="120"/>
              <w:jc w:val="both"/>
              <w:rPr>
                <w:bCs/>
                <w:sz w:val="22"/>
                <w:szCs w:val="22"/>
              </w:rPr>
            </w:pPr>
            <w:r w:rsidRPr="00424E90">
              <w:rPr>
                <w:bCs/>
                <w:sz w:val="22"/>
                <w:szCs w:val="22"/>
              </w:rPr>
              <w:t xml:space="preserve">Institucionální podpora na rozvoj výzkumné </w:t>
            </w:r>
            <w:r w:rsidRPr="00424E90">
              <w:rPr>
                <w:bCs/>
                <w:sz w:val="22"/>
                <w:szCs w:val="22"/>
              </w:rPr>
              <w:lastRenderedPageBreak/>
              <w:t>organizace, AV ČR (viz výroční zpráva) atd.,</w:t>
            </w:r>
          </w:p>
          <w:p w14:paraId="2F081231" w14:textId="77777777" w:rsidR="00BF65D6" w:rsidRPr="00424E90" w:rsidRDefault="00BF65D6" w:rsidP="00D25889">
            <w:pPr>
              <w:widowControl w:val="0"/>
              <w:autoSpaceDE w:val="0"/>
              <w:autoSpaceDN w:val="0"/>
              <w:adjustRightInd w:val="0"/>
              <w:spacing w:before="120" w:after="120"/>
              <w:jc w:val="both"/>
              <w:rPr>
                <w:sz w:val="22"/>
                <w:szCs w:val="22"/>
                <w:u w:val="dottedHeavy"/>
              </w:rPr>
            </w:pPr>
            <w:r w:rsidRPr="00424E90">
              <w:rPr>
                <w:sz w:val="22"/>
                <w:szCs w:val="22"/>
                <w:u w:val="dottedHeavy"/>
              </w:rPr>
              <w:t>Středisko společných činností AV ČR, v.v.i.</w:t>
            </w:r>
          </w:p>
          <w:p w14:paraId="63AEACE1" w14:textId="77777777" w:rsidR="00BF65D6" w:rsidRPr="00601B36" w:rsidRDefault="00BF65D6" w:rsidP="00D25889">
            <w:pPr>
              <w:widowControl w:val="0"/>
              <w:autoSpaceDE w:val="0"/>
              <w:autoSpaceDN w:val="0"/>
              <w:adjustRightInd w:val="0"/>
              <w:spacing w:before="120" w:after="120"/>
              <w:jc w:val="both"/>
              <w:rPr>
                <w:b/>
                <w:sz w:val="22"/>
                <w:szCs w:val="22"/>
              </w:rPr>
            </w:pPr>
            <w:r w:rsidRPr="00424E90">
              <w:rPr>
                <w:bCs/>
                <w:sz w:val="22"/>
                <w:szCs w:val="22"/>
              </w:rPr>
              <w:t>Institucionální podpora na rozvoj výzkumné organizace, AV ČR (viz výroční zpráva).</w:t>
            </w:r>
          </w:p>
        </w:tc>
        <w:tc>
          <w:tcPr>
            <w:tcW w:w="6616" w:type="dxa"/>
            <w:shd w:val="clear" w:color="auto" w:fill="auto"/>
          </w:tcPr>
          <w:p w14:paraId="3F2B0DBA" w14:textId="77777777" w:rsidR="00BF65D6" w:rsidRDefault="00BF65D6" w:rsidP="00D25889">
            <w:pPr>
              <w:spacing w:before="120" w:after="120"/>
              <w:jc w:val="both"/>
              <w:rPr>
                <w:b/>
                <w:sz w:val="22"/>
                <w:szCs w:val="22"/>
              </w:rPr>
            </w:pPr>
            <w:r>
              <w:rPr>
                <w:b/>
                <w:sz w:val="22"/>
                <w:szCs w:val="22"/>
              </w:rPr>
              <w:lastRenderedPageBreak/>
              <w:t>Částečně akceptováno a vysvětleno.</w:t>
            </w:r>
          </w:p>
          <w:p w14:paraId="71BA782D" w14:textId="77777777" w:rsidR="00BF65D6" w:rsidRDefault="00BF65D6" w:rsidP="00D25889">
            <w:pPr>
              <w:spacing w:before="120" w:after="120"/>
              <w:jc w:val="both"/>
              <w:rPr>
                <w:sz w:val="22"/>
                <w:szCs w:val="22"/>
              </w:rPr>
            </w:pPr>
            <w:r w:rsidRPr="00686EDF">
              <w:rPr>
                <w:sz w:val="22"/>
                <w:szCs w:val="22"/>
              </w:rPr>
              <w:t>Prostředky finanční podpory, které budou poskytnuty na realizaci projektu sdílených činností CZERA, budou MŠMT hrazeny ze zdrojů účelové podpory v rámci výdajů státního rozpočtu ČR na výzkum, vývoj a inovace. Náklady na realizaci projektu sdílených činností v roce 2021 budou hrazeny za využití nároků z</w:t>
            </w:r>
            <w:r>
              <w:rPr>
                <w:sz w:val="22"/>
                <w:szCs w:val="22"/>
              </w:rPr>
              <w:t> </w:t>
            </w:r>
            <w:r w:rsidRPr="00686EDF">
              <w:rPr>
                <w:sz w:val="22"/>
                <w:szCs w:val="22"/>
              </w:rPr>
              <w:t>nespotřebovaných výdajů na výzkum, vývoj a inovace, jimiž MŠMT disponuje. Předkládaný materiál nevyvolává žádné dodatečné výdaje nad rámec schválených rozpočtových limitů kapitoly MŠMT.</w:t>
            </w:r>
          </w:p>
          <w:p w14:paraId="19A14DDC" w14:textId="3F095F57" w:rsidR="00BF65D6" w:rsidRPr="00DB6E01" w:rsidRDefault="00BF65D6" w:rsidP="00686EDF">
            <w:pPr>
              <w:spacing w:before="120" w:after="120"/>
              <w:jc w:val="both"/>
              <w:rPr>
                <w:i/>
                <w:sz w:val="22"/>
                <w:szCs w:val="22"/>
              </w:rPr>
            </w:pPr>
            <w:r>
              <w:rPr>
                <w:sz w:val="22"/>
                <w:szCs w:val="22"/>
              </w:rPr>
              <w:t xml:space="preserve">Projekt sdílených činností CZERA </w:t>
            </w:r>
            <w:r w:rsidR="00A66D47">
              <w:rPr>
                <w:sz w:val="22"/>
                <w:szCs w:val="22"/>
              </w:rPr>
              <w:t xml:space="preserve">zajistí </w:t>
            </w:r>
            <w:r>
              <w:rPr>
                <w:sz w:val="22"/>
                <w:szCs w:val="22"/>
              </w:rPr>
              <w:t xml:space="preserve">financování předmětných aktivit v návaznosti na skončení případných jiných projektů, ze kterých byly některé podobné aktivity v minulosti financovány. </w:t>
            </w:r>
            <w:r w:rsidRPr="00686EDF">
              <w:rPr>
                <w:sz w:val="22"/>
                <w:szCs w:val="22"/>
              </w:rPr>
              <w:t>Řídicí výbor bude dohlížet, aby v realizaci projektu nedocházelo k překryvům, resp. duplicitám a projekt byl implementován v synergii, resp. vzájemné komplementaritě s aktivitami dalších projektů sdílených činností a činnostmi orgánů státní správy ČR</w:t>
            </w:r>
            <w:r>
              <w:rPr>
                <w:sz w:val="22"/>
                <w:szCs w:val="22"/>
              </w:rPr>
              <w:t>, případně jiných projektů VaVaI financovaných ze státního rozpočtu ČR.</w:t>
            </w:r>
          </w:p>
          <w:p w14:paraId="5C34BFF8" w14:textId="77777777" w:rsidR="00BF65D6" w:rsidRDefault="00BF65D6" w:rsidP="00D25889">
            <w:pPr>
              <w:spacing w:before="120" w:after="120"/>
              <w:jc w:val="both"/>
              <w:rPr>
                <w:sz w:val="22"/>
                <w:szCs w:val="22"/>
              </w:rPr>
            </w:pPr>
          </w:p>
          <w:p w14:paraId="6EB57F22" w14:textId="77777777" w:rsidR="00BF65D6" w:rsidRPr="00D25889" w:rsidRDefault="00BF65D6" w:rsidP="00D25889">
            <w:pPr>
              <w:spacing w:before="120" w:after="120"/>
              <w:jc w:val="both"/>
              <w:rPr>
                <w:sz w:val="22"/>
                <w:szCs w:val="22"/>
              </w:rPr>
            </w:pPr>
          </w:p>
        </w:tc>
      </w:tr>
    </w:tbl>
    <w:p w14:paraId="49696C49" w14:textId="0BA497BB" w:rsidR="00062C44" w:rsidRPr="00312D8E" w:rsidRDefault="00062C44" w:rsidP="009056DD">
      <w:pPr>
        <w:autoSpaceDE w:val="0"/>
        <w:autoSpaceDN w:val="0"/>
        <w:adjustRightInd w:val="0"/>
        <w:spacing w:before="240" w:after="240" w:line="240" w:lineRule="atLeast"/>
        <w:rPr>
          <w:sz w:val="22"/>
          <w:szCs w:val="22"/>
        </w:rPr>
      </w:pPr>
      <w:r w:rsidRPr="00312D8E">
        <w:rPr>
          <w:sz w:val="22"/>
          <w:szCs w:val="22"/>
        </w:rPr>
        <w:t>V </w:t>
      </w:r>
      <w:r w:rsidR="00E92E6A" w:rsidRPr="00312D8E">
        <w:rPr>
          <w:bCs/>
          <w:sz w:val="22"/>
          <w:szCs w:val="22"/>
        </w:rPr>
        <w:fldChar w:fldCharType="begin">
          <w:ffData>
            <w:name w:val=""/>
            <w:enabled/>
            <w:calcOnExit w:val="0"/>
            <w:textInput>
              <w:default w:val="Praze"/>
            </w:textInput>
          </w:ffData>
        </w:fldChar>
      </w:r>
      <w:r w:rsidR="00E92E6A" w:rsidRPr="00312D8E">
        <w:rPr>
          <w:bCs/>
          <w:sz w:val="22"/>
          <w:szCs w:val="22"/>
        </w:rPr>
        <w:instrText xml:space="preserve"> FORMTEXT </w:instrText>
      </w:r>
      <w:r w:rsidR="00E92E6A" w:rsidRPr="00312D8E">
        <w:rPr>
          <w:bCs/>
          <w:sz w:val="22"/>
          <w:szCs w:val="22"/>
        </w:rPr>
      </w:r>
      <w:r w:rsidR="00E92E6A" w:rsidRPr="00312D8E">
        <w:rPr>
          <w:bCs/>
          <w:sz w:val="22"/>
          <w:szCs w:val="22"/>
        </w:rPr>
        <w:fldChar w:fldCharType="separate"/>
      </w:r>
      <w:r w:rsidR="00E92E6A" w:rsidRPr="00312D8E">
        <w:rPr>
          <w:bCs/>
          <w:noProof/>
          <w:sz w:val="22"/>
          <w:szCs w:val="22"/>
        </w:rPr>
        <w:t>Praze</w:t>
      </w:r>
      <w:r w:rsidR="00E92E6A" w:rsidRPr="00312D8E">
        <w:rPr>
          <w:bCs/>
          <w:sz w:val="22"/>
          <w:szCs w:val="22"/>
        </w:rPr>
        <w:fldChar w:fldCharType="end"/>
      </w:r>
      <w:r w:rsidRPr="00312D8E">
        <w:rPr>
          <w:sz w:val="22"/>
          <w:szCs w:val="22"/>
        </w:rPr>
        <w:t xml:space="preserve"> </w:t>
      </w:r>
      <w:r w:rsidR="00B53250" w:rsidRPr="00312D8E">
        <w:rPr>
          <w:sz w:val="22"/>
          <w:szCs w:val="22"/>
        </w:rPr>
        <w:t xml:space="preserve">dne </w:t>
      </w:r>
      <w:r w:rsidR="00A60645">
        <w:rPr>
          <w:sz w:val="22"/>
          <w:szCs w:val="22"/>
        </w:rPr>
        <w:t>11</w:t>
      </w:r>
      <w:r w:rsidR="00D406CE">
        <w:rPr>
          <w:sz w:val="22"/>
          <w:szCs w:val="22"/>
        </w:rPr>
        <w:t>.</w:t>
      </w:r>
      <w:r w:rsidR="001824A8">
        <w:rPr>
          <w:sz w:val="22"/>
          <w:szCs w:val="22"/>
        </w:rPr>
        <w:t xml:space="preserve"> ledna</w:t>
      </w:r>
      <w:r w:rsidR="00723688">
        <w:rPr>
          <w:sz w:val="22"/>
          <w:szCs w:val="22"/>
        </w:rPr>
        <w:t xml:space="preserve"> 20</w:t>
      </w:r>
      <w:r w:rsidR="0023382A">
        <w:rPr>
          <w:sz w:val="22"/>
          <w:szCs w:val="22"/>
        </w:rPr>
        <w:t>20</w:t>
      </w:r>
    </w:p>
    <w:p w14:paraId="6C6C07A1" w14:textId="77777777" w:rsidR="00062C44" w:rsidRPr="00312D8E" w:rsidRDefault="00062C44" w:rsidP="00E92E6A">
      <w:pPr>
        <w:tabs>
          <w:tab w:val="left" w:pos="9498"/>
        </w:tabs>
        <w:autoSpaceDE w:val="0"/>
        <w:autoSpaceDN w:val="0"/>
        <w:adjustRightInd w:val="0"/>
        <w:spacing w:before="240" w:after="240" w:line="240" w:lineRule="atLeast"/>
        <w:rPr>
          <w:sz w:val="22"/>
          <w:szCs w:val="22"/>
        </w:rPr>
      </w:pPr>
      <w:r w:rsidRPr="00312D8E">
        <w:rPr>
          <w:sz w:val="22"/>
          <w:szCs w:val="22"/>
        </w:rPr>
        <w:t>Vypracoval:</w:t>
      </w:r>
      <w:r w:rsidR="00601B36">
        <w:rPr>
          <w:sz w:val="22"/>
          <w:szCs w:val="22"/>
        </w:rPr>
        <w:t xml:space="preserve"> Mgr. Jan Vašíček, oddělení pro Evropský výzkumný prostor</w:t>
      </w:r>
      <w:r w:rsidR="00E92E6A" w:rsidRPr="00312D8E">
        <w:rPr>
          <w:sz w:val="22"/>
          <w:szCs w:val="22"/>
        </w:rPr>
        <w:tab/>
      </w:r>
      <w:r w:rsidR="00540F7C" w:rsidRPr="00312D8E">
        <w:rPr>
          <w:sz w:val="22"/>
          <w:szCs w:val="22"/>
        </w:rPr>
        <w:t>Podpis:</w:t>
      </w:r>
    </w:p>
    <w:sectPr w:rsidR="00062C44" w:rsidRPr="00312D8E" w:rsidSect="00274773">
      <w:footerReference w:type="default" r:id="rId9"/>
      <w:footerReference w:type="first" r:id="rId10"/>
      <w:pgSz w:w="16838" w:h="11906" w:orient="landscape"/>
      <w:pgMar w:top="1259" w:right="1418" w:bottom="1134" w:left="1418" w:header="709" w:footer="567"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A8EFAB" w14:textId="77777777" w:rsidR="00A11897" w:rsidRDefault="00A11897">
      <w:r>
        <w:separator/>
      </w:r>
    </w:p>
  </w:endnote>
  <w:endnote w:type="continuationSeparator" w:id="0">
    <w:p w14:paraId="57C7D910" w14:textId="77777777" w:rsidR="00A11897" w:rsidRDefault="00A11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10C229" w14:textId="77777777" w:rsidR="00B267B9" w:rsidRPr="00CA4A8C" w:rsidRDefault="00B267B9" w:rsidP="00E92E6A">
    <w:pPr>
      <w:pStyle w:val="Podtitul"/>
      <w:rPr>
        <w:rFonts w:ascii="Arial" w:hAnsi="Arial" w:cs="Arial"/>
        <w:sz w:val="22"/>
        <w:szCs w:val="22"/>
      </w:rPr>
    </w:pPr>
    <w:r w:rsidRPr="00CA4A8C">
      <w:rPr>
        <w:rFonts w:ascii="Arial" w:hAnsi="Arial" w:cs="Arial"/>
        <w:sz w:val="22"/>
        <w:szCs w:val="22"/>
      </w:rPr>
      <w:t xml:space="preserve">Stránka </w:t>
    </w:r>
    <w:r w:rsidRPr="00CA4A8C">
      <w:rPr>
        <w:rFonts w:ascii="Arial" w:hAnsi="Arial" w:cs="Arial"/>
        <w:sz w:val="22"/>
        <w:szCs w:val="22"/>
      </w:rPr>
      <w:fldChar w:fldCharType="begin"/>
    </w:r>
    <w:r w:rsidRPr="00CA4A8C">
      <w:rPr>
        <w:rFonts w:ascii="Arial" w:hAnsi="Arial" w:cs="Arial"/>
        <w:sz w:val="22"/>
        <w:szCs w:val="22"/>
      </w:rPr>
      <w:instrText>PAGE</w:instrText>
    </w:r>
    <w:r w:rsidRPr="00CA4A8C">
      <w:rPr>
        <w:rFonts w:ascii="Arial" w:hAnsi="Arial" w:cs="Arial"/>
        <w:sz w:val="22"/>
        <w:szCs w:val="22"/>
      </w:rPr>
      <w:fldChar w:fldCharType="separate"/>
    </w:r>
    <w:r w:rsidR="00CB128B">
      <w:rPr>
        <w:rFonts w:ascii="Arial" w:hAnsi="Arial" w:cs="Arial"/>
        <w:noProof/>
        <w:sz w:val="22"/>
        <w:szCs w:val="22"/>
      </w:rPr>
      <w:t>4</w:t>
    </w:r>
    <w:r w:rsidRPr="00CA4A8C">
      <w:rPr>
        <w:rFonts w:ascii="Arial" w:hAnsi="Arial" w:cs="Arial"/>
        <w:sz w:val="22"/>
        <w:szCs w:val="22"/>
      </w:rPr>
      <w:fldChar w:fldCharType="end"/>
    </w:r>
    <w:r w:rsidRPr="00CA4A8C">
      <w:rPr>
        <w:rFonts w:ascii="Arial" w:hAnsi="Arial" w:cs="Arial"/>
        <w:sz w:val="22"/>
        <w:szCs w:val="22"/>
      </w:rPr>
      <w:t xml:space="preserve"> (celkem </w:t>
    </w:r>
    <w:r w:rsidRPr="00CA4A8C">
      <w:rPr>
        <w:rFonts w:ascii="Arial" w:hAnsi="Arial" w:cs="Arial"/>
        <w:sz w:val="22"/>
        <w:szCs w:val="22"/>
      </w:rPr>
      <w:fldChar w:fldCharType="begin"/>
    </w:r>
    <w:r w:rsidRPr="00CA4A8C">
      <w:rPr>
        <w:rFonts w:ascii="Arial" w:hAnsi="Arial" w:cs="Arial"/>
        <w:sz w:val="22"/>
        <w:szCs w:val="22"/>
      </w:rPr>
      <w:instrText>NUMPAGES</w:instrText>
    </w:r>
    <w:r w:rsidRPr="00CA4A8C">
      <w:rPr>
        <w:rFonts w:ascii="Arial" w:hAnsi="Arial" w:cs="Arial"/>
        <w:sz w:val="22"/>
        <w:szCs w:val="22"/>
      </w:rPr>
      <w:fldChar w:fldCharType="separate"/>
    </w:r>
    <w:r w:rsidR="00CB128B">
      <w:rPr>
        <w:rFonts w:ascii="Arial" w:hAnsi="Arial" w:cs="Arial"/>
        <w:noProof/>
        <w:sz w:val="22"/>
        <w:szCs w:val="22"/>
      </w:rPr>
      <w:t>14</w:t>
    </w:r>
    <w:r w:rsidRPr="00CA4A8C">
      <w:rPr>
        <w:rFonts w:ascii="Arial" w:hAnsi="Arial" w:cs="Arial"/>
        <w:sz w:val="22"/>
        <w:szCs w:val="22"/>
      </w:rPr>
      <w:fldChar w:fldCharType="end"/>
    </w:r>
    <w:r w:rsidRPr="00CA4A8C">
      <w:rPr>
        <w:rFonts w:ascii="Arial" w:hAnsi="Arial" w:cs="Arial"/>
        <w:sz w:val="22"/>
        <w:szCs w:val="22"/>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C4412" w14:textId="77777777" w:rsidR="00B267B9" w:rsidRPr="00520D14" w:rsidRDefault="00B267B9">
    <w:pPr>
      <w:pStyle w:val="Zpat"/>
      <w:jc w:val="center"/>
      <w:rPr>
        <w:sz w:val="22"/>
        <w:szCs w:val="22"/>
      </w:rPr>
    </w:pPr>
    <w:r w:rsidRPr="00520D14">
      <w:rPr>
        <w:sz w:val="22"/>
        <w:szCs w:val="22"/>
      </w:rPr>
      <w:fldChar w:fldCharType="begin"/>
    </w:r>
    <w:r w:rsidRPr="00520D14">
      <w:rPr>
        <w:sz w:val="22"/>
        <w:szCs w:val="22"/>
      </w:rPr>
      <w:instrText>PAGE   \* MERGEFORMAT</w:instrText>
    </w:r>
    <w:r w:rsidRPr="00520D14">
      <w:rPr>
        <w:sz w:val="22"/>
        <w:szCs w:val="22"/>
      </w:rPr>
      <w:fldChar w:fldCharType="separate"/>
    </w:r>
    <w:r w:rsidR="00CB128B">
      <w:rPr>
        <w:noProof/>
        <w:sz w:val="22"/>
        <w:szCs w:val="22"/>
      </w:rPr>
      <w:t>1</w:t>
    </w:r>
    <w:r w:rsidRPr="00520D14">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AD60DA" w14:textId="77777777" w:rsidR="00A11897" w:rsidRDefault="00A11897">
      <w:r>
        <w:separator/>
      </w:r>
    </w:p>
  </w:footnote>
  <w:footnote w:type="continuationSeparator" w:id="0">
    <w:p w14:paraId="5B684BBC" w14:textId="77777777" w:rsidR="00A11897" w:rsidRDefault="00A118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4282A"/>
    <w:multiLevelType w:val="hybridMultilevel"/>
    <w:tmpl w:val="F9D2771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15:restartNumberingAfterBreak="0">
    <w:nsid w:val="073D61BD"/>
    <w:multiLevelType w:val="hybridMultilevel"/>
    <w:tmpl w:val="F162D3BC"/>
    <w:lvl w:ilvl="0" w:tplc="703AFBE0">
      <w:start w:val="1"/>
      <w:numFmt w:val="decimal"/>
      <w:lvlText w:val="%1."/>
      <w:lvlJc w:val="left"/>
      <w:pPr>
        <w:tabs>
          <w:tab w:val="num" w:pos="720"/>
        </w:tabs>
        <w:ind w:left="720" w:hanging="360"/>
      </w:pPr>
      <w:rPr>
        <w:b w:val="0"/>
        <w:bCs w:val="0"/>
        <w:sz w:val="24"/>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F735586"/>
    <w:multiLevelType w:val="hybridMultilevel"/>
    <w:tmpl w:val="6C88239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492DDA"/>
    <w:multiLevelType w:val="hybridMultilevel"/>
    <w:tmpl w:val="8B1C517E"/>
    <w:lvl w:ilvl="0" w:tplc="8CC6231E">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F6A6876"/>
    <w:multiLevelType w:val="hybridMultilevel"/>
    <w:tmpl w:val="BB4E12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FFD6802"/>
    <w:multiLevelType w:val="hybridMultilevel"/>
    <w:tmpl w:val="907414BA"/>
    <w:lvl w:ilvl="0" w:tplc="B48498E0">
      <w:start w:val="8"/>
      <w:numFmt w:val="bullet"/>
      <w:lvlText w:val="-"/>
      <w:lvlJc w:val="left"/>
      <w:pPr>
        <w:tabs>
          <w:tab w:val="num" w:pos="1380"/>
        </w:tabs>
        <w:ind w:left="1380" w:hanging="360"/>
      </w:pPr>
      <w:rPr>
        <w:rFonts w:ascii="Times New Roman" w:eastAsia="Times New Roman" w:hAnsi="Times New Roman" w:hint="default"/>
      </w:rPr>
    </w:lvl>
    <w:lvl w:ilvl="1" w:tplc="0405000F">
      <w:start w:val="1"/>
      <w:numFmt w:val="decimal"/>
      <w:lvlText w:val="%2."/>
      <w:lvlJc w:val="left"/>
      <w:pPr>
        <w:tabs>
          <w:tab w:val="num" w:pos="1440"/>
        </w:tabs>
        <w:ind w:left="1440" w:hanging="360"/>
      </w:pPr>
      <w:rPr>
        <w:rFonts w:hint="default"/>
      </w:rPr>
    </w:lvl>
    <w:lvl w:ilvl="2" w:tplc="8A567AB0">
      <w:start w:val="1"/>
      <w:numFmt w:val="upperRoman"/>
      <w:lvlText w:val="%3."/>
      <w:lvlJc w:val="left"/>
      <w:pPr>
        <w:tabs>
          <w:tab w:val="num" w:pos="2520"/>
        </w:tabs>
        <w:ind w:left="2520" w:hanging="720"/>
      </w:pPr>
      <w:rPr>
        <w:rFont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228C1735"/>
    <w:multiLevelType w:val="hybridMultilevel"/>
    <w:tmpl w:val="FF3E70B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2636144D"/>
    <w:multiLevelType w:val="hybridMultilevel"/>
    <w:tmpl w:val="A5C05B5C"/>
    <w:lvl w:ilvl="0" w:tplc="6A862F02">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E814B08"/>
    <w:multiLevelType w:val="hybridMultilevel"/>
    <w:tmpl w:val="70F4C34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F4A5D1E"/>
    <w:multiLevelType w:val="hybridMultilevel"/>
    <w:tmpl w:val="0414B8D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19151C3"/>
    <w:multiLevelType w:val="hybridMultilevel"/>
    <w:tmpl w:val="C40A4C84"/>
    <w:lvl w:ilvl="0" w:tplc="04050001">
      <w:start w:val="1"/>
      <w:numFmt w:val="bullet"/>
      <w:lvlText w:val=""/>
      <w:lvlJc w:val="left"/>
      <w:pPr>
        <w:tabs>
          <w:tab w:val="num" w:pos="972"/>
        </w:tabs>
        <w:ind w:left="972" w:hanging="360"/>
      </w:pPr>
      <w:rPr>
        <w:rFonts w:ascii="Symbol" w:hAnsi="Symbol" w:hint="default"/>
      </w:rPr>
    </w:lvl>
    <w:lvl w:ilvl="1" w:tplc="04050003" w:tentative="1">
      <w:start w:val="1"/>
      <w:numFmt w:val="bullet"/>
      <w:lvlText w:val="o"/>
      <w:lvlJc w:val="left"/>
      <w:pPr>
        <w:tabs>
          <w:tab w:val="num" w:pos="1692"/>
        </w:tabs>
        <w:ind w:left="1692" w:hanging="360"/>
      </w:pPr>
      <w:rPr>
        <w:rFonts w:ascii="Courier New" w:hAnsi="Courier New" w:cs="Courier New" w:hint="default"/>
      </w:rPr>
    </w:lvl>
    <w:lvl w:ilvl="2" w:tplc="04050005" w:tentative="1">
      <w:start w:val="1"/>
      <w:numFmt w:val="bullet"/>
      <w:lvlText w:val=""/>
      <w:lvlJc w:val="left"/>
      <w:pPr>
        <w:tabs>
          <w:tab w:val="num" w:pos="2412"/>
        </w:tabs>
        <w:ind w:left="2412" w:hanging="360"/>
      </w:pPr>
      <w:rPr>
        <w:rFonts w:ascii="Wingdings" w:hAnsi="Wingdings" w:hint="default"/>
      </w:rPr>
    </w:lvl>
    <w:lvl w:ilvl="3" w:tplc="04050001" w:tentative="1">
      <w:start w:val="1"/>
      <w:numFmt w:val="bullet"/>
      <w:lvlText w:val=""/>
      <w:lvlJc w:val="left"/>
      <w:pPr>
        <w:tabs>
          <w:tab w:val="num" w:pos="3132"/>
        </w:tabs>
        <w:ind w:left="3132" w:hanging="360"/>
      </w:pPr>
      <w:rPr>
        <w:rFonts w:ascii="Symbol" w:hAnsi="Symbol" w:hint="default"/>
      </w:rPr>
    </w:lvl>
    <w:lvl w:ilvl="4" w:tplc="04050003" w:tentative="1">
      <w:start w:val="1"/>
      <w:numFmt w:val="bullet"/>
      <w:lvlText w:val="o"/>
      <w:lvlJc w:val="left"/>
      <w:pPr>
        <w:tabs>
          <w:tab w:val="num" w:pos="3852"/>
        </w:tabs>
        <w:ind w:left="3852" w:hanging="360"/>
      </w:pPr>
      <w:rPr>
        <w:rFonts w:ascii="Courier New" w:hAnsi="Courier New" w:cs="Courier New" w:hint="default"/>
      </w:rPr>
    </w:lvl>
    <w:lvl w:ilvl="5" w:tplc="04050005" w:tentative="1">
      <w:start w:val="1"/>
      <w:numFmt w:val="bullet"/>
      <w:lvlText w:val=""/>
      <w:lvlJc w:val="left"/>
      <w:pPr>
        <w:tabs>
          <w:tab w:val="num" w:pos="4572"/>
        </w:tabs>
        <w:ind w:left="4572" w:hanging="360"/>
      </w:pPr>
      <w:rPr>
        <w:rFonts w:ascii="Wingdings" w:hAnsi="Wingdings" w:hint="default"/>
      </w:rPr>
    </w:lvl>
    <w:lvl w:ilvl="6" w:tplc="04050001" w:tentative="1">
      <w:start w:val="1"/>
      <w:numFmt w:val="bullet"/>
      <w:lvlText w:val=""/>
      <w:lvlJc w:val="left"/>
      <w:pPr>
        <w:tabs>
          <w:tab w:val="num" w:pos="5292"/>
        </w:tabs>
        <w:ind w:left="5292" w:hanging="360"/>
      </w:pPr>
      <w:rPr>
        <w:rFonts w:ascii="Symbol" w:hAnsi="Symbol" w:hint="default"/>
      </w:rPr>
    </w:lvl>
    <w:lvl w:ilvl="7" w:tplc="04050003" w:tentative="1">
      <w:start w:val="1"/>
      <w:numFmt w:val="bullet"/>
      <w:lvlText w:val="o"/>
      <w:lvlJc w:val="left"/>
      <w:pPr>
        <w:tabs>
          <w:tab w:val="num" w:pos="6012"/>
        </w:tabs>
        <w:ind w:left="6012" w:hanging="360"/>
      </w:pPr>
      <w:rPr>
        <w:rFonts w:ascii="Courier New" w:hAnsi="Courier New" w:cs="Courier New" w:hint="default"/>
      </w:rPr>
    </w:lvl>
    <w:lvl w:ilvl="8" w:tplc="04050005" w:tentative="1">
      <w:start w:val="1"/>
      <w:numFmt w:val="bullet"/>
      <w:lvlText w:val=""/>
      <w:lvlJc w:val="left"/>
      <w:pPr>
        <w:tabs>
          <w:tab w:val="num" w:pos="6732"/>
        </w:tabs>
        <w:ind w:left="6732" w:hanging="360"/>
      </w:pPr>
      <w:rPr>
        <w:rFonts w:ascii="Wingdings" w:hAnsi="Wingdings" w:hint="default"/>
      </w:rPr>
    </w:lvl>
  </w:abstractNum>
  <w:abstractNum w:abstractNumId="11" w15:restartNumberingAfterBreak="0">
    <w:nsid w:val="32BC25A0"/>
    <w:multiLevelType w:val="hybridMultilevel"/>
    <w:tmpl w:val="E9FAB77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15:restartNumberingAfterBreak="0">
    <w:nsid w:val="3A2151E5"/>
    <w:multiLevelType w:val="multilevel"/>
    <w:tmpl w:val="E892A53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3C6C34A3"/>
    <w:multiLevelType w:val="hybridMultilevel"/>
    <w:tmpl w:val="2D50B66E"/>
    <w:lvl w:ilvl="0" w:tplc="B48498E0">
      <w:start w:val="8"/>
      <w:numFmt w:val="bullet"/>
      <w:lvlText w:val="-"/>
      <w:lvlJc w:val="left"/>
      <w:pPr>
        <w:tabs>
          <w:tab w:val="num" w:pos="1380"/>
        </w:tabs>
        <w:ind w:left="138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BD85044"/>
    <w:multiLevelType w:val="hybridMultilevel"/>
    <w:tmpl w:val="286050C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CEA7E4A"/>
    <w:multiLevelType w:val="hybridMultilevel"/>
    <w:tmpl w:val="4F6A1FA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53547479"/>
    <w:multiLevelType w:val="hybridMultilevel"/>
    <w:tmpl w:val="CE34591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67812CE"/>
    <w:multiLevelType w:val="hybridMultilevel"/>
    <w:tmpl w:val="17927F30"/>
    <w:lvl w:ilvl="0" w:tplc="0405000F">
      <w:start w:val="1"/>
      <w:numFmt w:val="decimal"/>
      <w:lvlText w:val="%1."/>
      <w:lvlJc w:val="left"/>
      <w:pPr>
        <w:tabs>
          <w:tab w:val="num" w:pos="720"/>
        </w:tabs>
        <w:ind w:left="720" w:hanging="360"/>
      </w:pPr>
    </w:lvl>
    <w:lvl w:ilvl="1" w:tplc="B48498E0">
      <w:start w:val="8"/>
      <w:numFmt w:val="bullet"/>
      <w:lvlText w:val="-"/>
      <w:lvlJc w:val="left"/>
      <w:pPr>
        <w:tabs>
          <w:tab w:val="num" w:pos="1440"/>
        </w:tabs>
        <w:ind w:left="1440" w:hanging="360"/>
      </w:pPr>
      <w:rPr>
        <w:rFonts w:ascii="Times New Roman" w:eastAsia="Times New Roman" w:hAnsi="Times New Roman" w:hint="default"/>
      </w:rPr>
    </w:lvl>
    <w:lvl w:ilvl="2" w:tplc="0405000F">
      <w:start w:val="1"/>
      <w:numFmt w:val="decimal"/>
      <w:lvlText w:val="%3."/>
      <w:lvlJc w:val="left"/>
      <w:pPr>
        <w:tabs>
          <w:tab w:val="num" w:pos="2340"/>
        </w:tabs>
        <w:ind w:left="2340" w:hanging="36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5B050B2B"/>
    <w:multiLevelType w:val="multilevel"/>
    <w:tmpl w:val="36862642"/>
    <w:lvl w:ilvl="0">
      <w:start w:val="2"/>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9" w15:restartNumberingAfterBreak="0">
    <w:nsid w:val="5CE51718"/>
    <w:multiLevelType w:val="hybridMultilevel"/>
    <w:tmpl w:val="6CD25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FA00BF"/>
    <w:multiLevelType w:val="multilevel"/>
    <w:tmpl w:val="A42EE272"/>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1" w15:restartNumberingAfterBreak="0">
    <w:nsid w:val="5EA7688C"/>
    <w:multiLevelType w:val="hybridMultilevel"/>
    <w:tmpl w:val="EA3200E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15:restartNumberingAfterBreak="0">
    <w:nsid w:val="5EDE3F42"/>
    <w:multiLevelType w:val="hybridMultilevel"/>
    <w:tmpl w:val="EC004E02"/>
    <w:lvl w:ilvl="0" w:tplc="0405000F">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65D73F64"/>
    <w:multiLevelType w:val="hybridMultilevel"/>
    <w:tmpl w:val="49E2F5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61B286D"/>
    <w:multiLevelType w:val="multilevel"/>
    <w:tmpl w:val="47B2DC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8"/>
  </w:num>
  <w:num w:numId="2">
    <w:abstractNumId w:val="3"/>
  </w:num>
  <w:num w:numId="3">
    <w:abstractNumId w:val="21"/>
  </w:num>
  <w:num w:numId="4">
    <w:abstractNumId w:val="0"/>
  </w:num>
  <w:num w:numId="5">
    <w:abstractNumId w:val="11"/>
  </w:num>
  <w:num w:numId="6">
    <w:abstractNumId w:val="17"/>
  </w:num>
  <w:num w:numId="7">
    <w:abstractNumId w:val="13"/>
  </w:num>
  <w:num w:numId="8">
    <w:abstractNumId w:val="5"/>
  </w:num>
  <w:num w:numId="9">
    <w:abstractNumId w:val="1"/>
  </w:num>
  <w:num w:numId="10">
    <w:abstractNumId w:val="6"/>
  </w:num>
  <w:num w:numId="11">
    <w:abstractNumId w:val="14"/>
  </w:num>
  <w:num w:numId="12">
    <w:abstractNumId w:val="2"/>
  </w:num>
  <w:num w:numId="13">
    <w:abstractNumId w:val="9"/>
  </w:num>
  <w:num w:numId="14">
    <w:abstractNumId w:val="23"/>
  </w:num>
  <w:num w:numId="15">
    <w:abstractNumId w:val="15"/>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20"/>
  </w:num>
  <w:num w:numId="19">
    <w:abstractNumId w:val="18"/>
  </w:num>
  <w:num w:numId="20">
    <w:abstractNumId w:val="19"/>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24"/>
  </w:num>
  <w:num w:numId="24">
    <w:abstractNumId w:val="1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C55"/>
    <w:rsid w:val="00007E83"/>
    <w:rsid w:val="00010969"/>
    <w:rsid w:val="000134BD"/>
    <w:rsid w:val="00015F68"/>
    <w:rsid w:val="0001676C"/>
    <w:rsid w:val="00027609"/>
    <w:rsid w:val="000335F7"/>
    <w:rsid w:val="000354E5"/>
    <w:rsid w:val="00037CB4"/>
    <w:rsid w:val="00041515"/>
    <w:rsid w:val="00043B8A"/>
    <w:rsid w:val="00044EE1"/>
    <w:rsid w:val="00052E87"/>
    <w:rsid w:val="00053A4E"/>
    <w:rsid w:val="00054A2D"/>
    <w:rsid w:val="00054AD2"/>
    <w:rsid w:val="00054E8C"/>
    <w:rsid w:val="000557AB"/>
    <w:rsid w:val="000619A0"/>
    <w:rsid w:val="00062C44"/>
    <w:rsid w:val="00064436"/>
    <w:rsid w:val="00065907"/>
    <w:rsid w:val="00066621"/>
    <w:rsid w:val="00074A51"/>
    <w:rsid w:val="00076E35"/>
    <w:rsid w:val="00076E9C"/>
    <w:rsid w:val="0008232F"/>
    <w:rsid w:val="00093098"/>
    <w:rsid w:val="00093CAE"/>
    <w:rsid w:val="00095E4D"/>
    <w:rsid w:val="000970C1"/>
    <w:rsid w:val="000A0E44"/>
    <w:rsid w:val="000A1A3D"/>
    <w:rsid w:val="000A4BDF"/>
    <w:rsid w:val="000A579F"/>
    <w:rsid w:val="000A5FF6"/>
    <w:rsid w:val="000A7FF0"/>
    <w:rsid w:val="000B01C2"/>
    <w:rsid w:val="000B085C"/>
    <w:rsid w:val="000B1224"/>
    <w:rsid w:val="000B3B1B"/>
    <w:rsid w:val="000C4DEB"/>
    <w:rsid w:val="000C6CDF"/>
    <w:rsid w:val="000C7F33"/>
    <w:rsid w:val="000E00B6"/>
    <w:rsid w:val="000E3BE9"/>
    <w:rsid w:val="000E71AC"/>
    <w:rsid w:val="000E72B4"/>
    <w:rsid w:val="000F5DD8"/>
    <w:rsid w:val="000F5E5C"/>
    <w:rsid w:val="001002F1"/>
    <w:rsid w:val="00101F0C"/>
    <w:rsid w:val="00104ABF"/>
    <w:rsid w:val="0011027A"/>
    <w:rsid w:val="00110AAF"/>
    <w:rsid w:val="00114FBB"/>
    <w:rsid w:val="00115155"/>
    <w:rsid w:val="00123CFB"/>
    <w:rsid w:val="00124718"/>
    <w:rsid w:val="0012692B"/>
    <w:rsid w:val="0013608D"/>
    <w:rsid w:val="00140086"/>
    <w:rsid w:val="00142F14"/>
    <w:rsid w:val="00145705"/>
    <w:rsid w:val="00145A5A"/>
    <w:rsid w:val="0014667B"/>
    <w:rsid w:val="00146730"/>
    <w:rsid w:val="001557F4"/>
    <w:rsid w:val="001602A0"/>
    <w:rsid w:val="001626A2"/>
    <w:rsid w:val="00162859"/>
    <w:rsid w:val="00164FF9"/>
    <w:rsid w:val="00167EF1"/>
    <w:rsid w:val="00172B97"/>
    <w:rsid w:val="00172CE1"/>
    <w:rsid w:val="00173210"/>
    <w:rsid w:val="0018073E"/>
    <w:rsid w:val="001824A8"/>
    <w:rsid w:val="001848D8"/>
    <w:rsid w:val="00186108"/>
    <w:rsid w:val="00187BD5"/>
    <w:rsid w:val="001921E6"/>
    <w:rsid w:val="0019251C"/>
    <w:rsid w:val="00194FF9"/>
    <w:rsid w:val="00195697"/>
    <w:rsid w:val="0019599C"/>
    <w:rsid w:val="001A02E6"/>
    <w:rsid w:val="001A1E56"/>
    <w:rsid w:val="001A1E9B"/>
    <w:rsid w:val="001A290C"/>
    <w:rsid w:val="001A3D12"/>
    <w:rsid w:val="001A41F4"/>
    <w:rsid w:val="001A5B7F"/>
    <w:rsid w:val="001A66F1"/>
    <w:rsid w:val="001B176D"/>
    <w:rsid w:val="001B2B97"/>
    <w:rsid w:val="001B2EDE"/>
    <w:rsid w:val="001B4A12"/>
    <w:rsid w:val="001B6126"/>
    <w:rsid w:val="001B7B9F"/>
    <w:rsid w:val="001C1BAD"/>
    <w:rsid w:val="001C33C4"/>
    <w:rsid w:val="001C6E75"/>
    <w:rsid w:val="001C741E"/>
    <w:rsid w:val="001D3BB2"/>
    <w:rsid w:val="001D55D4"/>
    <w:rsid w:val="001D6885"/>
    <w:rsid w:val="001E57F4"/>
    <w:rsid w:val="001F33A5"/>
    <w:rsid w:val="00202FAC"/>
    <w:rsid w:val="00204537"/>
    <w:rsid w:val="00205563"/>
    <w:rsid w:val="00207389"/>
    <w:rsid w:val="00212028"/>
    <w:rsid w:val="00212ADB"/>
    <w:rsid w:val="002132CD"/>
    <w:rsid w:val="002151F1"/>
    <w:rsid w:val="00217309"/>
    <w:rsid w:val="0023382A"/>
    <w:rsid w:val="0023678C"/>
    <w:rsid w:val="00240806"/>
    <w:rsid w:val="00241479"/>
    <w:rsid w:val="00241C0B"/>
    <w:rsid w:val="002423CD"/>
    <w:rsid w:val="002441E1"/>
    <w:rsid w:val="00247E1B"/>
    <w:rsid w:val="00251DA1"/>
    <w:rsid w:val="00254415"/>
    <w:rsid w:val="002544B1"/>
    <w:rsid w:val="00254AB0"/>
    <w:rsid w:val="002561AE"/>
    <w:rsid w:val="00264ED3"/>
    <w:rsid w:val="0026659C"/>
    <w:rsid w:val="0027082B"/>
    <w:rsid w:val="00273215"/>
    <w:rsid w:val="00274773"/>
    <w:rsid w:val="002839F9"/>
    <w:rsid w:val="00287369"/>
    <w:rsid w:val="00287C1E"/>
    <w:rsid w:val="00291F07"/>
    <w:rsid w:val="002A05AB"/>
    <w:rsid w:val="002A154D"/>
    <w:rsid w:val="002A26E9"/>
    <w:rsid w:val="002A29FE"/>
    <w:rsid w:val="002B1DAC"/>
    <w:rsid w:val="002B333F"/>
    <w:rsid w:val="002C3CB4"/>
    <w:rsid w:val="002C6EC1"/>
    <w:rsid w:val="002D1C87"/>
    <w:rsid w:val="002E205F"/>
    <w:rsid w:val="002E4804"/>
    <w:rsid w:val="002F055A"/>
    <w:rsid w:val="002F179E"/>
    <w:rsid w:val="002F1C23"/>
    <w:rsid w:val="002F3078"/>
    <w:rsid w:val="002F3AA9"/>
    <w:rsid w:val="00312D8E"/>
    <w:rsid w:val="003164D1"/>
    <w:rsid w:val="003250FF"/>
    <w:rsid w:val="00335565"/>
    <w:rsid w:val="00337EFC"/>
    <w:rsid w:val="003415F3"/>
    <w:rsid w:val="00344FAE"/>
    <w:rsid w:val="00347B8B"/>
    <w:rsid w:val="003500F9"/>
    <w:rsid w:val="0035672B"/>
    <w:rsid w:val="00357926"/>
    <w:rsid w:val="0036028E"/>
    <w:rsid w:val="00367F13"/>
    <w:rsid w:val="00377F25"/>
    <w:rsid w:val="0038334E"/>
    <w:rsid w:val="00387530"/>
    <w:rsid w:val="003A3705"/>
    <w:rsid w:val="003B0AC2"/>
    <w:rsid w:val="003B4764"/>
    <w:rsid w:val="003B6829"/>
    <w:rsid w:val="003C00DD"/>
    <w:rsid w:val="003C332E"/>
    <w:rsid w:val="003C3A84"/>
    <w:rsid w:val="003C62C7"/>
    <w:rsid w:val="003D093D"/>
    <w:rsid w:val="003D2024"/>
    <w:rsid w:val="003D276A"/>
    <w:rsid w:val="003D650B"/>
    <w:rsid w:val="003D7BF5"/>
    <w:rsid w:val="003F657C"/>
    <w:rsid w:val="0040041F"/>
    <w:rsid w:val="00406325"/>
    <w:rsid w:val="004111C8"/>
    <w:rsid w:val="00411281"/>
    <w:rsid w:val="00417825"/>
    <w:rsid w:val="00420190"/>
    <w:rsid w:val="0042190D"/>
    <w:rsid w:val="00424E90"/>
    <w:rsid w:val="004332CF"/>
    <w:rsid w:val="004334B4"/>
    <w:rsid w:val="0043494F"/>
    <w:rsid w:val="004360FF"/>
    <w:rsid w:val="00436F0B"/>
    <w:rsid w:val="00441559"/>
    <w:rsid w:val="00453B25"/>
    <w:rsid w:val="004613C6"/>
    <w:rsid w:val="00462BBC"/>
    <w:rsid w:val="00464AAC"/>
    <w:rsid w:val="00464CC7"/>
    <w:rsid w:val="004707AE"/>
    <w:rsid w:val="00475BF1"/>
    <w:rsid w:val="0047605B"/>
    <w:rsid w:val="00481535"/>
    <w:rsid w:val="00483817"/>
    <w:rsid w:val="00484AC3"/>
    <w:rsid w:val="004900B2"/>
    <w:rsid w:val="004952B5"/>
    <w:rsid w:val="004A3338"/>
    <w:rsid w:val="004A3B5C"/>
    <w:rsid w:val="004A4FEA"/>
    <w:rsid w:val="004A62FA"/>
    <w:rsid w:val="004A6F2E"/>
    <w:rsid w:val="004B06E4"/>
    <w:rsid w:val="004C095D"/>
    <w:rsid w:val="004C1F2F"/>
    <w:rsid w:val="004C58A9"/>
    <w:rsid w:val="004C5C57"/>
    <w:rsid w:val="004D03AB"/>
    <w:rsid w:val="004E36F8"/>
    <w:rsid w:val="004F00D3"/>
    <w:rsid w:val="004F6C1A"/>
    <w:rsid w:val="00502F23"/>
    <w:rsid w:val="00505B74"/>
    <w:rsid w:val="00506235"/>
    <w:rsid w:val="00512194"/>
    <w:rsid w:val="00520D14"/>
    <w:rsid w:val="005213A9"/>
    <w:rsid w:val="005223EE"/>
    <w:rsid w:val="00522DBE"/>
    <w:rsid w:val="005277CD"/>
    <w:rsid w:val="005348B1"/>
    <w:rsid w:val="00540F7C"/>
    <w:rsid w:val="00544316"/>
    <w:rsid w:val="00544898"/>
    <w:rsid w:val="00546992"/>
    <w:rsid w:val="00550A09"/>
    <w:rsid w:val="005513AA"/>
    <w:rsid w:val="00552B0F"/>
    <w:rsid w:val="00554C8A"/>
    <w:rsid w:val="00556ED7"/>
    <w:rsid w:val="00556FCF"/>
    <w:rsid w:val="00557752"/>
    <w:rsid w:val="00560C68"/>
    <w:rsid w:val="005646E8"/>
    <w:rsid w:val="00571D45"/>
    <w:rsid w:val="005735F5"/>
    <w:rsid w:val="00586F0C"/>
    <w:rsid w:val="0059677F"/>
    <w:rsid w:val="00597FEB"/>
    <w:rsid w:val="005A16C6"/>
    <w:rsid w:val="005A1D7B"/>
    <w:rsid w:val="005A278E"/>
    <w:rsid w:val="005A2D28"/>
    <w:rsid w:val="005A325F"/>
    <w:rsid w:val="005A3AC6"/>
    <w:rsid w:val="005A3D7D"/>
    <w:rsid w:val="005A5A03"/>
    <w:rsid w:val="005B1037"/>
    <w:rsid w:val="005B2A98"/>
    <w:rsid w:val="005B59D2"/>
    <w:rsid w:val="005C610B"/>
    <w:rsid w:val="005D5146"/>
    <w:rsid w:val="005E3994"/>
    <w:rsid w:val="005E7888"/>
    <w:rsid w:val="005F3C38"/>
    <w:rsid w:val="005F6129"/>
    <w:rsid w:val="005F77BA"/>
    <w:rsid w:val="0060023D"/>
    <w:rsid w:val="00601B36"/>
    <w:rsid w:val="00602BA4"/>
    <w:rsid w:val="006053DA"/>
    <w:rsid w:val="00607570"/>
    <w:rsid w:val="00612FF4"/>
    <w:rsid w:val="00616956"/>
    <w:rsid w:val="0062345F"/>
    <w:rsid w:val="006239BC"/>
    <w:rsid w:val="006270E5"/>
    <w:rsid w:val="00633AD7"/>
    <w:rsid w:val="00637711"/>
    <w:rsid w:val="006418D9"/>
    <w:rsid w:val="00641AB8"/>
    <w:rsid w:val="00641D6D"/>
    <w:rsid w:val="0064295A"/>
    <w:rsid w:val="006430A8"/>
    <w:rsid w:val="006440ED"/>
    <w:rsid w:val="00653E37"/>
    <w:rsid w:val="00656533"/>
    <w:rsid w:val="00661AC9"/>
    <w:rsid w:val="00666592"/>
    <w:rsid w:val="006707E2"/>
    <w:rsid w:val="00686EDF"/>
    <w:rsid w:val="00695B2F"/>
    <w:rsid w:val="006A5ACC"/>
    <w:rsid w:val="006B5515"/>
    <w:rsid w:val="006B6572"/>
    <w:rsid w:val="006B66EE"/>
    <w:rsid w:val="006B6BB4"/>
    <w:rsid w:val="006B7F93"/>
    <w:rsid w:val="006C37DC"/>
    <w:rsid w:val="006D0911"/>
    <w:rsid w:val="006D13F3"/>
    <w:rsid w:val="006D4529"/>
    <w:rsid w:val="006D6FEC"/>
    <w:rsid w:val="006F1E98"/>
    <w:rsid w:val="006F33C4"/>
    <w:rsid w:val="006F519C"/>
    <w:rsid w:val="006F68C2"/>
    <w:rsid w:val="007071E8"/>
    <w:rsid w:val="007148D1"/>
    <w:rsid w:val="007175EB"/>
    <w:rsid w:val="00723688"/>
    <w:rsid w:val="0073237A"/>
    <w:rsid w:val="00734353"/>
    <w:rsid w:val="0074761F"/>
    <w:rsid w:val="00762F91"/>
    <w:rsid w:val="0076637C"/>
    <w:rsid w:val="00766E98"/>
    <w:rsid w:val="007801AD"/>
    <w:rsid w:val="007908EB"/>
    <w:rsid w:val="00792F01"/>
    <w:rsid w:val="007952FD"/>
    <w:rsid w:val="007960B6"/>
    <w:rsid w:val="007A0952"/>
    <w:rsid w:val="007A3FC1"/>
    <w:rsid w:val="007B28C1"/>
    <w:rsid w:val="007C0515"/>
    <w:rsid w:val="007C27F2"/>
    <w:rsid w:val="007C2824"/>
    <w:rsid w:val="007C5FA9"/>
    <w:rsid w:val="007C7CA7"/>
    <w:rsid w:val="007D38AF"/>
    <w:rsid w:val="007D5088"/>
    <w:rsid w:val="007E10E0"/>
    <w:rsid w:val="007E1127"/>
    <w:rsid w:val="007E1384"/>
    <w:rsid w:val="007E2ABA"/>
    <w:rsid w:val="007E43D5"/>
    <w:rsid w:val="007E5911"/>
    <w:rsid w:val="007E6DCF"/>
    <w:rsid w:val="007E6DF7"/>
    <w:rsid w:val="007F0C8F"/>
    <w:rsid w:val="007F1990"/>
    <w:rsid w:val="007F27E9"/>
    <w:rsid w:val="007F4D22"/>
    <w:rsid w:val="007F5A07"/>
    <w:rsid w:val="007F6497"/>
    <w:rsid w:val="007F7CC9"/>
    <w:rsid w:val="00804406"/>
    <w:rsid w:val="008045D8"/>
    <w:rsid w:val="00807283"/>
    <w:rsid w:val="008132EC"/>
    <w:rsid w:val="00825F4A"/>
    <w:rsid w:val="008266B2"/>
    <w:rsid w:val="008275AF"/>
    <w:rsid w:val="008372E9"/>
    <w:rsid w:val="008411A3"/>
    <w:rsid w:val="00847354"/>
    <w:rsid w:val="0084738F"/>
    <w:rsid w:val="00850594"/>
    <w:rsid w:val="0085141E"/>
    <w:rsid w:val="008517E2"/>
    <w:rsid w:val="00853731"/>
    <w:rsid w:val="00855681"/>
    <w:rsid w:val="00860C55"/>
    <w:rsid w:val="0086202E"/>
    <w:rsid w:val="00864230"/>
    <w:rsid w:val="0087138F"/>
    <w:rsid w:val="008777EA"/>
    <w:rsid w:val="008778AA"/>
    <w:rsid w:val="00882700"/>
    <w:rsid w:val="0089108F"/>
    <w:rsid w:val="00891E32"/>
    <w:rsid w:val="00896EB3"/>
    <w:rsid w:val="008A46C8"/>
    <w:rsid w:val="008A7E7F"/>
    <w:rsid w:val="008B0279"/>
    <w:rsid w:val="008B0E49"/>
    <w:rsid w:val="008B2AE4"/>
    <w:rsid w:val="008B436A"/>
    <w:rsid w:val="008B55BA"/>
    <w:rsid w:val="008C04A6"/>
    <w:rsid w:val="008D1AFB"/>
    <w:rsid w:val="008D1D31"/>
    <w:rsid w:val="008D447E"/>
    <w:rsid w:val="008D6FE0"/>
    <w:rsid w:val="008E1A88"/>
    <w:rsid w:val="008E4584"/>
    <w:rsid w:val="008E6BCD"/>
    <w:rsid w:val="008F1CF8"/>
    <w:rsid w:val="008F3D2C"/>
    <w:rsid w:val="008F7AA8"/>
    <w:rsid w:val="009056DD"/>
    <w:rsid w:val="00910553"/>
    <w:rsid w:val="009115CF"/>
    <w:rsid w:val="00911C9F"/>
    <w:rsid w:val="009244BD"/>
    <w:rsid w:val="00926CB8"/>
    <w:rsid w:val="0093608F"/>
    <w:rsid w:val="00940D54"/>
    <w:rsid w:val="00942FA3"/>
    <w:rsid w:val="00952E4D"/>
    <w:rsid w:val="00955B0B"/>
    <w:rsid w:val="00965398"/>
    <w:rsid w:val="00972C7C"/>
    <w:rsid w:val="00980CBB"/>
    <w:rsid w:val="00980FEA"/>
    <w:rsid w:val="009853DA"/>
    <w:rsid w:val="00985528"/>
    <w:rsid w:val="009857E4"/>
    <w:rsid w:val="00987563"/>
    <w:rsid w:val="009945AB"/>
    <w:rsid w:val="009A2376"/>
    <w:rsid w:val="009A4BAA"/>
    <w:rsid w:val="009B0215"/>
    <w:rsid w:val="009B1CD8"/>
    <w:rsid w:val="009B2879"/>
    <w:rsid w:val="009B435F"/>
    <w:rsid w:val="009B66D5"/>
    <w:rsid w:val="009B77FA"/>
    <w:rsid w:val="009C42B5"/>
    <w:rsid w:val="009C61AA"/>
    <w:rsid w:val="009C7FEE"/>
    <w:rsid w:val="009D3EF8"/>
    <w:rsid w:val="009D6388"/>
    <w:rsid w:val="009E069C"/>
    <w:rsid w:val="009E1556"/>
    <w:rsid w:val="009E1CBD"/>
    <w:rsid w:val="009E44F6"/>
    <w:rsid w:val="00A00F61"/>
    <w:rsid w:val="00A11897"/>
    <w:rsid w:val="00A1223A"/>
    <w:rsid w:val="00A146C7"/>
    <w:rsid w:val="00A14D59"/>
    <w:rsid w:val="00A157B9"/>
    <w:rsid w:val="00A1699D"/>
    <w:rsid w:val="00A17317"/>
    <w:rsid w:val="00A1761E"/>
    <w:rsid w:val="00A17CA7"/>
    <w:rsid w:val="00A20143"/>
    <w:rsid w:val="00A44E0E"/>
    <w:rsid w:val="00A60645"/>
    <w:rsid w:val="00A66D47"/>
    <w:rsid w:val="00A77EEC"/>
    <w:rsid w:val="00A81308"/>
    <w:rsid w:val="00A8331D"/>
    <w:rsid w:val="00A92DEC"/>
    <w:rsid w:val="00A964FB"/>
    <w:rsid w:val="00A9686A"/>
    <w:rsid w:val="00A97DE5"/>
    <w:rsid w:val="00AA699C"/>
    <w:rsid w:val="00AB0CC3"/>
    <w:rsid w:val="00AB3F90"/>
    <w:rsid w:val="00AB5C27"/>
    <w:rsid w:val="00AC3701"/>
    <w:rsid w:val="00AC469B"/>
    <w:rsid w:val="00AD0FBE"/>
    <w:rsid w:val="00AD2FC9"/>
    <w:rsid w:val="00AD59F5"/>
    <w:rsid w:val="00AE787E"/>
    <w:rsid w:val="00AF016A"/>
    <w:rsid w:val="00AF6343"/>
    <w:rsid w:val="00B028CF"/>
    <w:rsid w:val="00B03196"/>
    <w:rsid w:val="00B103F7"/>
    <w:rsid w:val="00B12E11"/>
    <w:rsid w:val="00B13389"/>
    <w:rsid w:val="00B17870"/>
    <w:rsid w:val="00B20195"/>
    <w:rsid w:val="00B227D7"/>
    <w:rsid w:val="00B267B9"/>
    <w:rsid w:val="00B31B2B"/>
    <w:rsid w:val="00B377C4"/>
    <w:rsid w:val="00B4067C"/>
    <w:rsid w:val="00B4073D"/>
    <w:rsid w:val="00B4184A"/>
    <w:rsid w:val="00B47F56"/>
    <w:rsid w:val="00B47F63"/>
    <w:rsid w:val="00B53250"/>
    <w:rsid w:val="00B62844"/>
    <w:rsid w:val="00B62EBB"/>
    <w:rsid w:val="00B6629E"/>
    <w:rsid w:val="00B677BA"/>
    <w:rsid w:val="00B72696"/>
    <w:rsid w:val="00B75488"/>
    <w:rsid w:val="00B754CD"/>
    <w:rsid w:val="00B77102"/>
    <w:rsid w:val="00B81330"/>
    <w:rsid w:val="00B81E22"/>
    <w:rsid w:val="00B91457"/>
    <w:rsid w:val="00B92480"/>
    <w:rsid w:val="00B92C63"/>
    <w:rsid w:val="00B977EB"/>
    <w:rsid w:val="00BA003D"/>
    <w:rsid w:val="00BA65C4"/>
    <w:rsid w:val="00BA7450"/>
    <w:rsid w:val="00BA7DC0"/>
    <w:rsid w:val="00BB0814"/>
    <w:rsid w:val="00BB506B"/>
    <w:rsid w:val="00BC46A4"/>
    <w:rsid w:val="00BD2673"/>
    <w:rsid w:val="00BD3415"/>
    <w:rsid w:val="00BD5685"/>
    <w:rsid w:val="00BE631E"/>
    <w:rsid w:val="00BF2659"/>
    <w:rsid w:val="00BF345C"/>
    <w:rsid w:val="00BF65D6"/>
    <w:rsid w:val="00BF6B3F"/>
    <w:rsid w:val="00C24201"/>
    <w:rsid w:val="00C31A37"/>
    <w:rsid w:val="00C31F3B"/>
    <w:rsid w:val="00C32DF9"/>
    <w:rsid w:val="00C3352C"/>
    <w:rsid w:val="00C378D4"/>
    <w:rsid w:val="00C459F3"/>
    <w:rsid w:val="00C515EF"/>
    <w:rsid w:val="00C51A89"/>
    <w:rsid w:val="00C52155"/>
    <w:rsid w:val="00C57610"/>
    <w:rsid w:val="00C60E9F"/>
    <w:rsid w:val="00C62F79"/>
    <w:rsid w:val="00C67C06"/>
    <w:rsid w:val="00C7306B"/>
    <w:rsid w:val="00C74086"/>
    <w:rsid w:val="00CA0B69"/>
    <w:rsid w:val="00CB128B"/>
    <w:rsid w:val="00CB3500"/>
    <w:rsid w:val="00CB3D5D"/>
    <w:rsid w:val="00CB7577"/>
    <w:rsid w:val="00CC08DC"/>
    <w:rsid w:val="00CC297A"/>
    <w:rsid w:val="00CC4651"/>
    <w:rsid w:val="00CE1F84"/>
    <w:rsid w:val="00CE3BBE"/>
    <w:rsid w:val="00CE42CA"/>
    <w:rsid w:val="00CF1E0C"/>
    <w:rsid w:val="00D00D44"/>
    <w:rsid w:val="00D01DDC"/>
    <w:rsid w:val="00D02D24"/>
    <w:rsid w:val="00D04B48"/>
    <w:rsid w:val="00D06CF9"/>
    <w:rsid w:val="00D152C2"/>
    <w:rsid w:val="00D22D79"/>
    <w:rsid w:val="00D22F63"/>
    <w:rsid w:val="00D2562A"/>
    <w:rsid w:val="00D25889"/>
    <w:rsid w:val="00D25FBD"/>
    <w:rsid w:val="00D37FFA"/>
    <w:rsid w:val="00D406CE"/>
    <w:rsid w:val="00D40886"/>
    <w:rsid w:val="00D44F14"/>
    <w:rsid w:val="00D53477"/>
    <w:rsid w:val="00D53649"/>
    <w:rsid w:val="00D5428F"/>
    <w:rsid w:val="00D54840"/>
    <w:rsid w:val="00D55EB5"/>
    <w:rsid w:val="00D600EC"/>
    <w:rsid w:val="00D603D9"/>
    <w:rsid w:val="00D6475C"/>
    <w:rsid w:val="00D72169"/>
    <w:rsid w:val="00D745B8"/>
    <w:rsid w:val="00D80871"/>
    <w:rsid w:val="00D80C10"/>
    <w:rsid w:val="00D841C9"/>
    <w:rsid w:val="00D859A6"/>
    <w:rsid w:val="00D86EEB"/>
    <w:rsid w:val="00D904F7"/>
    <w:rsid w:val="00D9521B"/>
    <w:rsid w:val="00DA0EB6"/>
    <w:rsid w:val="00DB01C8"/>
    <w:rsid w:val="00DB127A"/>
    <w:rsid w:val="00DB2C0D"/>
    <w:rsid w:val="00DB6E01"/>
    <w:rsid w:val="00DB7A85"/>
    <w:rsid w:val="00DC756F"/>
    <w:rsid w:val="00DD79A9"/>
    <w:rsid w:val="00DE3503"/>
    <w:rsid w:val="00DE3822"/>
    <w:rsid w:val="00DE3EF8"/>
    <w:rsid w:val="00DE5945"/>
    <w:rsid w:val="00DE6B25"/>
    <w:rsid w:val="00DF1B87"/>
    <w:rsid w:val="00DF31E1"/>
    <w:rsid w:val="00DF3762"/>
    <w:rsid w:val="00DF3F5B"/>
    <w:rsid w:val="00E01EE8"/>
    <w:rsid w:val="00E03628"/>
    <w:rsid w:val="00E111E0"/>
    <w:rsid w:val="00E13CF6"/>
    <w:rsid w:val="00E16264"/>
    <w:rsid w:val="00E176E4"/>
    <w:rsid w:val="00E22424"/>
    <w:rsid w:val="00E2323E"/>
    <w:rsid w:val="00E235D5"/>
    <w:rsid w:val="00E240F5"/>
    <w:rsid w:val="00E338EF"/>
    <w:rsid w:val="00E364F6"/>
    <w:rsid w:val="00E366A7"/>
    <w:rsid w:val="00E37CAD"/>
    <w:rsid w:val="00E47DEE"/>
    <w:rsid w:val="00E50ACC"/>
    <w:rsid w:val="00E600F0"/>
    <w:rsid w:val="00E60774"/>
    <w:rsid w:val="00E61AE1"/>
    <w:rsid w:val="00E6253F"/>
    <w:rsid w:val="00E65B5C"/>
    <w:rsid w:val="00E71253"/>
    <w:rsid w:val="00E72C63"/>
    <w:rsid w:val="00E8534D"/>
    <w:rsid w:val="00E90993"/>
    <w:rsid w:val="00E92E6A"/>
    <w:rsid w:val="00EA10BC"/>
    <w:rsid w:val="00EA2489"/>
    <w:rsid w:val="00EA2608"/>
    <w:rsid w:val="00EA3AAA"/>
    <w:rsid w:val="00EA3B12"/>
    <w:rsid w:val="00EA4AB1"/>
    <w:rsid w:val="00EA50F1"/>
    <w:rsid w:val="00EB0498"/>
    <w:rsid w:val="00EB0F86"/>
    <w:rsid w:val="00EB165C"/>
    <w:rsid w:val="00EB203A"/>
    <w:rsid w:val="00EB21CE"/>
    <w:rsid w:val="00EB31F2"/>
    <w:rsid w:val="00EB415C"/>
    <w:rsid w:val="00EC24C4"/>
    <w:rsid w:val="00EC2BD0"/>
    <w:rsid w:val="00EC63A4"/>
    <w:rsid w:val="00ED5D41"/>
    <w:rsid w:val="00ED7CC7"/>
    <w:rsid w:val="00EE4780"/>
    <w:rsid w:val="00EF1A30"/>
    <w:rsid w:val="00EF6865"/>
    <w:rsid w:val="00F061DE"/>
    <w:rsid w:val="00F10183"/>
    <w:rsid w:val="00F1141D"/>
    <w:rsid w:val="00F11861"/>
    <w:rsid w:val="00F132A0"/>
    <w:rsid w:val="00F16BBF"/>
    <w:rsid w:val="00F22D12"/>
    <w:rsid w:val="00F23F9F"/>
    <w:rsid w:val="00F30AAA"/>
    <w:rsid w:val="00F31F46"/>
    <w:rsid w:val="00F40AA2"/>
    <w:rsid w:val="00F45328"/>
    <w:rsid w:val="00F45EFE"/>
    <w:rsid w:val="00F51D40"/>
    <w:rsid w:val="00F611E8"/>
    <w:rsid w:val="00F64D7B"/>
    <w:rsid w:val="00F71A08"/>
    <w:rsid w:val="00F73802"/>
    <w:rsid w:val="00F76DCD"/>
    <w:rsid w:val="00F830E9"/>
    <w:rsid w:val="00F85F55"/>
    <w:rsid w:val="00F86A64"/>
    <w:rsid w:val="00F90921"/>
    <w:rsid w:val="00FA6FA1"/>
    <w:rsid w:val="00FA6FC6"/>
    <w:rsid w:val="00FB0756"/>
    <w:rsid w:val="00FB79DD"/>
    <w:rsid w:val="00FC27E2"/>
    <w:rsid w:val="00FC6C31"/>
    <w:rsid w:val="00FD49B5"/>
    <w:rsid w:val="00FE084B"/>
    <w:rsid w:val="00FE1A7B"/>
    <w:rsid w:val="00FE3AB0"/>
    <w:rsid w:val="00FE5D6B"/>
    <w:rsid w:val="00FF0F02"/>
    <w:rsid w:val="00FF2A18"/>
    <w:rsid w:val="00FF6A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A87837"/>
  <w15:chartTrackingRefBased/>
  <w15:docId w15:val="{BEB004D8-3006-4C87-B671-6D5FC3035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47F63"/>
    <w:rPr>
      <w:rFonts w:ascii="Arial" w:hAnsi="Arial" w:cs="Arial"/>
      <w:sz w:val="24"/>
      <w:szCs w:val="24"/>
    </w:rPr>
  </w:style>
  <w:style w:type="paragraph" w:styleId="Nadpis1">
    <w:name w:val="heading 1"/>
    <w:basedOn w:val="Normln"/>
    <w:next w:val="Normln"/>
    <w:qFormat/>
    <w:pPr>
      <w:keepNext/>
      <w:jc w:val="center"/>
      <w:outlineLvl w:val="0"/>
    </w:pPr>
    <w:rPr>
      <w:b/>
      <w:bCs/>
    </w:rPr>
  </w:style>
  <w:style w:type="paragraph" w:styleId="Nadpis2">
    <w:name w:val="heading 2"/>
    <w:basedOn w:val="Normln"/>
    <w:next w:val="Normln"/>
    <w:qFormat/>
    <w:pPr>
      <w:keepNext/>
      <w:outlineLvl w:val="1"/>
    </w:pPr>
    <w:rPr>
      <w:b/>
      <w:bCs/>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style>
  <w:style w:type="character" w:styleId="Hypertextovodkaz">
    <w:name w:val="Hyperlink"/>
    <w:rPr>
      <w:color w:val="0000FF"/>
      <w:u w:val="single"/>
    </w:rPr>
  </w:style>
  <w:style w:type="paragraph" w:styleId="Rozloendokumentu">
    <w:name w:val="Document Map"/>
    <w:basedOn w:val="Normln"/>
    <w:semiHidden/>
    <w:rsid w:val="00E235D5"/>
    <w:pPr>
      <w:shd w:val="clear" w:color="auto" w:fill="000080"/>
    </w:pPr>
    <w:rPr>
      <w:rFonts w:ascii="Tahoma" w:hAnsi="Tahoma" w:cs="Tahoma"/>
      <w:sz w:val="20"/>
      <w:szCs w:val="20"/>
    </w:rPr>
  </w:style>
  <w:style w:type="paragraph" w:styleId="Textbubliny">
    <w:name w:val="Balloon Text"/>
    <w:basedOn w:val="Normln"/>
    <w:semiHidden/>
    <w:rsid w:val="00E235D5"/>
    <w:rPr>
      <w:rFonts w:ascii="Tahoma" w:hAnsi="Tahoma" w:cs="Tahoma"/>
      <w:sz w:val="16"/>
      <w:szCs w:val="16"/>
    </w:rPr>
  </w:style>
  <w:style w:type="character" w:styleId="Odkaznakoment">
    <w:name w:val="annotation reference"/>
    <w:semiHidden/>
    <w:rsid w:val="00B028CF"/>
    <w:rPr>
      <w:sz w:val="16"/>
      <w:szCs w:val="16"/>
    </w:rPr>
  </w:style>
  <w:style w:type="paragraph" w:styleId="Textkomente">
    <w:name w:val="annotation text"/>
    <w:basedOn w:val="Normln"/>
    <w:link w:val="TextkomenteChar"/>
    <w:semiHidden/>
    <w:rsid w:val="00B028CF"/>
    <w:rPr>
      <w:sz w:val="20"/>
      <w:szCs w:val="20"/>
    </w:rPr>
  </w:style>
  <w:style w:type="paragraph" w:styleId="Pedmtkomente">
    <w:name w:val="annotation subject"/>
    <w:basedOn w:val="Textkomente"/>
    <w:next w:val="Textkomente"/>
    <w:semiHidden/>
    <w:rsid w:val="00B028CF"/>
    <w:rPr>
      <w:b/>
      <w:bCs/>
    </w:rPr>
  </w:style>
  <w:style w:type="table" w:styleId="Mkatabulky">
    <w:name w:val="Table Grid"/>
    <w:basedOn w:val="Normlntabulka"/>
    <w:rsid w:val="005F7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link w:val="ZpatChar"/>
    <w:uiPriority w:val="99"/>
    <w:rsid w:val="00942FA3"/>
    <w:pPr>
      <w:tabs>
        <w:tab w:val="center" w:pos="4536"/>
        <w:tab w:val="right" w:pos="9072"/>
      </w:tabs>
    </w:pPr>
  </w:style>
  <w:style w:type="character" w:styleId="slostrnky">
    <w:name w:val="page number"/>
    <w:basedOn w:val="Standardnpsmoodstavce"/>
    <w:rsid w:val="00942FA3"/>
  </w:style>
  <w:style w:type="paragraph" w:styleId="Zhlav">
    <w:name w:val="header"/>
    <w:basedOn w:val="Normln"/>
    <w:rsid w:val="00942FA3"/>
    <w:pPr>
      <w:tabs>
        <w:tab w:val="center" w:pos="4536"/>
        <w:tab w:val="right" w:pos="9072"/>
      </w:tabs>
    </w:pPr>
  </w:style>
  <w:style w:type="paragraph" w:styleId="Podtitul">
    <w:name w:val="Subtitle"/>
    <w:basedOn w:val="Normln"/>
    <w:next w:val="Normln"/>
    <w:link w:val="PodtitulChar"/>
    <w:uiPriority w:val="11"/>
    <w:qFormat/>
    <w:rsid w:val="00E92E6A"/>
    <w:pPr>
      <w:spacing w:after="60"/>
      <w:jc w:val="center"/>
      <w:outlineLvl w:val="1"/>
    </w:pPr>
    <w:rPr>
      <w:rFonts w:ascii="Cambria" w:hAnsi="Cambria" w:cs="Times New Roman"/>
    </w:rPr>
  </w:style>
  <w:style w:type="character" w:customStyle="1" w:styleId="PodtitulChar">
    <w:name w:val="Podtitul Char"/>
    <w:link w:val="Podtitul"/>
    <w:uiPriority w:val="11"/>
    <w:rsid w:val="00E92E6A"/>
    <w:rPr>
      <w:rFonts w:ascii="Cambria" w:hAnsi="Cambria"/>
      <w:sz w:val="24"/>
      <w:szCs w:val="24"/>
    </w:rPr>
  </w:style>
  <w:style w:type="character" w:customStyle="1" w:styleId="TextkomenteChar">
    <w:name w:val="Text komentáře Char"/>
    <w:link w:val="Textkomente"/>
    <w:semiHidden/>
    <w:rsid w:val="00037CB4"/>
    <w:rPr>
      <w:rFonts w:ascii="Arial" w:hAnsi="Arial" w:cs="Arial"/>
    </w:rPr>
  </w:style>
  <w:style w:type="character" w:customStyle="1" w:styleId="ZpatChar">
    <w:name w:val="Zápatí Char"/>
    <w:link w:val="Zpat"/>
    <w:uiPriority w:val="99"/>
    <w:rsid w:val="00520D14"/>
    <w:rPr>
      <w:rFonts w:ascii="Arial" w:hAnsi="Arial" w:cs="Arial"/>
      <w:sz w:val="24"/>
      <w:szCs w:val="24"/>
    </w:rPr>
  </w:style>
  <w:style w:type="paragraph" w:styleId="Normlnweb">
    <w:name w:val="Normal (Web)"/>
    <w:basedOn w:val="Normln"/>
    <w:uiPriority w:val="99"/>
    <w:unhideWhenUsed/>
    <w:rsid w:val="0086202E"/>
    <w:pPr>
      <w:spacing w:before="100" w:beforeAutospacing="1" w:after="100" w:afterAutospacing="1"/>
    </w:pPr>
    <w:rPr>
      <w:rFonts w:ascii="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61469">
      <w:bodyDiv w:val="1"/>
      <w:marLeft w:val="0"/>
      <w:marRight w:val="0"/>
      <w:marTop w:val="0"/>
      <w:marBottom w:val="0"/>
      <w:divBdr>
        <w:top w:val="none" w:sz="0" w:space="0" w:color="auto"/>
        <w:left w:val="none" w:sz="0" w:space="0" w:color="auto"/>
        <w:bottom w:val="none" w:sz="0" w:space="0" w:color="auto"/>
        <w:right w:val="none" w:sz="0" w:space="0" w:color="auto"/>
      </w:divBdr>
    </w:div>
    <w:div w:id="307512434">
      <w:bodyDiv w:val="1"/>
      <w:marLeft w:val="0"/>
      <w:marRight w:val="0"/>
      <w:marTop w:val="0"/>
      <w:marBottom w:val="0"/>
      <w:divBdr>
        <w:top w:val="none" w:sz="0" w:space="0" w:color="auto"/>
        <w:left w:val="none" w:sz="0" w:space="0" w:color="auto"/>
        <w:bottom w:val="none" w:sz="0" w:space="0" w:color="auto"/>
        <w:right w:val="none" w:sz="0" w:space="0" w:color="auto"/>
      </w:divBdr>
    </w:div>
    <w:div w:id="435558687">
      <w:bodyDiv w:val="1"/>
      <w:marLeft w:val="0"/>
      <w:marRight w:val="0"/>
      <w:marTop w:val="0"/>
      <w:marBottom w:val="0"/>
      <w:divBdr>
        <w:top w:val="none" w:sz="0" w:space="0" w:color="auto"/>
        <w:left w:val="none" w:sz="0" w:space="0" w:color="auto"/>
        <w:bottom w:val="none" w:sz="0" w:space="0" w:color="auto"/>
        <w:right w:val="none" w:sz="0" w:space="0" w:color="auto"/>
      </w:divBdr>
    </w:div>
    <w:div w:id="681979511">
      <w:bodyDiv w:val="1"/>
      <w:marLeft w:val="0"/>
      <w:marRight w:val="0"/>
      <w:marTop w:val="0"/>
      <w:marBottom w:val="0"/>
      <w:divBdr>
        <w:top w:val="none" w:sz="0" w:space="0" w:color="auto"/>
        <w:left w:val="none" w:sz="0" w:space="0" w:color="auto"/>
        <w:bottom w:val="none" w:sz="0" w:space="0" w:color="auto"/>
        <w:right w:val="none" w:sz="0" w:space="0" w:color="auto"/>
      </w:divBdr>
    </w:div>
    <w:div w:id="1164978599">
      <w:bodyDiv w:val="1"/>
      <w:marLeft w:val="0"/>
      <w:marRight w:val="0"/>
      <w:marTop w:val="0"/>
      <w:marBottom w:val="0"/>
      <w:divBdr>
        <w:top w:val="none" w:sz="0" w:space="0" w:color="auto"/>
        <w:left w:val="none" w:sz="0" w:space="0" w:color="auto"/>
        <w:bottom w:val="none" w:sz="0" w:space="0" w:color="auto"/>
        <w:right w:val="none" w:sz="0" w:space="0" w:color="auto"/>
      </w:divBdr>
    </w:div>
    <w:div w:id="1282418256">
      <w:bodyDiv w:val="1"/>
      <w:marLeft w:val="0"/>
      <w:marRight w:val="0"/>
      <w:marTop w:val="0"/>
      <w:marBottom w:val="0"/>
      <w:divBdr>
        <w:top w:val="none" w:sz="0" w:space="0" w:color="auto"/>
        <w:left w:val="none" w:sz="0" w:space="0" w:color="auto"/>
        <w:bottom w:val="none" w:sz="0" w:space="0" w:color="auto"/>
        <w:right w:val="none" w:sz="0" w:space="0" w:color="auto"/>
      </w:divBdr>
    </w:div>
    <w:div w:id="1373919551">
      <w:bodyDiv w:val="1"/>
      <w:marLeft w:val="0"/>
      <w:marRight w:val="0"/>
      <w:marTop w:val="0"/>
      <w:marBottom w:val="0"/>
      <w:divBdr>
        <w:top w:val="none" w:sz="0" w:space="0" w:color="auto"/>
        <w:left w:val="none" w:sz="0" w:space="0" w:color="auto"/>
        <w:bottom w:val="none" w:sz="0" w:space="0" w:color="auto"/>
        <w:right w:val="none" w:sz="0" w:space="0" w:color="auto"/>
      </w:divBdr>
    </w:div>
    <w:div w:id="1447887969">
      <w:bodyDiv w:val="1"/>
      <w:marLeft w:val="0"/>
      <w:marRight w:val="0"/>
      <w:marTop w:val="0"/>
      <w:marBottom w:val="0"/>
      <w:divBdr>
        <w:top w:val="none" w:sz="0" w:space="0" w:color="auto"/>
        <w:left w:val="none" w:sz="0" w:space="0" w:color="auto"/>
        <w:bottom w:val="none" w:sz="0" w:space="0" w:color="auto"/>
        <w:right w:val="none" w:sz="0" w:space="0" w:color="auto"/>
      </w:divBdr>
    </w:div>
    <w:div w:id="174649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Marek%20Bla&#382;ka\AppData\Local\Temp\V%25C3%25BDro%25C4%258Dn%25C3%25AD%20zpr%25C3%25A1va%20SS%25C4%258C%20AV%20%25C4%258CR%202019_komplet%20podepsan%25C3%25A9.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dka%20Bezd&#283;kovsk&#225;\data\pr&#225;ce\helpdesk\textov&#225;%20&#269;&#225;st\vzory\08b_vyporadani_v002.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40FF77-39F8-4D29-BD0F-63791C62D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08b_vyporadani_v002</Template>
  <TotalTime>50</TotalTime>
  <Pages>1</Pages>
  <Words>4694</Words>
  <Characters>27697</Characters>
  <Application>Microsoft Office Word</Application>
  <DocSecurity>0</DocSecurity>
  <Lines>230</Lines>
  <Paragraphs>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ÚŘAD VLÁDY ČR</vt:lpstr>
      <vt:lpstr>ÚŘAD VLÁDY ČR</vt:lpstr>
    </vt:vector>
  </TitlesOfParts>
  <Company>UVIS</Company>
  <LinksUpToDate>false</LinksUpToDate>
  <CharactersWithSpaces>32327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ÚŘAD VLÁDY ČR</dc:title>
  <dc:subject/>
  <dc:creator>Radka Bezděkovská</dc:creator>
  <cp:keywords/>
  <cp:lastModifiedBy>Vašíček Jan</cp:lastModifiedBy>
  <cp:revision>17</cp:revision>
  <cp:lastPrinted>2004-04-02T05:53:00Z</cp:lastPrinted>
  <dcterms:created xsi:type="dcterms:W3CDTF">2021-01-06T12:45:00Z</dcterms:created>
  <dcterms:modified xsi:type="dcterms:W3CDTF">2021-01-11T09:37:00Z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