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92E9B8" w14:textId="77777777" w:rsidR="00104BDD" w:rsidRDefault="00BD5DD5">
      <w:pPr>
        <w:jc w:val="right"/>
        <w:rPr>
          <w:b/>
        </w:rPr>
      </w:pPr>
      <w:r>
        <w:rPr>
          <w:b/>
        </w:rPr>
        <w:t>III.</w:t>
      </w:r>
    </w:p>
    <w:p w14:paraId="2B1D283D" w14:textId="77777777" w:rsidR="00104BDD" w:rsidRDefault="00104BDD">
      <w:pPr>
        <w:spacing w:after="0"/>
        <w:jc w:val="center"/>
        <w:rPr>
          <w:b/>
          <w:sz w:val="36"/>
          <w:szCs w:val="36"/>
        </w:rPr>
      </w:pPr>
    </w:p>
    <w:p w14:paraId="189D7152" w14:textId="77777777" w:rsidR="00104BDD" w:rsidRDefault="00104BDD">
      <w:pPr>
        <w:spacing w:after="0"/>
        <w:jc w:val="center"/>
        <w:rPr>
          <w:b/>
          <w:sz w:val="36"/>
          <w:szCs w:val="36"/>
        </w:rPr>
      </w:pPr>
    </w:p>
    <w:p w14:paraId="6B11235D" w14:textId="77777777" w:rsidR="00104BDD" w:rsidRDefault="00104BDD">
      <w:pPr>
        <w:spacing w:after="0"/>
        <w:jc w:val="center"/>
        <w:rPr>
          <w:b/>
          <w:sz w:val="36"/>
          <w:szCs w:val="36"/>
        </w:rPr>
      </w:pPr>
    </w:p>
    <w:p w14:paraId="0B86990E" w14:textId="77777777" w:rsidR="00104BDD" w:rsidRDefault="00104BDD">
      <w:pPr>
        <w:spacing w:after="0"/>
        <w:jc w:val="center"/>
        <w:rPr>
          <w:b/>
          <w:sz w:val="36"/>
          <w:szCs w:val="36"/>
        </w:rPr>
      </w:pPr>
    </w:p>
    <w:p w14:paraId="45AA61B6" w14:textId="77777777" w:rsidR="00104BDD" w:rsidRDefault="00104BDD">
      <w:pPr>
        <w:spacing w:after="0"/>
        <w:jc w:val="center"/>
        <w:rPr>
          <w:b/>
          <w:sz w:val="36"/>
          <w:szCs w:val="36"/>
        </w:rPr>
      </w:pPr>
    </w:p>
    <w:p w14:paraId="347362BA" w14:textId="77777777" w:rsidR="00104BDD" w:rsidRDefault="00104BDD">
      <w:pPr>
        <w:spacing w:after="0"/>
        <w:jc w:val="center"/>
        <w:rPr>
          <w:b/>
          <w:sz w:val="36"/>
          <w:szCs w:val="36"/>
        </w:rPr>
      </w:pPr>
    </w:p>
    <w:p w14:paraId="499F4AB8" w14:textId="77777777" w:rsidR="00104BDD" w:rsidRDefault="00104BDD">
      <w:pPr>
        <w:spacing w:after="0"/>
        <w:jc w:val="center"/>
        <w:rPr>
          <w:b/>
          <w:sz w:val="36"/>
          <w:szCs w:val="36"/>
        </w:rPr>
      </w:pPr>
    </w:p>
    <w:p w14:paraId="7F0243D1" w14:textId="77777777" w:rsidR="00104BDD" w:rsidRDefault="00104BDD">
      <w:pPr>
        <w:spacing w:after="0"/>
        <w:jc w:val="center"/>
        <w:rPr>
          <w:b/>
          <w:sz w:val="36"/>
          <w:szCs w:val="36"/>
        </w:rPr>
      </w:pPr>
    </w:p>
    <w:p w14:paraId="14F09400" w14:textId="77777777" w:rsidR="00104BDD" w:rsidRDefault="00104BDD">
      <w:pPr>
        <w:spacing w:after="0"/>
        <w:jc w:val="center"/>
        <w:rPr>
          <w:b/>
          <w:sz w:val="36"/>
          <w:szCs w:val="36"/>
        </w:rPr>
      </w:pPr>
    </w:p>
    <w:p w14:paraId="6C6A8D34" w14:textId="77777777" w:rsidR="00104BDD" w:rsidRDefault="00104BDD">
      <w:pPr>
        <w:spacing w:after="0"/>
        <w:jc w:val="center"/>
        <w:rPr>
          <w:b/>
          <w:sz w:val="36"/>
          <w:szCs w:val="36"/>
        </w:rPr>
      </w:pPr>
    </w:p>
    <w:p w14:paraId="4EB7EF7D" w14:textId="77777777" w:rsidR="00104BDD" w:rsidRDefault="00104BDD">
      <w:pPr>
        <w:spacing w:after="0"/>
        <w:jc w:val="center"/>
        <w:rPr>
          <w:b/>
          <w:sz w:val="36"/>
          <w:szCs w:val="36"/>
        </w:rPr>
      </w:pPr>
    </w:p>
    <w:p w14:paraId="016B61F6" w14:textId="77777777" w:rsidR="00104BDD" w:rsidRDefault="00104BDD">
      <w:pPr>
        <w:spacing w:after="0"/>
        <w:jc w:val="center"/>
        <w:rPr>
          <w:b/>
          <w:sz w:val="36"/>
          <w:szCs w:val="36"/>
        </w:rPr>
      </w:pPr>
    </w:p>
    <w:p w14:paraId="0F99BBCA" w14:textId="77777777" w:rsidR="00104BDD" w:rsidRDefault="00104BDD">
      <w:pPr>
        <w:spacing w:after="0"/>
        <w:jc w:val="center"/>
        <w:rPr>
          <w:b/>
          <w:sz w:val="36"/>
          <w:szCs w:val="36"/>
        </w:rPr>
      </w:pPr>
    </w:p>
    <w:p w14:paraId="17C5E850" w14:textId="1F47829F" w:rsidR="00104BDD" w:rsidRDefault="00BD5DD5">
      <w:pPr>
        <w:spacing w:after="0"/>
        <w:jc w:val="center"/>
        <w:rPr>
          <w:b/>
          <w:sz w:val="36"/>
          <w:szCs w:val="36"/>
        </w:rPr>
      </w:pPr>
      <w:r>
        <w:rPr>
          <w:b/>
          <w:sz w:val="36"/>
          <w:szCs w:val="36"/>
        </w:rPr>
        <w:t>PROJEKT SDÍLENÝCH ČINNOSTÍ</w:t>
      </w:r>
    </w:p>
    <w:p w14:paraId="0D071E62" w14:textId="77777777" w:rsidR="001C49E0" w:rsidRDefault="00BD5DD5">
      <w:pPr>
        <w:spacing w:after="0"/>
        <w:jc w:val="center"/>
        <w:rPr>
          <w:b/>
          <w:sz w:val="36"/>
          <w:szCs w:val="36"/>
        </w:rPr>
      </w:pPr>
      <w:r>
        <w:rPr>
          <w:b/>
          <w:sz w:val="36"/>
          <w:szCs w:val="36"/>
        </w:rPr>
        <w:t xml:space="preserve">„STRATEGICKÁ INTELIGENCE </w:t>
      </w:r>
    </w:p>
    <w:p w14:paraId="1E6DFF52" w14:textId="65253AEA" w:rsidR="00104BDD" w:rsidRDefault="00BD5DD5">
      <w:pPr>
        <w:spacing w:after="0"/>
        <w:jc w:val="center"/>
        <w:rPr>
          <w:b/>
          <w:sz w:val="36"/>
          <w:szCs w:val="36"/>
        </w:rPr>
      </w:pPr>
      <w:r>
        <w:rPr>
          <w:b/>
          <w:sz w:val="36"/>
          <w:szCs w:val="36"/>
        </w:rPr>
        <w:t>PRO VÝZKUM A INOVACE“</w:t>
      </w:r>
    </w:p>
    <w:p w14:paraId="7CE8BC19" w14:textId="77777777" w:rsidR="00104BDD" w:rsidRDefault="00BD5DD5">
      <w:r>
        <w:br w:type="page"/>
      </w:r>
    </w:p>
    <w:p w14:paraId="07850256" w14:textId="77777777" w:rsidR="00104BDD" w:rsidRDefault="00BD5DD5">
      <w:pPr>
        <w:keepNext/>
        <w:keepLines/>
        <w:spacing w:before="720"/>
        <w:ind w:left="340" w:hanging="340"/>
        <w:rPr>
          <w:b/>
          <w:smallCaps/>
          <w:color w:val="000000"/>
          <w:sz w:val="28"/>
          <w:szCs w:val="28"/>
        </w:rPr>
      </w:pPr>
      <w:r>
        <w:rPr>
          <w:b/>
          <w:smallCaps/>
          <w:color w:val="000000"/>
          <w:sz w:val="28"/>
          <w:szCs w:val="28"/>
        </w:rPr>
        <w:lastRenderedPageBreak/>
        <w:t>OBSAH</w:t>
      </w:r>
    </w:p>
    <w:sdt>
      <w:sdtPr>
        <w:id w:val="505790898"/>
        <w:docPartObj>
          <w:docPartGallery w:val="Table of Contents"/>
          <w:docPartUnique/>
        </w:docPartObj>
      </w:sdtPr>
      <w:sdtEndPr/>
      <w:sdtContent>
        <w:p w14:paraId="58BB5A2F" w14:textId="77B8319A" w:rsidR="00086EA9" w:rsidRDefault="00BD5DD5">
          <w:pPr>
            <w:pStyle w:val="Obsah1"/>
            <w:rPr>
              <w:rFonts w:asciiTheme="minorHAnsi" w:eastAsiaTheme="minorEastAsia" w:hAnsiTheme="minorHAnsi" w:cstheme="minorBidi"/>
              <w:noProof/>
            </w:rPr>
          </w:pPr>
          <w:r>
            <w:fldChar w:fldCharType="begin"/>
          </w:r>
          <w:r>
            <w:instrText xml:space="preserve"> TOC \h \u \z </w:instrText>
          </w:r>
          <w:r>
            <w:fldChar w:fldCharType="separate"/>
          </w:r>
          <w:hyperlink w:anchor="_Toc67906046" w:history="1">
            <w:r w:rsidR="00086EA9" w:rsidRPr="00DF44D1">
              <w:rPr>
                <w:rStyle w:val="Hypertextovodkaz"/>
                <w:noProof/>
              </w:rPr>
              <w:t>1</w:t>
            </w:r>
            <w:r w:rsidR="00086EA9">
              <w:rPr>
                <w:rFonts w:asciiTheme="minorHAnsi" w:eastAsiaTheme="minorEastAsia" w:hAnsiTheme="minorHAnsi" w:cstheme="minorBidi"/>
                <w:noProof/>
              </w:rPr>
              <w:tab/>
            </w:r>
            <w:r w:rsidR="00086EA9" w:rsidRPr="00DF44D1">
              <w:rPr>
                <w:rStyle w:val="Hypertextovodkaz"/>
                <w:noProof/>
              </w:rPr>
              <w:t>OBECNÉ CHARAKTERISTIKY</w:t>
            </w:r>
            <w:r w:rsidR="00086EA9">
              <w:rPr>
                <w:noProof/>
                <w:webHidden/>
              </w:rPr>
              <w:tab/>
            </w:r>
            <w:r w:rsidR="00086EA9">
              <w:rPr>
                <w:noProof/>
                <w:webHidden/>
              </w:rPr>
              <w:fldChar w:fldCharType="begin"/>
            </w:r>
            <w:r w:rsidR="00086EA9">
              <w:rPr>
                <w:noProof/>
                <w:webHidden/>
              </w:rPr>
              <w:instrText xml:space="preserve"> PAGEREF _Toc67906046 \h </w:instrText>
            </w:r>
            <w:r w:rsidR="00086EA9">
              <w:rPr>
                <w:noProof/>
                <w:webHidden/>
              </w:rPr>
            </w:r>
            <w:r w:rsidR="00086EA9">
              <w:rPr>
                <w:noProof/>
                <w:webHidden/>
              </w:rPr>
              <w:fldChar w:fldCharType="separate"/>
            </w:r>
            <w:r w:rsidR="00086EA9">
              <w:rPr>
                <w:noProof/>
                <w:webHidden/>
              </w:rPr>
              <w:t>4</w:t>
            </w:r>
            <w:r w:rsidR="00086EA9">
              <w:rPr>
                <w:noProof/>
                <w:webHidden/>
              </w:rPr>
              <w:fldChar w:fldCharType="end"/>
            </w:r>
          </w:hyperlink>
        </w:p>
        <w:p w14:paraId="267FAA9F" w14:textId="6FF4AEDA" w:rsidR="00086EA9" w:rsidRDefault="00B73D47">
          <w:pPr>
            <w:pStyle w:val="Obsah2"/>
            <w:rPr>
              <w:rFonts w:asciiTheme="minorHAnsi" w:eastAsiaTheme="minorEastAsia" w:hAnsiTheme="minorHAnsi" w:cstheme="minorBidi"/>
              <w:noProof/>
            </w:rPr>
          </w:pPr>
          <w:hyperlink w:anchor="_Toc67906047" w:history="1">
            <w:r w:rsidR="00086EA9" w:rsidRPr="00DF44D1">
              <w:rPr>
                <w:rStyle w:val="Hypertextovodkaz"/>
                <w:noProof/>
              </w:rPr>
              <w:t>1.1</w:t>
            </w:r>
            <w:r w:rsidR="00086EA9">
              <w:rPr>
                <w:rFonts w:asciiTheme="minorHAnsi" w:eastAsiaTheme="minorEastAsia" w:hAnsiTheme="minorHAnsi" w:cstheme="minorBidi"/>
                <w:noProof/>
              </w:rPr>
              <w:tab/>
            </w:r>
            <w:r w:rsidR="00086EA9" w:rsidRPr="00DF44D1">
              <w:rPr>
                <w:rStyle w:val="Hypertextovodkaz"/>
                <w:noProof/>
              </w:rPr>
              <w:t>Základní informace o projektu</w:t>
            </w:r>
            <w:r w:rsidR="00086EA9">
              <w:rPr>
                <w:noProof/>
                <w:webHidden/>
              </w:rPr>
              <w:tab/>
            </w:r>
            <w:r w:rsidR="00086EA9">
              <w:rPr>
                <w:noProof/>
                <w:webHidden/>
              </w:rPr>
              <w:fldChar w:fldCharType="begin"/>
            </w:r>
            <w:r w:rsidR="00086EA9">
              <w:rPr>
                <w:noProof/>
                <w:webHidden/>
              </w:rPr>
              <w:instrText xml:space="preserve"> PAGEREF _Toc67906047 \h </w:instrText>
            </w:r>
            <w:r w:rsidR="00086EA9">
              <w:rPr>
                <w:noProof/>
                <w:webHidden/>
              </w:rPr>
            </w:r>
            <w:r w:rsidR="00086EA9">
              <w:rPr>
                <w:noProof/>
                <w:webHidden/>
              </w:rPr>
              <w:fldChar w:fldCharType="separate"/>
            </w:r>
            <w:r w:rsidR="00086EA9">
              <w:rPr>
                <w:noProof/>
                <w:webHidden/>
              </w:rPr>
              <w:t>4</w:t>
            </w:r>
            <w:r w:rsidR="00086EA9">
              <w:rPr>
                <w:noProof/>
                <w:webHidden/>
              </w:rPr>
              <w:fldChar w:fldCharType="end"/>
            </w:r>
          </w:hyperlink>
        </w:p>
        <w:p w14:paraId="0AC15EAC" w14:textId="63FAA941" w:rsidR="00086EA9" w:rsidRDefault="00B73D47">
          <w:pPr>
            <w:pStyle w:val="Obsah2"/>
            <w:rPr>
              <w:rFonts w:asciiTheme="minorHAnsi" w:eastAsiaTheme="minorEastAsia" w:hAnsiTheme="minorHAnsi" w:cstheme="minorBidi"/>
              <w:noProof/>
            </w:rPr>
          </w:pPr>
          <w:hyperlink w:anchor="_Toc67906048" w:history="1">
            <w:r w:rsidR="00086EA9" w:rsidRPr="00DF44D1">
              <w:rPr>
                <w:rStyle w:val="Hypertextovodkaz"/>
                <w:noProof/>
              </w:rPr>
              <w:t>1.2</w:t>
            </w:r>
            <w:r w:rsidR="00086EA9">
              <w:rPr>
                <w:rFonts w:asciiTheme="minorHAnsi" w:eastAsiaTheme="minorEastAsia" w:hAnsiTheme="minorHAnsi" w:cstheme="minorBidi"/>
                <w:noProof/>
              </w:rPr>
              <w:tab/>
            </w:r>
            <w:r w:rsidR="00086EA9" w:rsidRPr="00DF44D1">
              <w:rPr>
                <w:rStyle w:val="Hypertextovodkaz"/>
                <w:noProof/>
              </w:rPr>
              <w:t>Anotace projektu</w:t>
            </w:r>
            <w:r w:rsidR="00086EA9">
              <w:rPr>
                <w:noProof/>
                <w:webHidden/>
              </w:rPr>
              <w:tab/>
            </w:r>
            <w:r w:rsidR="00086EA9">
              <w:rPr>
                <w:noProof/>
                <w:webHidden/>
              </w:rPr>
              <w:fldChar w:fldCharType="begin"/>
            </w:r>
            <w:r w:rsidR="00086EA9">
              <w:rPr>
                <w:noProof/>
                <w:webHidden/>
              </w:rPr>
              <w:instrText xml:space="preserve"> PAGEREF _Toc67906048 \h </w:instrText>
            </w:r>
            <w:r w:rsidR="00086EA9">
              <w:rPr>
                <w:noProof/>
                <w:webHidden/>
              </w:rPr>
            </w:r>
            <w:r w:rsidR="00086EA9">
              <w:rPr>
                <w:noProof/>
                <w:webHidden/>
              </w:rPr>
              <w:fldChar w:fldCharType="separate"/>
            </w:r>
            <w:r w:rsidR="00086EA9">
              <w:rPr>
                <w:noProof/>
                <w:webHidden/>
              </w:rPr>
              <w:t>4</w:t>
            </w:r>
            <w:r w:rsidR="00086EA9">
              <w:rPr>
                <w:noProof/>
                <w:webHidden/>
              </w:rPr>
              <w:fldChar w:fldCharType="end"/>
            </w:r>
          </w:hyperlink>
        </w:p>
        <w:p w14:paraId="375995D8" w14:textId="42D51FA1" w:rsidR="00086EA9" w:rsidRDefault="00B73D47">
          <w:pPr>
            <w:pStyle w:val="Obsah2"/>
            <w:rPr>
              <w:rFonts w:asciiTheme="minorHAnsi" w:eastAsiaTheme="minorEastAsia" w:hAnsiTheme="minorHAnsi" w:cstheme="minorBidi"/>
              <w:noProof/>
            </w:rPr>
          </w:pPr>
          <w:hyperlink w:anchor="_Toc67906049" w:history="1">
            <w:r w:rsidR="00086EA9" w:rsidRPr="00DF44D1">
              <w:rPr>
                <w:rStyle w:val="Hypertextovodkaz"/>
                <w:noProof/>
              </w:rPr>
              <w:t>1.3</w:t>
            </w:r>
            <w:r w:rsidR="00086EA9">
              <w:rPr>
                <w:rFonts w:asciiTheme="minorHAnsi" w:eastAsiaTheme="minorEastAsia" w:hAnsiTheme="minorHAnsi" w:cstheme="minorBidi"/>
                <w:noProof/>
              </w:rPr>
              <w:tab/>
            </w:r>
            <w:r w:rsidR="00086EA9" w:rsidRPr="00DF44D1">
              <w:rPr>
                <w:rStyle w:val="Hypertextovodkaz"/>
                <w:noProof/>
              </w:rPr>
              <w:t>Vymezení předmětu podpory</w:t>
            </w:r>
            <w:r w:rsidR="00086EA9">
              <w:rPr>
                <w:noProof/>
                <w:webHidden/>
              </w:rPr>
              <w:tab/>
            </w:r>
            <w:r w:rsidR="00086EA9">
              <w:rPr>
                <w:noProof/>
                <w:webHidden/>
              </w:rPr>
              <w:fldChar w:fldCharType="begin"/>
            </w:r>
            <w:r w:rsidR="00086EA9">
              <w:rPr>
                <w:noProof/>
                <w:webHidden/>
              </w:rPr>
              <w:instrText xml:space="preserve"> PAGEREF _Toc67906049 \h </w:instrText>
            </w:r>
            <w:r w:rsidR="00086EA9">
              <w:rPr>
                <w:noProof/>
                <w:webHidden/>
              </w:rPr>
            </w:r>
            <w:r w:rsidR="00086EA9">
              <w:rPr>
                <w:noProof/>
                <w:webHidden/>
              </w:rPr>
              <w:fldChar w:fldCharType="separate"/>
            </w:r>
            <w:r w:rsidR="00086EA9">
              <w:rPr>
                <w:noProof/>
                <w:webHidden/>
              </w:rPr>
              <w:t>5</w:t>
            </w:r>
            <w:r w:rsidR="00086EA9">
              <w:rPr>
                <w:noProof/>
                <w:webHidden/>
              </w:rPr>
              <w:fldChar w:fldCharType="end"/>
            </w:r>
          </w:hyperlink>
        </w:p>
        <w:p w14:paraId="02D66381" w14:textId="2425AAA7" w:rsidR="00086EA9" w:rsidRDefault="00B73D47">
          <w:pPr>
            <w:pStyle w:val="Obsah2"/>
            <w:rPr>
              <w:rFonts w:asciiTheme="minorHAnsi" w:eastAsiaTheme="minorEastAsia" w:hAnsiTheme="minorHAnsi" w:cstheme="minorBidi"/>
              <w:noProof/>
            </w:rPr>
          </w:pPr>
          <w:hyperlink w:anchor="_Toc67906050" w:history="1">
            <w:r w:rsidR="00086EA9" w:rsidRPr="00DF44D1">
              <w:rPr>
                <w:rStyle w:val="Hypertextovodkaz"/>
                <w:noProof/>
              </w:rPr>
              <w:t>1.4</w:t>
            </w:r>
            <w:r w:rsidR="00086EA9">
              <w:rPr>
                <w:rFonts w:asciiTheme="minorHAnsi" w:eastAsiaTheme="minorEastAsia" w:hAnsiTheme="minorHAnsi" w:cstheme="minorBidi"/>
                <w:noProof/>
              </w:rPr>
              <w:tab/>
            </w:r>
            <w:r w:rsidR="00086EA9" w:rsidRPr="00DF44D1">
              <w:rPr>
                <w:rStyle w:val="Hypertextovodkaz"/>
                <w:noProof/>
              </w:rPr>
              <w:t>Cíle projektu</w:t>
            </w:r>
            <w:r w:rsidR="00086EA9">
              <w:rPr>
                <w:noProof/>
                <w:webHidden/>
              </w:rPr>
              <w:tab/>
            </w:r>
            <w:r w:rsidR="00086EA9">
              <w:rPr>
                <w:noProof/>
                <w:webHidden/>
              </w:rPr>
              <w:fldChar w:fldCharType="begin"/>
            </w:r>
            <w:r w:rsidR="00086EA9">
              <w:rPr>
                <w:noProof/>
                <w:webHidden/>
              </w:rPr>
              <w:instrText xml:space="preserve"> PAGEREF _Toc67906050 \h </w:instrText>
            </w:r>
            <w:r w:rsidR="00086EA9">
              <w:rPr>
                <w:noProof/>
                <w:webHidden/>
              </w:rPr>
            </w:r>
            <w:r w:rsidR="00086EA9">
              <w:rPr>
                <w:noProof/>
                <w:webHidden/>
              </w:rPr>
              <w:fldChar w:fldCharType="separate"/>
            </w:r>
            <w:r w:rsidR="00086EA9">
              <w:rPr>
                <w:noProof/>
                <w:webHidden/>
              </w:rPr>
              <w:t>5</w:t>
            </w:r>
            <w:r w:rsidR="00086EA9">
              <w:rPr>
                <w:noProof/>
                <w:webHidden/>
              </w:rPr>
              <w:fldChar w:fldCharType="end"/>
            </w:r>
          </w:hyperlink>
        </w:p>
        <w:p w14:paraId="75B3EBC8" w14:textId="478C3822" w:rsidR="00086EA9" w:rsidRDefault="00B73D47">
          <w:pPr>
            <w:pStyle w:val="Obsah2"/>
            <w:rPr>
              <w:rFonts w:asciiTheme="minorHAnsi" w:eastAsiaTheme="minorEastAsia" w:hAnsiTheme="minorHAnsi" w:cstheme="minorBidi"/>
              <w:noProof/>
            </w:rPr>
          </w:pPr>
          <w:hyperlink w:anchor="_Toc67906051" w:history="1">
            <w:r w:rsidR="00086EA9" w:rsidRPr="00DF44D1">
              <w:rPr>
                <w:rStyle w:val="Hypertextovodkaz"/>
                <w:noProof/>
              </w:rPr>
              <w:t>1.5</w:t>
            </w:r>
            <w:r w:rsidR="00086EA9">
              <w:rPr>
                <w:rFonts w:asciiTheme="minorHAnsi" w:eastAsiaTheme="minorEastAsia" w:hAnsiTheme="minorHAnsi" w:cstheme="minorBidi"/>
                <w:noProof/>
              </w:rPr>
              <w:tab/>
            </w:r>
            <w:r w:rsidR="00086EA9" w:rsidRPr="00DF44D1">
              <w:rPr>
                <w:rStyle w:val="Hypertextovodkaz"/>
                <w:noProof/>
              </w:rPr>
              <w:t>Zdůvodnění potřebnosti projektu</w:t>
            </w:r>
            <w:r w:rsidR="00086EA9">
              <w:rPr>
                <w:noProof/>
                <w:webHidden/>
              </w:rPr>
              <w:tab/>
            </w:r>
            <w:r w:rsidR="00086EA9">
              <w:rPr>
                <w:noProof/>
                <w:webHidden/>
              </w:rPr>
              <w:fldChar w:fldCharType="begin"/>
            </w:r>
            <w:r w:rsidR="00086EA9">
              <w:rPr>
                <w:noProof/>
                <w:webHidden/>
              </w:rPr>
              <w:instrText xml:space="preserve"> PAGEREF _Toc67906051 \h </w:instrText>
            </w:r>
            <w:r w:rsidR="00086EA9">
              <w:rPr>
                <w:noProof/>
                <w:webHidden/>
              </w:rPr>
            </w:r>
            <w:r w:rsidR="00086EA9">
              <w:rPr>
                <w:noProof/>
                <w:webHidden/>
              </w:rPr>
              <w:fldChar w:fldCharType="separate"/>
            </w:r>
            <w:r w:rsidR="00086EA9">
              <w:rPr>
                <w:noProof/>
                <w:webHidden/>
              </w:rPr>
              <w:t>6</w:t>
            </w:r>
            <w:r w:rsidR="00086EA9">
              <w:rPr>
                <w:noProof/>
                <w:webHidden/>
              </w:rPr>
              <w:fldChar w:fldCharType="end"/>
            </w:r>
          </w:hyperlink>
        </w:p>
        <w:p w14:paraId="12694009" w14:textId="15CB9C6F" w:rsidR="00086EA9" w:rsidRDefault="00B73D47">
          <w:pPr>
            <w:pStyle w:val="Obsah2"/>
            <w:rPr>
              <w:rFonts w:asciiTheme="minorHAnsi" w:eastAsiaTheme="minorEastAsia" w:hAnsiTheme="minorHAnsi" w:cstheme="minorBidi"/>
              <w:noProof/>
            </w:rPr>
          </w:pPr>
          <w:hyperlink w:anchor="_Toc67906052" w:history="1">
            <w:r w:rsidR="00086EA9" w:rsidRPr="00DF44D1">
              <w:rPr>
                <w:rStyle w:val="Hypertextovodkaz"/>
                <w:noProof/>
              </w:rPr>
              <w:t>1.6</w:t>
            </w:r>
            <w:r w:rsidR="00086EA9">
              <w:rPr>
                <w:rFonts w:asciiTheme="minorHAnsi" w:eastAsiaTheme="minorEastAsia" w:hAnsiTheme="minorHAnsi" w:cstheme="minorBidi"/>
                <w:noProof/>
              </w:rPr>
              <w:tab/>
            </w:r>
            <w:r w:rsidR="00086EA9" w:rsidRPr="00DF44D1">
              <w:rPr>
                <w:rStyle w:val="Hypertextovodkaz"/>
                <w:noProof/>
              </w:rPr>
              <w:t>Návaznost projektu na strategické a koncepční dokumenty</w:t>
            </w:r>
            <w:r w:rsidR="00086EA9">
              <w:rPr>
                <w:noProof/>
                <w:webHidden/>
              </w:rPr>
              <w:tab/>
            </w:r>
            <w:r w:rsidR="00086EA9">
              <w:rPr>
                <w:noProof/>
                <w:webHidden/>
              </w:rPr>
              <w:fldChar w:fldCharType="begin"/>
            </w:r>
            <w:r w:rsidR="00086EA9">
              <w:rPr>
                <w:noProof/>
                <w:webHidden/>
              </w:rPr>
              <w:instrText xml:space="preserve"> PAGEREF _Toc67906052 \h </w:instrText>
            </w:r>
            <w:r w:rsidR="00086EA9">
              <w:rPr>
                <w:noProof/>
                <w:webHidden/>
              </w:rPr>
            </w:r>
            <w:r w:rsidR="00086EA9">
              <w:rPr>
                <w:noProof/>
                <w:webHidden/>
              </w:rPr>
              <w:fldChar w:fldCharType="separate"/>
            </w:r>
            <w:r w:rsidR="00086EA9">
              <w:rPr>
                <w:noProof/>
                <w:webHidden/>
              </w:rPr>
              <w:t>7</w:t>
            </w:r>
            <w:r w:rsidR="00086EA9">
              <w:rPr>
                <w:noProof/>
                <w:webHidden/>
              </w:rPr>
              <w:fldChar w:fldCharType="end"/>
            </w:r>
          </w:hyperlink>
        </w:p>
        <w:p w14:paraId="6ACA64B8" w14:textId="052A6F6D" w:rsidR="00086EA9" w:rsidRDefault="00B73D47">
          <w:pPr>
            <w:pStyle w:val="Obsah3"/>
            <w:rPr>
              <w:rFonts w:asciiTheme="minorHAnsi" w:eastAsiaTheme="minorEastAsia" w:hAnsiTheme="minorHAnsi" w:cstheme="minorBidi"/>
              <w:noProof/>
            </w:rPr>
          </w:pPr>
          <w:hyperlink w:anchor="_Toc67906053" w:history="1">
            <w:r w:rsidR="00086EA9" w:rsidRPr="00DF44D1">
              <w:rPr>
                <w:rStyle w:val="Hypertextovodkaz"/>
                <w:noProof/>
              </w:rPr>
              <w:t>1.6.1</w:t>
            </w:r>
            <w:r w:rsidR="00086EA9">
              <w:rPr>
                <w:rFonts w:asciiTheme="minorHAnsi" w:eastAsiaTheme="minorEastAsia" w:hAnsiTheme="minorHAnsi" w:cstheme="minorBidi"/>
                <w:noProof/>
              </w:rPr>
              <w:tab/>
            </w:r>
            <w:r w:rsidR="00086EA9" w:rsidRPr="00DF44D1">
              <w:rPr>
                <w:rStyle w:val="Hypertextovodkaz"/>
                <w:noProof/>
              </w:rPr>
              <w:t>Inovační strategie ČR pro léta 2019 až 2030</w:t>
            </w:r>
            <w:r w:rsidR="00086EA9">
              <w:rPr>
                <w:noProof/>
                <w:webHidden/>
              </w:rPr>
              <w:tab/>
            </w:r>
            <w:r w:rsidR="00086EA9">
              <w:rPr>
                <w:noProof/>
                <w:webHidden/>
              </w:rPr>
              <w:fldChar w:fldCharType="begin"/>
            </w:r>
            <w:r w:rsidR="00086EA9">
              <w:rPr>
                <w:noProof/>
                <w:webHidden/>
              </w:rPr>
              <w:instrText xml:space="preserve"> PAGEREF _Toc67906053 \h </w:instrText>
            </w:r>
            <w:r w:rsidR="00086EA9">
              <w:rPr>
                <w:noProof/>
                <w:webHidden/>
              </w:rPr>
            </w:r>
            <w:r w:rsidR="00086EA9">
              <w:rPr>
                <w:noProof/>
                <w:webHidden/>
              </w:rPr>
              <w:fldChar w:fldCharType="separate"/>
            </w:r>
            <w:r w:rsidR="00086EA9">
              <w:rPr>
                <w:noProof/>
                <w:webHidden/>
              </w:rPr>
              <w:t>7</w:t>
            </w:r>
            <w:r w:rsidR="00086EA9">
              <w:rPr>
                <w:noProof/>
                <w:webHidden/>
              </w:rPr>
              <w:fldChar w:fldCharType="end"/>
            </w:r>
          </w:hyperlink>
        </w:p>
        <w:p w14:paraId="7186E3AC" w14:textId="7B291D30" w:rsidR="00086EA9" w:rsidRDefault="00B73D47">
          <w:pPr>
            <w:pStyle w:val="Obsah3"/>
            <w:rPr>
              <w:rFonts w:asciiTheme="minorHAnsi" w:eastAsiaTheme="minorEastAsia" w:hAnsiTheme="minorHAnsi" w:cstheme="minorBidi"/>
              <w:noProof/>
            </w:rPr>
          </w:pPr>
          <w:hyperlink w:anchor="_Toc67906054" w:history="1">
            <w:r w:rsidR="00086EA9" w:rsidRPr="00DF44D1">
              <w:rPr>
                <w:rStyle w:val="Hypertextovodkaz"/>
                <w:noProof/>
              </w:rPr>
              <w:t>1.6.2</w:t>
            </w:r>
            <w:r w:rsidR="00086EA9">
              <w:rPr>
                <w:rFonts w:asciiTheme="minorHAnsi" w:eastAsiaTheme="minorEastAsia" w:hAnsiTheme="minorHAnsi" w:cstheme="minorBidi"/>
                <w:noProof/>
              </w:rPr>
              <w:tab/>
            </w:r>
            <w:r w:rsidR="00086EA9" w:rsidRPr="00DF44D1">
              <w:rPr>
                <w:rStyle w:val="Hypertextovodkaz"/>
                <w:noProof/>
              </w:rPr>
              <w:t>Národní politika výzkumu, vývoje a inovací ČR pro léta 2021+</w:t>
            </w:r>
            <w:r w:rsidR="00086EA9">
              <w:rPr>
                <w:noProof/>
                <w:webHidden/>
              </w:rPr>
              <w:tab/>
            </w:r>
            <w:r w:rsidR="00086EA9">
              <w:rPr>
                <w:noProof/>
                <w:webHidden/>
              </w:rPr>
              <w:fldChar w:fldCharType="begin"/>
            </w:r>
            <w:r w:rsidR="00086EA9">
              <w:rPr>
                <w:noProof/>
                <w:webHidden/>
              </w:rPr>
              <w:instrText xml:space="preserve"> PAGEREF _Toc67906054 \h </w:instrText>
            </w:r>
            <w:r w:rsidR="00086EA9">
              <w:rPr>
                <w:noProof/>
                <w:webHidden/>
              </w:rPr>
            </w:r>
            <w:r w:rsidR="00086EA9">
              <w:rPr>
                <w:noProof/>
                <w:webHidden/>
              </w:rPr>
              <w:fldChar w:fldCharType="separate"/>
            </w:r>
            <w:r w:rsidR="00086EA9">
              <w:rPr>
                <w:noProof/>
                <w:webHidden/>
              </w:rPr>
              <w:t>8</w:t>
            </w:r>
            <w:r w:rsidR="00086EA9">
              <w:rPr>
                <w:noProof/>
                <w:webHidden/>
              </w:rPr>
              <w:fldChar w:fldCharType="end"/>
            </w:r>
          </w:hyperlink>
        </w:p>
        <w:p w14:paraId="5ED92F00" w14:textId="436C9D84" w:rsidR="00086EA9" w:rsidRDefault="00B73D47">
          <w:pPr>
            <w:pStyle w:val="Obsah2"/>
            <w:rPr>
              <w:rFonts w:asciiTheme="minorHAnsi" w:eastAsiaTheme="minorEastAsia" w:hAnsiTheme="minorHAnsi" w:cstheme="minorBidi"/>
              <w:noProof/>
            </w:rPr>
          </w:pPr>
          <w:hyperlink w:anchor="_Toc67906055" w:history="1">
            <w:r w:rsidR="00086EA9" w:rsidRPr="00DF44D1">
              <w:rPr>
                <w:rStyle w:val="Hypertextovodkaz"/>
                <w:noProof/>
              </w:rPr>
              <w:t>1.7</w:t>
            </w:r>
            <w:r w:rsidR="00086EA9">
              <w:rPr>
                <w:rFonts w:asciiTheme="minorHAnsi" w:eastAsiaTheme="minorEastAsia" w:hAnsiTheme="minorHAnsi" w:cstheme="minorBidi"/>
                <w:noProof/>
              </w:rPr>
              <w:tab/>
            </w:r>
            <w:r w:rsidR="00086EA9" w:rsidRPr="00DF44D1">
              <w:rPr>
                <w:rStyle w:val="Hypertextovodkaz"/>
                <w:noProof/>
              </w:rPr>
              <w:t>Cílová skupina projektu</w:t>
            </w:r>
            <w:r w:rsidR="00086EA9">
              <w:rPr>
                <w:noProof/>
                <w:webHidden/>
              </w:rPr>
              <w:tab/>
            </w:r>
            <w:r w:rsidR="00086EA9">
              <w:rPr>
                <w:noProof/>
                <w:webHidden/>
              </w:rPr>
              <w:fldChar w:fldCharType="begin"/>
            </w:r>
            <w:r w:rsidR="00086EA9">
              <w:rPr>
                <w:noProof/>
                <w:webHidden/>
              </w:rPr>
              <w:instrText xml:space="preserve"> PAGEREF _Toc67906055 \h </w:instrText>
            </w:r>
            <w:r w:rsidR="00086EA9">
              <w:rPr>
                <w:noProof/>
                <w:webHidden/>
              </w:rPr>
            </w:r>
            <w:r w:rsidR="00086EA9">
              <w:rPr>
                <w:noProof/>
                <w:webHidden/>
              </w:rPr>
              <w:fldChar w:fldCharType="separate"/>
            </w:r>
            <w:r w:rsidR="00086EA9">
              <w:rPr>
                <w:noProof/>
                <w:webHidden/>
              </w:rPr>
              <w:t>8</w:t>
            </w:r>
            <w:r w:rsidR="00086EA9">
              <w:rPr>
                <w:noProof/>
                <w:webHidden/>
              </w:rPr>
              <w:fldChar w:fldCharType="end"/>
            </w:r>
          </w:hyperlink>
        </w:p>
        <w:p w14:paraId="4CECF408" w14:textId="754B3AD1" w:rsidR="00086EA9" w:rsidRDefault="00B73D47">
          <w:pPr>
            <w:pStyle w:val="Obsah2"/>
            <w:rPr>
              <w:rFonts w:asciiTheme="minorHAnsi" w:eastAsiaTheme="minorEastAsia" w:hAnsiTheme="minorHAnsi" w:cstheme="minorBidi"/>
              <w:noProof/>
            </w:rPr>
          </w:pPr>
          <w:hyperlink w:anchor="_Toc67906056" w:history="1">
            <w:r w:rsidR="00086EA9" w:rsidRPr="00DF44D1">
              <w:rPr>
                <w:rStyle w:val="Hypertextovodkaz"/>
                <w:noProof/>
              </w:rPr>
              <w:t>1.8</w:t>
            </w:r>
            <w:r w:rsidR="00086EA9">
              <w:rPr>
                <w:rFonts w:asciiTheme="minorHAnsi" w:eastAsiaTheme="minorEastAsia" w:hAnsiTheme="minorHAnsi" w:cstheme="minorBidi"/>
                <w:noProof/>
              </w:rPr>
              <w:tab/>
            </w:r>
            <w:r w:rsidR="00086EA9" w:rsidRPr="00DF44D1">
              <w:rPr>
                <w:rStyle w:val="Hypertextovodkaz"/>
                <w:noProof/>
              </w:rPr>
              <w:t>Očekávané přínosy projektu</w:t>
            </w:r>
            <w:r w:rsidR="00086EA9">
              <w:rPr>
                <w:noProof/>
                <w:webHidden/>
              </w:rPr>
              <w:tab/>
            </w:r>
            <w:r w:rsidR="00086EA9">
              <w:rPr>
                <w:noProof/>
                <w:webHidden/>
              </w:rPr>
              <w:fldChar w:fldCharType="begin"/>
            </w:r>
            <w:r w:rsidR="00086EA9">
              <w:rPr>
                <w:noProof/>
                <w:webHidden/>
              </w:rPr>
              <w:instrText xml:space="preserve"> PAGEREF _Toc67906056 \h </w:instrText>
            </w:r>
            <w:r w:rsidR="00086EA9">
              <w:rPr>
                <w:noProof/>
                <w:webHidden/>
              </w:rPr>
            </w:r>
            <w:r w:rsidR="00086EA9">
              <w:rPr>
                <w:noProof/>
                <w:webHidden/>
              </w:rPr>
              <w:fldChar w:fldCharType="separate"/>
            </w:r>
            <w:r w:rsidR="00086EA9">
              <w:rPr>
                <w:noProof/>
                <w:webHidden/>
              </w:rPr>
              <w:t>9</w:t>
            </w:r>
            <w:r w:rsidR="00086EA9">
              <w:rPr>
                <w:noProof/>
                <w:webHidden/>
              </w:rPr>
              <w:fldChar w:fldCharType="end"/>
            </w:r>
          </w:hyperlink>
        </w:p>
        <w:p w14:paraId="395AB95D" w14:textId="3E72B88B" w:rsidR="00086EA9" w:rsidRDefault="00B73D47">
          <w:pPr>
            <w:pStyle w:val="Obsah1"/>
            <w:rPr>
              <w:rFonts w:asciiTheme="minorHAnsi" w:eastAsiaTheme="minorEastAsia" w:hAnsiTheme="minorHAnsi" w:cstheme="minorBidi"/>
              <w:noProof/>
            </w:rPr>
          </w:pPr>
          <w:hyperlink w:anchor="_Toc67906057" w:history="1">
            <w:r w:rsidR="00086EA9" w:rsidRPr="00DF44D1">
              <w:rPr>
                <w:rStyle w:val="Hypertextovodkaz"/>
                <w:noProof/>
              </w:rPr>
              <w:t>2</w:t>
            </w:r>
            <w:r w:rsidR="00086EA9">
              <w:rPr>
                <w:rFonts w:asciiTheme="minorHAnsi" w:eastAsiaTheme="minorEastAsia" w:hAnsiTheme="minorHAnsi" w:cstheme="minorBidi"/>
                <w:noProof/>
              </w:rPr>
              <w:tab/>
            </w:r>
            <w:r w:rsidR="00086EA9" w:rsidRPr="00DF44D1">
              <w:rPr>
                <w:rStyle w:val="Hypertextovodkaz"/>
                <w:noProof/>
              </w:rPr>
              <w:t>REALIZACE</w:t>
            </w:r>
            <w:r w:rsidR="00086EA9">
              <w:rPr>
                <w:noProof/>
                <w:webHidden/>
              </w:rPr>
              <w:tab/>
            </w:r>
            <w:r w:rsidR="00086EA9">
              <w:rPr>
                <w:noProof/>
                <w:webHidden/>
              </w:rPr>
              <w:fldChar w:fldCharType="begin"/>
            </w:r>
            <w:r w:rsidR="00086EA9">
              <w:rPr>
                <w:noProof/>
                <w:webHidden/>
              </w:rPr>
              <w:instrText xml:space="preserve"> PAGEREF _Toc67906057 \h </w:instrText>
            </w:r>
            <w:r w:rsidR="00086EA9">
              <w:rPr>
                <w:noProof/>
                <w:webHidden/>
              </w:rPr>
            </w:r>
            <w:r w:rsidR="00086EA9">
              <w:rPr>
                <w:noProof/>
                <w:webHidden/>
              </w:rPr>
              <w:fldChar w:fldCharType="separate"/>
            </w:r>
            <w:r w:rsidR="00086EA9">
              <w:rPr>
                <w:noProof/>
                <w:webHidden/>
              </w:rPr>
              <w:t>9</w:t>
            </w:r>
            <w:r w:rsidR="00086EA9">
              <w:rPr>
                <w:noProof/>
                <w:webHidden/>
              </w:rPr>
              <w:fldChar w:fldCharType="end"/>
            </w:r>
          </w:hyperlink>
        </w:p>
        <w:p w14:paraId="6885F22F" w14:textId="27516358" w:rsidR="00086EA9" w:rsidRDefault="00B73D47">
          <w:pPr>
            <w:pStyle w:val="Obsah2"/>
            <w:rPr>
              <w:rFonts w:asciiTheme="minorHAnsi" w:eastAsiaTheme="minorEastAsia" w:hAnsiTheme="minorHAnsi" w:cstheme="minorBidi"/>
              <w:noProof/>
            </w:rPr>
          </w:pPr>
          <w:hyperlink w:anchor="_Toc67906058" w:history="1">
            <w:r w:rsidR="00086EA9" w:rsidRPr="00DF44D1">
              <w:rPr>
                <w:rStyle w:val="Hypertextovodkaz"/>
                <w:noProof/>
              </w:rPr>
              <w:t>2.1</w:t>
            </w:r>
            <w:r w:rsidR="00086EA9">
              <w:rPr>
                <w:rFonts w:asciiTheme="minorHAnsi" w:eastAsiaTheme="minorEastAsia" w:hAnsiTheme="minorHAnsi" w:cstheme="minorBidi"/>
                <w:noProof/>
              </w:rPr>
              <w:tab/>
            </w:r>
            <w:r w:rsidR="00086EA9" w:rsidRPr="00DF44D1">
              <w:rPr>
                <w:rStyle w:val="Hypertextovodkaz"/>
                <w:noProof/>
              </w:rPr>
              <w:t>Popis projektových aktivit</w:t>
            </w:r>
            <w:r w:rsidR="00086EA9">
              <w:rPr>
                <w:noProof/>
                <w:webHidden/>
              </w:rPr>
              <w:tab/>
            </w:r>
            <w:r w:rsidR="00086EA9">
              <w:rPr>
                <w:noProof/>
                <w:webHidden/>
              </w:rPr>
              <w:fldChar w:fldCharType="begin"/>
            </w:r>
            <w:r w:rsidR="00086EA9">
              <w:rPr>
                <w:noProof/>
                <w:webHidden/>
              </w:rPr>
              <w:instrText xml:space="preserve"> PAGEREF _Toc67906058 \h </w:instrText>
            </w:r>
            <w:r w:rsidR="00086EA9">
              <w:rPr>
                <w:noProof/>
                <w:webHidden/>
              </w:rPr>
            </w:r>
            <w:r w:rsidR="00086EA9">
              <w:rPr>
                <w:noProof/>
                <w:webHidden/>
              </w:rPr>
              <w:fldChar w:fldCharType="separate"/>
            </w:r>
            <w:r w:rsidR="00086EA9">
              <w:rPr>
                <w:noProof/>
                <w:webHidden/>
              </w:rPr>
              <w:t>9</w:t>
            </w:r>
            <w:r w:rsidR="00086EA9">
              <w:rPr>
                <w:noProof/>
                <w:webHidden/>
              </w:rPr>
              <w:fldChar w:fldCharType="end"/>
            </w:r>
          </w:hyperlink>
        </w:p>
        <w:p w14:paraId="75A8E743" w14:textId="40C48566" w:rsidR="00086EA9" w:rsidRDefault="00B73D47">
          <w:pPr>
            <w:pStyle w:val="Obsah2"/>
            <w:rPr>
              <w:rFonts w:asciiTheme="minorHAnsi" w:eastAsiaTheme="minorEastAsia" w:hAnsiTheme="minorHAnsi" w:cstheme="minorBidi"/>
              <w:noProof/>
            </w:rPr>
          </w:pPr>
          <w:hyperlink w:anchor="_Toc67906059" w:history="1">
            <w:r w:rsidR="00086EA9" w:rsidRPr="00DF44D1">
              <w:rPr>
                <w:rStyle w:val="Hypertextovodkaz"/>
                <w:noProof/>
              </w:rPr>
              <w:t>2.2</w:t>
            </w:r>
            <w:r w:rsidR="00086EA9">
              <w:rPr>
                <w:rFonts w:asciiTheme="minorHAnsi" w:eastAsiaTheme="minorEastAsia" w:hAnsiTheme="minorHAnsi" w:cstheme="minorBidi"/>
                <w:noProof/>
              </w:rPr>
              <w:tab/>
            </w:r>
            <w:r w:rsidR="00086EA9" w:rsidRPr="00DF44D1">
              <w:rPr>
                <w:rStyle w:val="Hypertextovodkaz"/>
                <w:noProof/>
              </w:rPr>
              <w:t>Modul 1 – Výzkumné a inovační systémy</w:t>
            </w:r>
            <w:r w:rsidR="00086EA9">
              <w:rPr>
                <w:noProof/>
                <w:webHidden/>
              </w:rPr>
              <w:tab/>
            </w:r>
            <w:r w:rsidR="00086EA9">
              <w:rPr>
                <w:noProof/>
                <w:webHidden/>
              </w:rPr>
              <w:fldChar w:fldCharType="begin"/>
            </w:r>
            <w:r w:rsidR="00086EA9">
              <w:rPr>
                <w:noProof/>
                <w:webHidden/>
              </w:rPr>
              <w:instrText xml:space="preserve"> PAGEREF _Toc67906059 \h </w:instrText>
            </w:r>
            <w:r w:rsidR="00086EA9">
              <w:rPr>
                <w:noProof/>
                <w:webHidden/>
              </w:rPr>
            </w:r>
            <w:r w:rsidR="00086EA9">
              <w:rPr>
                <w:noProof/>
                <w:webHidden/>
              </w:rPr>
              <w:fldChar w:fldCharType="separate"/>
            </w:r>
            <w:r w:rsidR="00086EA9">
              <w:rPr>
                <w:noProof/>
                <w:webHidden/>
              </w:rPr>
              <w:t>10</w:t>
            </w:r>
            <w:r w:rsidR="00086EA9">
              <w:rPr>
                <w:noProof/>
                <w:webHidden/>
              </w:rPr>
              <w:fldChar w:fldCharType="end"/>
            </w:r>
          </w:hyperlink>
        </w:p>
        <w:p w14:paraId="6BBCEEA5" w14:textId="3987F73A" w:rsidR="00086EA9" w:rsidRDefault="00B73D47">
          <w:pPr>
            <w:pStyle w:val="Obsah3"/>
            <w:rPr>
              <w:rFonts w:asciiTheme="minorHAnsi" w:eastAsiaTheme="minorEastAsia" w:hAnsiTheme="minorHAnsi" w:cstheme="minorBidi"/>
              <w:noProof/>
            </w:rPr>
          </w:pPr>
          <w:hyperlink w:anchor="_Toc67906060" w:history="1">
            <w:r w:rsidR="00086EA9" w:rsidRPr="00DF44D1">
              <w:rPr>
                <w:rStyle w:val="Hypertextovodkaz"/>
                <w:noProof/>
              </w:rPr>
              <w:t>2.2.1</w:t>
            </w:r>
            <w:r w:rsidR="00086EA9">
              <w:rPr>
                <w:rFonts w:asciiTheme="minorHAnsi" w:eastAsiaTheme="minorEastAsia" w:hAnsiTheme="minorHAnsi" w:cstheme="minorBidi"/>
                <w:noProof/>
              </w:rPr>
              <w:tab/>
            </w:r>
            <w:r w:rsidR="00086EA9" w:rsidRPr="00DF44D1">
              <w:rPr>
                <w:rStyle w:val="Hypertextovodkaz"/>
                <w:noProof/>
              </w:rPr>
              <w:t>Okruh aktivit 1.2 – Analytická podpora politik na podporu internacionalizace VaVaI v ČR</w:t>
            </w:r>
            <w:r w:rsidR="00086EA9">
              <w:rPr>
                <w:noProof/>
                <w:webHidden/>
              </w:rPr>
              <w:tab/>
            </w:r>
            <w:r w:rsidR="00086EA9">
              <w:rPr>
                <w:noProof/>
                <w:webHidden/>
              </w:rPr>
              <w:fldChar w:fldCharType="begin"/>
            </w:r>
            <w:r w:rsidR="00086EA9">
              <w:rPr>
                <w:noProof/>
                <w:webHidden/>
              </w:rPr>
              <w:instrText xml:space="preserve"> PAGEREF _Toc67906060 \h </w:instrText>
            </w:r>
            <w:r w:rsidR="00086EA9">
              <w:rPr>
                <w:noProof/>
                <w:webHidden/>
              </w:rPr>
            </w:r>
            <w:r w:rsidR="00086EA9">
              <w:rPr>
                <w:noProof/>
                <w:webHidden/>
              </w:rPr>
              <w:fldChar w:fldCharType="separate"/>
            </w:r>
            <w:r w:rsidR="00086EA9">
              <w:rPr>
                <w:noProof/>
                <w:webHidden/>
              </w:rPr>
              <w:t>10</w:t>
            </w:r>
            <w:r w:rsidR="00086EA9">
              <w:rPr>
                <w:noProof/>
                <w:webHidden/>
              </w:rPr>
              <w:fldChar w:fldCharType="end"/>
            </w:r>
          </w:hyperlink>
        </w:p>
        <w:p w14:paraId="4A1C3324" w14:textId="2CB64DCA" w:rsidR="00086EA9" w:rsidRDefault="00B73D47">
          <w:pPr>
            <w:pStyle w:val="Obsah3"/>
            <w:rPr>
              <w:rFonts w:asciiTheme="minorHAnsi" w:eastAsiaTheme="minorEastAsia" w:hAnsiTheme="minorHAnsi" w:cstheme="minorBidi"/>
              <w:noProof/>
            </w:rPr>
          </w:pPr>
          <w:hyperlink w:anchor="_Toc67906061" w:history="1">
            <w:r w:rsidR="00086EA9" w:rsidRPr="00DF44D1">
              <w:rPr>
                <w:rStyle w:val="Hypertextovodkaz"/>
                <w:noProof/>
              </w:rPr>
              <w:t>2.2.2</w:t>
            </w:r>
            <w:r w:rsidR="00086EA9">
              <w:rPr>
                <w:rFonts w:asciiTheme="minorHAnsi" w:eastAsiaTheme="minorEastAsia" w:hAnsiTheme="minorHAnsi" w:cstheme="minorBidi"/>
                <w:noProof/>
              </w:rPr>
              <w:tab/>
            </w:r>
            <w:r w:rsidR="00086EA9" w:rsidRPr="00DF44D1">
              <w:rPr>
                <w:rStyle w:val="Hypertextovodkaz"/>
                <w:noProof/>
              </w:rPr>
              <w:t>Okruh aktivit 1.3 – Analytická podpora řízení a aktualizace Národní RIS3</w:t>
            </w:r>
            <w:r w:rsidR="00086EA9">
              <w:rPr>
                <w:noProof/>
                <w:webHidden/>
              </w:rPr>
              <w:tab/>
            </w:r>
            <w:r w:rsidR="00086EA9">
              <w:rPr>
                <w:noProof/>
                <w:webHidden/>
              </w:rPr>
              <w:fldChar w:fldCharType="begin"/>
            </w:r>
            <w:r w:rsidR="00086EA9">
              <w:rPr>
                <w:noProof/>
                <w:webHidden/>
              </w:rPr>
              <w:instrText xml:space="preserve"> PAGEREF _Toc67906061 \h </w:instrText>
            </w:r>
            <w:r w:rsidR="00086EA9">
              <w:rPr>
                <w:noProof/>
                <w:webHidden/>
              </w:rPr>
            </w:r>
            <w:r w:rsidR="00086EA9">
              <w:rPr>
                <w:noProof/>
                <w:webHidden/>
              </w:rPr>
              <w:fldChar w:fldCharType="separate"/>
            </w:r>
            <w:r w:rsidR="00086EA9">
              <w:rPr>
                <w:noProof/>
                <w:webHidden/>
              </w:rPr>
              <w:t>10</w:t>
            </w:r>
            <w:r w:rsidR="00086EA9">
              <w:rPr>
                <w:noProof/>
                <w:webHidden/>
              </w:rPr>
              <w:fldChar w:fldCharType="end"/>
            </w:r>
          </w:hyperlink>
        </w:p>
        <w:p w14:paraId="36E2C804" w14:textId="10053EE5" w:rsidR="00086EA9" w:rsidRDefault="00B73D47">
          <w:pPr>
            <w:pStyle w:val="Obsah3"/>
            <w:rPr>
              <w:rFonts w:asciiTheme="minorHAnsi" w:eastAsiaTheme="minorEastAsia" w:hAnsiTheme="minorHAnsi" w:cstheme="minorBidi"/>
              <w:noProof/>
            </w:rPr>
          </w:pPr>
          <w:hyperlink w:anchor="_Toc67906062" w:history="1">
            <w:r w:rsidR="00086EA9" w:rsidRPr="00DF44D1">
              <w:rPr>
                <w:rStyle w:val="Hypertextovodkaz"/>
                <w:noProof/>
              </w:rPr>
              <w:t>2.2.3</w:t>
            </w:r>
            <w:r w:rsidR="00086EA9">
              <w:rPr>
                <w:rFonts w:asciiTheme="minorHAnsi" w:eastAsiaTheme="minorEastAsia" w:hAnsiTheme="minorHAnsi" w:cstheme="minorBidi"/>
                <w:noProof/>
              </w:rPr>
              <w:tab/>
            </w:r>
            <w:r w:rsidR="00086EA9" w:rsidRPr="00DF44D1">
              <w:rPr>
                <w:rStyle w:val="Hypertextovodkaz"/>
                <w:noProof/>
              </w:rPr>
              <w:t>Okruh aktivit 1.4 – Evaluace průběhu, výsledků a přínosů Národní RIS3 a souvisejících strategií</w:t>
            </w:r>
            <w:r w:rsidR="00086EA9">
              <w:rPr>
                <w:noProof/>
                <w:webHidden/>
              </w:rPr>
              <w:tab/>
            </w:r>
            <w:r w:rsidR="00086EA9">
              <w:rPr>
                <w:noProof/>
                <w:webHidden/>
              </w:rPr>
              <w:fldChar w:fldCharType="begin"/>
            </w:r>
            <w:r w:rsidR="00086EA9">
              <w:rPr>
                <w:noProof/>
                <w:webHidden/>
              </w:rPr>
              <w:instrText xml:space="preserve"> PAGEREF _Toc67906062 \h </w:instrText>
            </w:r>
            <w:r w:rsidR="00086EA9">
              <w:rPr>
                <w:noProof/>
                <w:webHidden/>
              </w:rPr>
            </w:r>
            <w:r w:rsidR="00086EA9">
              <w:rPr>
                <w:noProof/>
                <w:webHidden/>
              </w:rPr>
              <w:fldChar w:fldCharType="separate"/>
            </w:r>
            <w:r w:rsidR="00086EA9">
              <w:rPr>
                <w:noProof/>
                <w:webHidden/>
              </w:rPr>
              <w:t>11</w:t>
            </w:r>
            <w:r w:rsidR="00086EA9">
              <w:rPr>
                <w:noProof/>
                <w:webHidden/>
              </w:rPr>
              <w:fldChar w:fldCharType="end"/>
            </w:r>
          </w:hyperlink>
        </w:p>
        <w:p w14:paraId="3520166C" w14:textId="257F558B" w:rsidR="00086EA9" w:rsidRDefault="00B73D47">
          <w:pPr>
            <w:pStyle w:val="Obsah3"/>
            <w:rPr>
              <w:rFonts w:asciiTheme="minorHAnsi" w:eastAsiaTheme="minorEastAsia" w:hAnsiTheme="minorHAnsi" w:cstheme="minorBidi"/>
              <w:noProof/>
            </w:rPr>
          </w:pPr>
          <w:hyperlink w:anchor="_Toc67906063" w:history="1">
            <w:r w:rsidR="00086EA9" w:rsidRPr="00DF44D1">
              <w:rPr>
                <w:rStyle w:val="Hypertextovodkaz"/>
                <w:noProof/>
              </w:rPr>
              <w:t>2.2.4</w:t>
            </w:r>
            <w:r w:rsidR="00086EA9">
              <w:rPr>
                <w:rFonts w:asciiTheme="minorHAnsi" w:eastAsiaTheme="minorEastAsia" w:hAnsiTheme="minorHAnsi" w:cstheme="minorBidi"/>
                <w:noProof/>
              </w:rPr>
              <w:tab/>
            </w:r>
            <w:r w:rsidR="00086EA9" w:rsidRPr="00DF44D1">
              <w:rPr>
                <w:rStyle w:val="Hypertextovodkaz"/>
                <w:noProof/>
              </w:rPr>
              <w:t>Okruh aktivit 1.5 – Analýza socioekonomických přínosů a dopadů velkých výzkumných infrastruktur</w:t>
            </w:r>
            <w:r w:rsidR="00086EA9">
              <w:rPr>
                <w:noProof/>
                <w:webHidden/>
              </w:rPr>
              <w:tab/>
            </w:r>
            <w:r w:rsidR="00086EA9">
              <w:rPr>
                <w:noProof/>
                <w:webHidden/>
              </w:rPr>
              <w:fldChar w:fldCharType="begin"/>
            </w:r>
            <w:r w:rsidR="00086EA9">
              <w:rPr>
                <w:noProof/>
                <w:webHidden/>
              </w:rPr>
              <w:instrText xml:space="preserve"> PAGEREF _Toc67906063 \h </w:instrText>
            </w:r>
            <w:r w:rsidR="00086EA9">
              <w:rPr>
                <w:noProof/>
                <w:webHidden/>
              </w:rPr>
            </w:r>
            <w:r w:rsidR="00086EA9">
              <w:rPr>
                <w:noProof/>
                <w:webHidden/>
              </w:rPr>
              <w:fldChar w:fldCharType="separate"/>
            </w:r>
            <w:r w:rsidR="00086EA9">
              <w:rPr>
                <w:noProof/>
                <w:webHidden/>
              </w:rPr>
              <w:t>11</w:t>
            </w:r>
            <w:r w:rsidR="00086EA9">
              <w:rPr>
                <w:noProof/>
                <w:webHidden/>
              </w:rPr>
              <w:fldChar w:fldCharType="end"/>
            </w:r>
          </w:hyperlink>
        </w:p>
        <w:p w14:paraId="2B090653" w14:textId="31DA8E76" w:rsidR="00086EA9" w:rsidRDefault="00B73D47">
          <w:pPr>
            <w:pStyle w:val="Obsah2"/>
            <w:rPr>
              <w:rFonts w:asciiTheme="minorHAnsi" w:eastAsiaTheme="minorEastAsia" w:hAnsiTheme="minorHAnsi" w:cstheme="minorBidi"/>
              <w:noProof/>
            </w:rPr>
          </w:pPr>
          <w:hyperlink w:anchor="_Toc67906064" w:history="1">
            <w:r w:rsidR="00086EA9" w:rsidRPr="00DF44D1">
              <w:rPr>
                <w:rStyle w:val="Hypertextovodkaz"/>
                <w:noProof/>
              </w:rPr>
              <w:t>2.3</w:t>
            </w:r>
            <w:r w:rsidR="00086EA9">
              <w:rPr>
                <w:rFonts w:asciiTheme="minorHAnsi" w:eastAsiaTheme="minorEastAsia" w:hAnsiTheme="minorHAnsi" w:cstheme="minorBidi"/>
                <w:noProof/>
              </w:rPr>
              <w:tab/>
            </w:r>
            <w:r w:rsidR="00086EA9" w:rsidRPr="00DF44D1">
              <w:rPr>
                <w:rStyle w:val="Hypertextovodkaz"/>
                <w:noProof/>
              </w:rPr>
              <w:t>Modul 2 – Horizon scanning a strategický foresight</w:t>
            </w:r>
            <w:r w:rsidR="00086EA9">
              <w:rPr>
                <w:noProof/>
                <w:webHidden/>
              </w:rPr>
              <w:tab/>
            </w:r>
            <w:r w:rsidR="00086EA9">
              <w:rPr>
                <w:noProof/>
                <w:webHidden/>
              </w:rPr>
              <w:fldChar w:fldCharType="begin"/>
            </w:r>
            <w:r w:rsidR="00086EA9">
              <w:rPr>
                <w:noProof/>
                <w:webHidden/>
              </w:rPr>
              <w:instrText xml:space="preserve"> PAGEREF _Toc67906064 \h </w:instrText>
            </w:r>
            <w:r w:rsidR="00086EA9">
              <w:rPr>
                <w:noProof/>
                <w:webHidden/>
              </w:rPr>
            </w:r>
            <w:r w:rsidR="00086EA9">
              <w:rPr>
                <w:noProof/>
                <w:webHidden/>
              </w:rPr>
              <w:fldChar w:fldCharType="separate"/>
            </w:r>
            <w:r w:rsidR="00086EA9">
              <w:rPr>
                <w:noProof/>
                <w:webHidden/>
              </w:rPr>
              <w:t>12</w:t>
            </w:r>
            <w:r w:rsidR="00086EA9">
              <w:rPr>
                <w:noProof/>
                <w:webHidden/>
              </w:rPr>
              <w:fldChar w:fldCharType="end"/>
            </w:r>
          </w:hyperlink>
        </w:p>
        <w:p w14:paraId="144476DF" w14:textId="6004A028" w:rsidR="00086EA9" w:rsidRDefault="00B73D47">
          <w:pPr>
            <w:pStyle w:val="Obsah3"/>
            <w:rPr>
              <w:rFonts w:asciiTheme="minorHAnsi" w:eastAsiaTheme="minorEastAsia" w:hAnsiTheme="minorHAnsi" w:cstheme="minorBidi"/>
              <w:noProof/>
            </w:rPr>
          </w:pPr>
          <w:hyperlink w:anchor="_Toc67906065" w:history="1">
            <w:r w:rsidR="00086EA9" w:rsidRPr="00DF44D1">
              <w:rPr>
                <w:rStyle w:val="Hypertextovodkaz"/>
                <w:noProof/>
              </w:rPr>
              <w:t>2.3.1</w:t>
            </w:r>
            <w:r w:rsidR="00086EA9">
              <w:rPr>
                <w:rFonts w:asciiTheme="minorHAnsi" w:eastAsiaTheme="minorEastAsia" w:hAnsiTheme="minorHAnsi" w:cstheme="minorBidi"/>
                <w:noProof/>
              </w:rPr>
              <w:tab/>
            </w:r>
            <w:r w:rsidR="00086EA9" w:rsidRPr="00DF44D1">
              <w:rPr>
                <w:rStyle w:val="Hypertextovodkaz"/>
                <w:noProof/>
              </w:rPr>
              <w:t>Okruh aktivit 2.1 – Technology scanning – identifikace a posuzování nových technologií</w:t>
            </w:r>
            <w:r w:rsidR="00086EA9">
              <w:rPr>
                <w:noProof/>
                <w:webHidden/>
              </w:rPr>
              <w:tab/>
            </w:r>
            <w:r w:rsidR="00086EA9">
              <w:rPr>
                <w:noProof/>
                <w:webHidden/>
              </w:rPr>
              <w:fldChar w:fldCharType="begin"/>
            </w:r>
            <w:r w:rsidR="00086EA9">
              <w:rPr>
                <w:noProof/>
                <w:webHidden/>
              </w:rPr>
              <w:instrText xml:space="preserve"> PAGEREF _Toc67906065 \h </w:instrText>
            </w:r>
            <w:r w:rsidR="00086EA9">
              <w:rPr>
                <w:noProof/>
                <w:webHidden/>
              </w:rPr>
            </w:r>
            <w:r w:rsidR="00086EA9">
              <w:rPr>
                <w:noProof/>
                <w:webHidden/>
              </w:rPr>
              <w:fldChar w:fldCharType="separate"/>
            </w:r>
            <w:r w:rsidR="00086EA9">
              <w:rPr>
                <w:noProof/>
                <w:webHidden/>
              </w:rPr>
              <w:t>12</w:t>
            </w:r>
            <w:r w:rsidR="00086EA9">
              <w:rPr>
                <w:noProof/>
                <w:webHidden/>
              </w:rPr>
              <w:fldChar w:fldCharType="end"/>
            </w:r>
          </w:hyperlink>
        </w:p>
        <w:p w14:paraId="2190FEE3" w14:textId="6A1332EA" w:rsidR="00086EA9" w:rsidRDefault="00B73D47">
          <w:pPr>
            <w:pStyle w:val="Obsah3"/>
            <w:rPr>
              <w:rFonts w:asciiTheme="minorHAnsi" w:eastAsiaTheme="minorEastAsia" w:hAnsiTheme="minorHAnsi" w:cstheme="minorBidi"/>
              <w:noProof/>
            </w:rPr>
          </w:pPr>
          <w:hyperlink w:anchor="_Toc67906066" w:history="1">
            <w:r w:rsidR="00086EA9" w:rsidRPr="00DF44D1">
              <w:rPr>
                <w:rStyle w:val="Hypertextovodkaz"/>
                <w:noProof/>
              </w:rPr>
              <w:t>2.3.2</w:t>
            </w:r>
            <w:r w:rsidR="00086EA9">
              <w:rPr>
                <w:rFonts w:asciiTheme="minorHAnsi" w:eastAsiaTheme="minorEastAsia" w:hAnsiTheme="minorHAnsi" w:cstheme="minorBidi"/>
                <w:noProof/>
              </w:rPr>
              <w:tab/>
            </w:r>
            <w:r w:rsidR="00086EA9" w:rsidRPr="00DF44D1">
              <w:rPr>
                <w:rStyle w:val="Hypertextovodkaz"/>
                <w:noProof/>
              </w:rPr>
              <w:t>Okruh aktivit 2.2 – Strategický foresight pro internacionalizaci VaVaI</w:t>
            </w:r>
            <w:r w:rsidR="00086EA9">
              <w:rPr>
                <w:noProof/>
                <w:webHidden/>
              </w:rPr>
              <w:tab/>
            </w:r>
            <w:r w:rsidR="00086EA9">
              <w:rPr>
                <w:noProof/>
                <w:webHidden/>
              </w:rPr>
              <w:fldChar w:fldCharType="begin"/>
            </w:r>
            <w:r w:rsidR="00086EA9">
              <w:rPr>
                <w:noProof/>
                <w:webHidden/>
              </w:rPr>
              <w:instrText xml:space="preserve"> PAGEREF _Toc67906066 \h </w:instrText>
            </w:r>
            <w:r w:rsidR="00086EA9">
              <w:rPr>
                <w:noProof/>
                <w:webHidden/>
              </w:rPr>
            </w:r>
            <w:r w:rsidR="00086EA9">
              <w:rPr>
                <w:noProof/>
                <w:webHidden/>
              </w:rPr>
              <w:fldChar w:fldCharType="separate"/>
            </w:r>
            <w:r w:rsidR="00086EA9">
              <w:rPr>
                <w:noProof/>
                <w:webHidden/>
              </w:rPr>
              <w:t>12</w:t>
            </w:r>
            <w:r w:rsidR="00086EA9">
              <w:rPr>
                <w:noProof/>
                <w:webHidden/>
              </w:rPr>
              <w:fldChar w:fldCharType="end"/>
            </w:r>
          </w:hyperlink>
        </w:p>
        <w:p w14:paraId="528F14F1" w14:textId="64F980A3" w:rsidR="00086EA9" w:rsidRDefault="00B73D47">
          <w:pPr>
            <w:pStyle w:val="Obsah3"/>
            <w:rPr>
              <w:rFonts w:asciiTheme="minorHAnsi" w:eastAsiaTheme="minorEastAsia" w:hAnsiTheme="minorHAnsi" w:cstheme="minorBidi"/>
              <w:noProof/>
            </w:rPr>
          </w:pPr>
          <w:hyperlink w:anchor="_Toc67906067" w:history="1">
            <w:r w:rsidR="00086EA9" w:rsidRPr="00DF44D1">
              <w:rPr>
                <w:rStyle w:val="Hypertextovodkaz"/>
                <w:noProof/>
              </w:rPr>
              <w:t>2.3.3</w:t>
            </w:r>
            <w:r w:rsidR="00086EA9">
              <w:rPr>
                <w:rFonts w:asciiTheme="minorHAnsi" w:eastAsiaTheme="minorEastAsia" w:hAnsiTheme="minorHAnsi" w:cstheme="minorBidi"/>
                <w:noProof/>
              </w:rPr>
              <w:tab/>
            </w:r>
            <w:r w:rsidR="00086EA9" w:rsidRPr="00DF44D1">
              <w:rPr>
                <w:rStyle w:val="Hypertextovodkaz"/>
                <w:noProof/>
              </w:rPr>
              <w:t>Okruh aktivit 2.3 – Strategický foresight pro inteligentní specializaci</w:t>
            </w:r>
            <w:r w:rsidR="00086EA9">
              <w:rPr>
                <w:noProof/>
                <w:webHidden/>
              </w:rPr>
              <w:tab/>
            </w:r>
            <w:r w:rsidR="00086EA9">
              <w:rPr>
                <w:noProof/>
                <w:webHidden/>
              </w:rPr>
              <w:fldChar w:fldCharType="begin"/>
            </w:r>
            <w:r w:rsidR="00086EA9">
              <w:rPr>
                <w:noProof/>
                <w:webHidden/>
              </w:rPr>
              <w:instrText xml:space="preserve"> PAGEREF _Toc67906067 \h </w:instrText>
            </w:r>
            <w:r w:rsidR="00086EA9">
              <w:rPr>
                <w:noProof/>
                <w:webHidden/>
              </w:rPr>
            </w:r>
            <w:r w:rsidR="00086EA9">
              <w:rPr>
                <w:noProof/>
                <w:webHidden/>
              </w:rPr>
              <w:fldChar w:fldCharType="separate"/>
            </w:r>
            <w:r w:rsidR="00086EA9">
              <w:rPr>
                <w:noProof/>
                <w:webHidden/>
              </w:rPr>
              <w:t>12</w:t>
            </w:r>
            <w:r w:rsidR="00086EA9">
              <w:rPr>
                <w:noProof/>
                <w:webHidden/>
              </w:rPr>
              <w:fldChar w:fldCharType="end"/>
            </w:r>
          </w:hyperlink>
        </w:p>
        <w:p w14:paraId="56235085" w14:textId="28348BCE" w:rsidR="00086EA9" w:rsidRDefault="00B73D47">
          <w:pPr>
            <w:pStyle w:val="Obsah2"/>
            <w:rPr>
              <w:rFonts w:asciiTheme="minorHAnsi" w:eastAsiaTheme="minorEastAsia" w:hAnsiTheme="minorHAnsi" w:cstheme="minorBidi"/>
              <w:noProof/>
            </w:rPr>
          </w:pPr>
          <w:hyperlink w:anchor="_Toc67906068" w:history="1">
            <w:r w:rsidR="00086EA9" w:rsidRPr="00DF44D1">
              <w:rPr>
                <w:rStyle w:val="Hypertextovodkaz"/>
                <w:noProof/>
              </w:rPr>
              <w:t>2.4</w:t>
            </w:r>
            <w:r w:rsidR="00086EA9">
              <w:rPr>
                <w:rFonts w:asciiTheme="minorHAnsi" w:eastAsiaTheme="minorEastAsia" w:hAnsiTheme="minorHAnsi" w:cstheme="minorBidi"/>
                <w:noProof/>
              </w:rPr>
              <w:tab/>
            </w:r>
            <w:r w:rsidR="00086EA9" w:rsidRPr="00DF44D1">
              <w:rPr>
                <w:rStyle w:val="Hypertextovodkaz"/>
                <w:noProof/>
              </w:rPr>
              <w:t>Modul 3 – Věda, vzdělávání a trh práce</w:t>
            </w:r>
            <w:r w:rsidR="00086EA9">
              <w:rPr>
                <w:noProof/>
                <w:webHidden/>
              </w:rPr>
              <w:tab/>
            </w:r>
            <w:r w:rsidR="00086EA9">
              <w:rPr>
                <w:noProof/>
                <w:webHidden/>
              </w:rPr>
              <w:fldChar w:fldCharType="begin"/>
            </w:r>
            <w:r w:rsidR="00086EA9">
              <w:rPr>
                <w:noProof/>
                <w:webHidden/>
              </w:rPr>
              <w:instrText xml:space="preserve"> PAGEREF _Toc67906068 \h </w:instrText>
            </w:r>
            <w:r w:rsidR="00086EA9">
              <w:rPr>
                <w:noProof/>
                <w:webHidden/>
              </w:rPr>
            </w:r>
            <w:r w:rsidR="00086EA9">
              <w:rPr>
                <w:noProof/>
                <w:webHidden/>
              </w:rPr>
              <w:fldChar w:fldCharType="separate"/>
            </w:r>
            <w:r w:rsidR="00086EA9">
              <w:rPr>
                <w:noProof/>
                <w:webHidden/>
              </w:rPr>
              <w:t>13</w:t>
            </w:r>
            <w:r w:rsidR="00086EA9">
              <w:rPr>
                <w:noProof/>
                <w:webHidden/>
              </w:rPr>
              <w:fldChar w:fldCharType="end"/>
            </w:r>
          </w:hyperlink>
        </w:p>
        <w:p w14:paraId="23D4D888" w14:textId="588A8930" w:rsidR="00086EA9" w:rsidRDefault="00B73D47">
          <w:pPr>
            <w:pStyle w:val="Obsah3"/>
            <w:rPr>
              <w:rFonts w:asciiTheme="minorHAnsi" w:eastAsiaTheme="minorEastAsia" w:hAnsiTheme="minorHAnsi" w:cstheme="minorBidi"/>
              <w:noProof/>
            </w:rPr>
          </w:pPr>
          <w:hyperlink w:anchor="_Toc67906069" w:history="1">
            <w:r w:rsidR="00086EA9" w:rsidRPr="00DF44D1">
              <w:rPr>
                <w:rStyle w:val="Hypertextovodkaz"/>
                <w:noProof/>
              </w:rPr>
              <w:t>2.4.1</w:t>
            </w:r>
            <w:r w:rsidR="00086EA9">
              <w:rPr>
                <w:rFonts w:asciiTheme="minorHAnsi" w:eastAsiaTheme="minorEastAsia" w:hAnsiTheme="minorHAnsi" w:cstheme="minorBidi"/>
                <w:noProof/>
              </w:rPr>
              <w:tab/>
            </w:r>
            <w:r w:rsidR="00086EA9" w:rsidRPr="00DF44D1">
              <w:rPr>
                <w:rStyle w:val="Hypertextovodkaz"/>
                <w:noProof/>
              </w:rPr>
              <w:t>Okruh aktivit 3.1 – Analýzy přípravy odborníků pro uplatnění ve VaVaI</w:t>
            </w:r>
            <w:r w:rsidR="00086EA9">
              <w:rPr>
                <w:noProof/>
                <w:webHidden/>
              </w:rPr>
              <w:tab/>
            </w:r>
            <w:r w:rsidR="00086EA9">
              <w:rPr>
                <w:noProof/>
                <w:webHidden/>
              </w:rPr>
              <w:fldChar w:fldCharType="begin"/>
            </w:r>
            <w:r w:rsidR="00086EA9">
              <w:rPr>
                <w:noProof/>
                <w:webHidden/>
              </w:rPr>
              <w:instrText xml:space="preserve"> PAGEREF _Toc67906069 \h </w:instrText>
            </w:r>
            <w:r w:rsidR="00086EA9">
              <w:rPr>
                <w:noProof/>
                <w:webHidden/>
              </w:rPr>
            </w:r>
            <w:r w:rsidR="00086EA9">
              <w:rPr>
                <w:noProof/>
                <w:webHidden/>
              </w:rPr>
              <w:fldChar w:fldCharType="separate"/>
            </w:r>
            <w:r w:rsidR="00086EA9">
              <w:rPr>
                <w:noProof/>
                <w:webHidden/>
              </w:rPr>
              <w:t>13</w:t>
            </w:r>
            <w:r w:rsidR="00086EA9">
              <w:rPr>
                <w:noProof/>
                <w:webHidden/>
              </w:rPr>
              <w:fldChar w:fldCharType="end"/>
            </w:r>
          </w:hyperlink>
        </w:p>
        <w:p w14:paraId="3783A78F" w14:textId="2ECB4D22" w:rsidR="00086EA9" w:rsidRDefault="00B73D47">
          <w:pPr>
            <w:pStyle w:val="Obsah3"/>
            <w:rPr>
              <w:rFonts w:asciiTheme="minorHAnsi" w:eastAsiaTheme="minorEastAsia" w:hAnsiTheme="minorHAnsi" w:cstheme="minorBidi"/>
              <w:noProof/>
            </w:rPr>
          </w:pPr>
          <w:hyperlink w:anchor="_Toc67906070" w:history="1">
            <w:r w:rsidR="00086EA9" w:rsidRPr="00DF44D1">
              <w:rPr>
                <w:rStyle w:val="Hypertextovodkaz"/>
                <w:noProof/>
              </w:rPr>
              <w:t>2.4.2</w:t>
            </w:r>
            <w:r w:rsidR="00086EA9">
              <w:rPr>
                <w:rFonts w:asciiTheme="minorHAnsi" w:eastAsiaTheme="minorEastAsia" w:hAnsiTheme="minorHAnsi" w:cstheme="minorBidi"/>
                <w:noProof/>
              </w:rPr>
              <w:tab/>
            </w:r>
            <w:r w:rsidR="00086EA9" w:rsidRPr="00DF44D1">
              <w:rPr>
                <w:rStyle w:val="Hypertextovodkaz"/>
                <w:noProof/>
              </w:rPr>
              <w:t>Okruh aktivit 3.2 – Analýzy podmínek pro uplatnění ve VaVaI</w:t>
            </w:r>
            <w:r w:rsidR="00086EA9">
              <w:rPr>
                <w:noProof/>
                <w:webHidden/>
              </w:rPr>
              <w:tab/>
            </w:r>
            <w:r w:rsidR="00086EA9">
              <w:rPr>
                <w:noProof/>
                <w:webHidden/>
              </w:rPr>
              <w:fldChar w:fldCharType="begin"/>
            </w:r>
            <w:r w:rsidR="00086EA9">
              <w:rPr>
                <w:noProof/>
                <w:webHidden/>
              </w:rPr>
              <w:instrText xml:space="preserve"> PAGEREF _Toc67906070 \h </w:instrText>
            </w:r>
            <w:r w:rsidR="00086EA9">
              <w:rPr>
                <w:noProof/>
                <w:webHidden/>
              </w:rPr>
            </w:r>
            <w:r w:rsidR="00086EA9">
              <w:rPr>
                <w:noProof/>
                <w:webHidden/>
              </w:rPr>
              <w:fldChar w:fldCharType="separate"/>
            </w:r>
            <w:r w:rsidR="00086EA9">
              <w:rPr>
                <w:noProof/>
                <w:webHidden/>
              </w:rPr>
              <w:t>13</w:t>
            </w:r>
            <w:r w:rsidR="00086EA9">
              <w:rPr>
                <w:noProof/>
                <w:webHidden/>
              </w:rPr>
              <w:fldChar w:fldCharType="end"/>
            </w:r>
          </w:hyperlink>
        </w:p>
        <w:p w14:paraId="50BFDDBC" w14:textId="39486DAA" w:rsidR="00086EA9" w:rsidRDefault="00B73D47">
          <w:pPr>
            <w:pStyle w:val="Obsah3"/>
            <w:rPr>
              <w:rFonts w:asciiTheme="minorHAnsi" w:eastAsiaTheme="minorEastAsia" w:hAnsiTheme="minorHAnsi" w:cstheme="minorBidi"/>
              <w:noProof/>
            </w:rPr>
          </w:pPr>
          <w:hyperlink w:anchor="_Toc67906071" w:history="1">
            <w:r w:rsidR="00086EA9" w:rsidRPr="00DF44D1">
              <w:rPr>
                <w:rStyle w:val="Hypertextovodkaz"/>
                <w:noProof/>
              </w:rPr>
              <w:t>2.4.3</w:t>
            </w:r>
            <w:r w:rsidR="00086EA9">
              <w:rPr>
                <w:rFonts w:asciiTheme="minorHAnsi" w:eastAsiaTheme="minorEastAsia" w:hAnsiTheme="minorHAnsi" w:cstheme="minorBidi"/>
                <w:noProof/>
              </w:rPr>
              <w:tab/>
            </w:r>
            <w:r w:rsidR="00086EA9" w:rsidRPr="00DF44D1">
              <w:rPr>
                <w:rStyle w:val="Hypertextovodkaz"/>
                <w:noProof/>
              </w:rPr>
              <w:t>Okruh aktivit 3.3 – Analýzy vybavenosti podniků odborníky v oblasti VaVaI a jejich připravenosti pro spolupráci s výzkumnou sférou</w:t>
            </w:r>
            <w:r w:rsidR="00086EA9">
              <w:rPr>
                <w:noProof/>
                <w:webHidden/>
              </w:rPr>
              <w:tab/>
            </w:r>
            <w:r w:rsidR="00086EA9">
              <w:rPr>
                <w:noProof/>
                <w:webHidden/>
              </w:rPr>
              <w:fldChar w:fldCharType="begin"/>
            </w:r>
            <w:r w:rsidR="00086EA9">
              <w:rPr>
                <w:noProof/>
                <w:webHidden/>
              </w:rPr>
              <w:instrText xml:space="preserve"> PAGEREF _Toc67906071 \h </w:instrText>
            </w:r>
            <w:r w:rsidR="00086EA9">
              <w:rPr>
                <w:noProof/>
                <w:webHidden/>
              </w:rPr>
            </w:r>
            <w:r w:rsidR="00086EA9">
              <w:rPr>
                <w:noProof/>
                <w:webHidden/>
              </w:rPr>
              <w:fldChar w:fldCharType="separate"/>
            </w:r>
            <w:r w:rsidR="00086EA9">
              <w:rPr>
                <w:noProof/>
                <w:webHidden/>
              </w:rPr>
              <w:t>14</w:t>
            </w:r>
            <w:r w:rsidR="00086EA9">
              <w:rPr>
                <w:noProof/>
                <w:webHidden/>
              </w:rPr>
              <w:fldChar w:fldCharType="end"/>
            </w:r>
          </w:hyperlink>
        </w:p>
        <w:p w14:paraId="6BAA4565" w14:textId="7DA37788" w:rsidR="00086EA9" w:rsidRDefault="00B73D47">
          <w:pPr>
            <w:pStyle w:val="Obsah3"/>
            <w:rPr>
              <w:rFonts w:asciiTheme="minorHAnsi" w:eastAsiaTheme="minorEastAsia" w:hAnsiTheme="minorHAnsi" w:cstheme="minorBidi"/>
              <w:noProof/>
            </w:rPr>
          </w:pPr>
          <w:hyperlink w:anchor="_Toc67906072" w:history="1">
            <w:r w:rsidR="00086EA9" w:rsidRPr="00DF44D1">
              <w:rPr>
                <w:rStyle w:val="Hypertextovodkaz"/>
                <w:noProof/>
              </w:rPr>
              <w:t>2.4.4</w:t>
            </w:r>
            <w:r w:rsidR="00086EA9">
              <w:rPr>
                <w:rFonts w:asciiTheme="minorHAnsi" w:eastAsiaTheme="minorEastAsia" w:hAnsiTheme="minorHAnsi" w:cstheme="minorBidi"/>
                <w:noProof/>
              </w:rPr>
              <w:tab/>
            </w:r>
            <w:r w:rsidR="00086EA9" w:rsidRPr="00DF44D1">
              <w:rPr>
                <w:rStyle w:val="Hypertextovodkaz"/>
                <w:noProof/>
              </w:rPr>
              <w:t>Okruh aktivit 3.4 – Analýzy změn trhu práce vlivem využívání výsledků VaVaI v praxi</w:t>
            </w:r>
            <w:r w:rsidR="00086EA9">
              <w:rPr>
                <w:noProof/>
                <w:webHidden/>
              </w:rPr>
              <w:tab/>
            </w:r>
            <w:r w:rsidR="00086EA9">
              <w:rPr>
                <w:noProof/>
                <w:webHidden/>
              </w:rPr>
              <w:fldChar w:fldCharType="begin"/>
            </w:r>
            <w:r w:rsidR="00086EA9">
              <w:rPr>
                <w:noProof/>
                <w:webHidden/>
              </w:rPr>
              <w:instrText xml:space="preserve"> PAGEREF _Toc67906072 \h </w:instrText>
            </w:r>
            <w:r w:rsidR="00086EA9">
              <w:rPr>
                <w:noProof/>
                <w:webHidden/>
              </w:rPr>
            </w:r>
            <w:r w:rsidR="00086EA9">
              <w:rPr>
                <w:noProof/>
                <w:webHidden/>
              </w:rPr>
              <w:fldChar w:fldCharType="separate"/>
            </w:r>
            <w:r w:rsidR="00086EA9">
              <w:rPr>
                <w:noProof/>
                <w:webHidden/>
              </w:rPr>
              <w:t>14</w:t>
            </w:r>
            <w:r w:rsidR="00086EA9">
              <w:rPr>
                <w:noProof/>
                <w:webHidden/>
              </w:rPr>
              <w:fldChar w:fldCharType="end"/>
            </w:r>
          </w:hyperlink>
        </w:p>
        <w:p w14:paraId="7E351432" w14:textId="2464CCBF" w:rsidR="00086EA9" w:rsidRDefault="00B73D47">
          <w:pPr>
            <w:pStyle w:val="Obsah3"/>
            <w:rPr>
              <w:rFonts w:asciiTheme="minorHAnsi" w:eastAsiaTheme="minorEastAsia" w:hAnsiTheme="minorHAnsi" w:cstheme="minorBidi"/>
              <w:noProof/>
            </w:rPr>
          </w:pPr>
          <w:hyperlink w:anchor="_Toc67906073" w:history="1">
            <w:r w:rsidR="00086EA9" w:rsidRPr="00DF44D1">
              <w:rPr>
                <w:rStyle w:val="Hypertextovodkaz"/>
                <w:noProof/>
              </w:rPr>
              <w:t>2.4.5</w:t>
            </w:r>
            <w:r w:rsidR="00086EA9">
              <w:rPr>
                <w:rFonts w:asciiTheme="minorHAnsi" w:eastAsiaTheme="minorEastAsia" w:hAnsiTheme="minorHAnsi" w:cstheme="minorBidi"/>
                <w:noProof/>
              </w:rPr>
              <w:tab/>
            </w:r>
            <w:r w:rsidR="00086EA9" w:rsidRPr="00DF44D1">
              <w:rPr>
                <w:rStyle w:val="Hypertextovodkaz"/>
                <w:noProof/>
              </w:rPr>
              <w:t>Okruh aktivit 3.5 – Analýzy stavu a dynamiky mezinárodní vědecko-výzkumné mobility</w:t>
            </w:r>
            <w:r w:rsidR="00086EA9">
              <w:rPr>
                <w:noProof/>
                <w:webHidden/>
              </w:rPr>
              <w:tab/>
            </w:r>
            <w:r w:rsidR="00086EA9">
              <w:rPr>
                <w:noProof/>
                <w:webHidden/>
              </w:rPr>
              <w:fldChar w:fldCharType="begin"/>
            </w:r>
            <w:r w:rsidR="00086EA9">
              <w:rPr>
                <w:noProof/>
                <w:webHidden/>
              </w:rPr>
              <w:instrText xml:space="preserve"> PAGEREF _Toc67906073 \h </w:instrText>
            </w:r>
            <w:r w:rsidR="00086EA9">
              <w:rPr>
                <w:noProof/>
                <w:webHidden/>
              </w:rPr>
            </w:r>
            <w:r w:rsidR="00086EA9">
              <w:rPr>
                <w:noProof/>
                <w:webHidden/>
              </w:rPr>
              <w:fldChar w:fldCharType="separate"/>
            </w:r>
            <w:r w:rsidR="00086EA9">
              <w:rPr>
                <w:noProof/>
                <w:webHidden/>
              </w:rPr>
              <w:t>14</w:t>
            </w:r>
            <w:r w:rsidR="00086EA9">
              <w:rPr>
                <w:noProof/>
                <w:webHidden/>
              </w:rPr>
              <w:fldChar w:fldCharType="end"/>
            </w:r>
          </w:hyperlink>
        </w:p>
        <w:p w14:paraId="5554C091" w14:textId="4AFF040D" w:rsidR="00086EA9" w:rsidRDefault="00B73D47">
          <w:pPr>
            <w:pStyle w:val="Obsah3"/>
            <w:rPr>
              <w:rFonts w:asciiTheme="minorHAnsi" w:eastAsiaTheme="minorEastAsia" w:hAnsiTheme="minorHAnsi" w:cstheme="minorBidi"/>
              <w:noProof/>
            </w:rPr>
          </w:pPr>
          <w:hyperlink w:anchor="_Toc67906074" w:history="1">
            <w:r w:rsidR="00086EA9" w:rsidRPr="00DF44D1">
              <w:rPr>
                <w:rStyle w:val="Hypertextovodkaz"/>
                <w:noProof/>
              </w:rPr>
              <w:t>2.4.6</w:t>
            </w:r>
            <w:r w:rsidR="00086EA9">
              <w:rPr>
                <w:rFonts w:asciiTheme="minorHAnsi" w:eastAsiaTheme="minorEastAsia" w:hAnsiTheme="minorHAnsi" w:cstheme="minorBidi"/>
                <w:noProof/>
              </w:rPr>
              <w:tab/>
            </w:r>
            <w:r w:rsidR="00086EA9" w:rsidRPr="00DF44D1">
              <w:rPr>
                <w:rStyle w:val="Hypertextovodkaz"/>
                <w:noProof/>
              </w:rPr>
              <w:t>Okruh aktivit 3.6 – Monitorování administrativních bariér mezinárodní mobility</w:t>
            </w:r>
            <w:r w:rsidR="00086EA9">
              <w:rPr>
                <w:noProof/>
                <w:webHidden/>
              </w:rPr>
              <w:tab/>
            </w:r>
            <w:r w:rsidR="00086EA9">
              <w:rPr>
                <w:noProof/>
                <w:webHidden/>
              </w:rPr>
              <w:fldChar w:fldCharType="begin"/>
            </w:r>
            <w:r w:rsidR="00086EA9">
              <w:rPr>
                <w:noProof/>
                <w:webHidden/>
              </w:rPr>
              <w:instrText xml:space="preserve"> PAGEREF _Toc67906074 \h </w:instrText>
            </w:r>
            <w:r w:rsidR="00086EA9">
              <w:rPr>
                <w:noProof/>
                <w:webHidden/>
              </w:rPr>
            </w:r>
            <w:r w:rsidR="00086EA9">
              <w:rPr>
                <w:noProof/>
                <w:webHidden/>
              </w:rPr>
              <w:fldChar w:fldCharType="separate"/>
            </w:r>
            <w:r w:rsidR="00086EA9">
              <w:rPr>
                <w:noProof/>
                <w:webHidden/>
              </w:rPr>
              <w:t>15</w:t>
            </w:r>
            <w:r w:rsidR="00086EA9">
              <w:rPr>
                <w:noProof/>
                <w:webHidden/>
              </w:rPr>
              <w:fldChar w:fldCharType="end"/>
            </w:r>
          </w:hyperlink>
        </w:p>
        <w:p w14:paraId="2F6C6500" w14:textId="0653A3FD" w:rsidR="00086EA9" w:rsidRDefault="00B73D47">
          <w:pPr>
            <w:pStyle w:val="Obsah2"/>
            <w:rPr>
              <w:rFonts w:asciiTheme="minorHAnsi" w:eastAsiaTheme="minorEastAsia" w:hAnsiTheme="minorHAnsi" w:cstheme="minorBidi"/>
              <w:noProof/>
            </w:rPr>
          </w:pPr>
          <w:hyperlink w:anchor="_Toc67906075" w:history="1">
            <w:r w:rsidR="00086EA9" w:rsidRPr="00DF44D1">
              <w:rPr>
                <w:rStyle w:val="Hypertextovodkaz"/>
                <w:noProof/>
              </w:rPr>
              <w:t>2.5</w:t>
            </w:r>
            <w:r w:rsidR="00086EA9">
              <w:rPr>
                <w:rFonts w:asciiTheme="minorHAnsi" w:eastAsiaTheme="minorEastAsia" w:hAnsiTheme="minorHAnsi" w:cstheme="minorBidi"/>
                <w:noProof/>
              </w:rPr>
              <w:tab/>
            </w:r>
            <w:r w:rsidR="00086EA9" w:rsidRPr="00DF44D1">
              <w:rPr>
                <w:rStyle w:val="Hypertextovodkaz"/>
                <w:noProof/>
              </w:rPr>
              <w:t>Modul 4 – Gender a věda</w:t>
            </w:r>
            <w:r w:rsidR="00086EA9">
              <w:rPr>
                <w:noProof/>
                <w:webHidden/>
              </w:rPr>
              <w:tab/>
            </w:r>
            <w:r w:rsidR="00086EA9">
              <w:rPr>
                <w:noProof/>
                <w:webHidden/>
              </w:rPr>
              <w:fldChar w:fldCharType="begin"/>
            </w:r>
            <w:r w:rsidR="00086EA9">
              <w:rPr>
                <w:noProof/>
                <w:webHidden/>
              </w:rPr>
              <w:instrText xml:space="preserve"> PAGEREF _Toc67906075 \h </w:instrText>
            </w:r>
            <w:r w:rsidR="00086EA9">
              <w:rPr>
                <w:noProof/>
                <w:webHidden/>
              </w:rPr>
            </w:r>
            <w:r w:rsidR="00086EA9">
              <w:rPr>
                <w:noProof/>
                <w:webHidden/>
              </w:rPr>
              <w:fldChar w:fldCharType="separate"/>
            </w:r>
            <w:r w:rsidR="00086EA9">
              <w:rPr>
                <w:noProof/>
                <w:webHidden/>
              </w:rPr>
              <w:t>15</w:t>
            </w:r>
            <w:r w:rsidR="00086EA9">
              <w:rPr>
                <w:noProof/>
                <w:webHidden/>
              </w:rPr>
              <w:fldChar w:fldCharType="end"/>
            </w:r>
          </w:hyperlink>
        </w:p>
        <w:p w14:paraId="6C6B812C" w14:textId="3B773BBE" w:rsidR="00086EA9" w:rsidRDefault="00B73D47">
          <w:pPr>
            <w:pStyle w:val="Obsah3"/>
            <w:rPr>
              <w:rFonts w:asciiTheme="minorHAnsi" w:eastAsiaTheme="minorEastAsia" w:hAnsiTheme="minorHAnsi" w:cstheme="minorBidi"/>
              <w:noProof/>
            </w:rPr>
          </w:pPr>
          <w:hyperlink w:anchor="_Toc67906076" w:history="1">
            <w:r w:rsidR="00086EA9" w:rsidRPr="00DF44D1">
              <w:rPr>
                <w:rStyle w:val="Hypertextovodkaz"/>
                <w:noProof/>
              </w:rPr>
              <w:t>2.5.1</w:t>
            </w:r>
            <w:r w:rsidR="00086EA9">
              <w:rPr>
                <w:rFonts w:asciiTheme="minorHAnsi" w:eastAsiaTheme="minorEastAsia" w:hAnsiTheme="minorHAnsi" w:cstheme="minorBidi"/>
                <w:noProof/>
              </w:rPr>
              <w:tab/>
            </w:r>
            <w:r w:rsidR="00086EA9" w:rsidRPr="00DF44D1">
              <w:rPr>
                <w:rStyle w:val="Hypertextovodkaz"/>
                <w:noProof/>
              </w:rPr>
              <w:t>Okruh aktivit 4.1 – Monitoring a evaluace plnění strategických cílů a politik genderové rovnosti ve VaVaI a návrhy strategických řešení</w:t>
            </w:r>
            <w:r w:rsidR="00086EA9">
              <w:rPr>
                <w:noProof/>
                <w:webHidden/>
              </w:rPr>
              <w:tab/>
            </w:r>
            <w:r w:rsidR="00086EA9">
              <w:rPr>
                <w:noProof/>
                <w:webHidden/>
              </w:rPr>
              <w:fldChar w:fldCharType="begin"/>
            </w:r>
            <w:r w:rsidR="00086EA9">
              <w:rPr>
                <w:noProof/>
                <w:webHidden/>
              </w:rPr>
              <w:instrText xml:space="preserve"> PAGEREF _Toc67906076 \h </w:instrText>
            </w:r>
            <w:r w:rsidR="00086EA9">
              <w:rPr>
                <w:noProof/>
                <w:webHidden/>
              </w:rPr>
            </w:r>
            <w:r w:rsidR="00086EA9">
              <w:rPr>
                <w:noProof/>
                <w:webHidden/>
              </w:rPr>
              <w:fldChar w:fldCharType="separate"/>
            </w:r>
            <w:r w:rsidR="00086EA9">
              <w:rPr>
                <w:noProof/>
                <w:webHidden/>
              </w:rPr>
              <w:t>15</w:t>
            </w:r>
            <w:r w:rsidR="00086EA9">
              <w:rPr>
                <w:noProof/>
                <w:webHidden/>
              </w:rPr>
              <w:fldChar w:fldCharType="end"/>
            </w:r>
          </w:hyperlink>
        </w:p>
        <w:p w14:paraId="73475C75" w14:textId="6465E0D5" w:rsidR="00086EA9" w:rsidRDefault="00B73D47">
          <w:pPr>
            <w:pStyle w:val="Obsah3"/>
            <w:rPr>
              <w:rFonts w:asciiTheme="minorHAnsi" w:eastAsiaTheme="minorEastAsia" w:hAnsiTheme="minorHAnsi" w:cstheme="minorBidi"/>
              <w:noProof/>
            </w:rPr>
          </w:pPr>
          <w:hyperlink w:anchor="_Toc67906077" w:history="1">
            <w:r w:rsidR="00086EA9" w:rsidRPr="00DF44D1">
              <w:rPr>
                <w:rStyle w:val="Hypertextovodkaz"/>
                <w:noProof/>
              </w:rPr>
              <w:t>2.5.2</w:t>
            </w:r>
            <w:r w:rsidR="00086EA9">
              <w:rPr>
                <w:rFonts w:asciiTheme="minorHAnsi" w:eastAsiaTheme="minorEastAsia" w:hAnsiTheme="minorHAnsi" w:cstheme="minorBidi"/>
                <w:noProof/>
              </w:rPr>
              <w:tab/>
            </w:r>
            <w:r w:rsidR="00086EA9" w:rsidRPr="00DF44D1">
              <w:rPr>
                <w:rStyle w:val="Hypertextovodkaz"/>
                <w:noProof/>
              </w:rPr>
              <w:t>Okruh aktivit 4.2 – Tvorba a implementace metodiky hodnocení dopadu aktivit na podporu genderové rovnosti</w:t>
            </w:r>
            <w:r w:rsidR="00086EA9">
              <w:rPr>
                <w:noProof/>
                <w:webHidden/>
              </w:rPr>
              <w:tab/>
            </w:r>
            <w:r w:rsidR="00086EA9">
              <w:rPr>
                <w:noProof/>
                <w:webHidden/>
              </w:rPr>
              <w:fldChar w:fldCharType="begin"/>
            </w:r>
            <w:r w:rsidR="00086EA9">
              <w:rPr>
                <w:noProof/>
                <w:webHidden/>
              </w:rPr>
              <w:instrText xml:space="preserve"> PAGEREF _Toc67906077 \h </w:instrText>
            </w:r>
            <w:r w:rsidR="00086EA9">
              <w:rPr>
                <w:noProof/>
                <w:webHidden/>
              </w:rPr>
            </w:r>
            <w:r w:rsidR="00086EA9">
              <w:rPr>
                <w:noProof/>
                <w:webHidden/>
              </w:rPr>
              <w:fldChar w:fldCharType="separate"/>
            </w:r>
            <w:r w:rsidR="00086EA9">
              <w:rPr>
                <w:noProof/>
                <w:webHidden/>
              </w:rPr>
              <w:t>15</w:t>
            </w:r>
            <w:r w:rsidR="00086EA9">
              <w:rPr>
                <w:noProof/>
                <w:webHidden/>
              </w:rPr>
              <w:fldChar w:fldCharType="end"/>
            </w:r>
          </w:hyperlink>
        </w:p>
        <w:p w14:paraId="13B2EEDD" w14:textId="36DC8C68" w:rsidR="00086EA9" w:rsidRDefault="00B73D47">
          <w:pPr>
            <w:pStyle w:val="Obsah3"/>
            <w:rPr>
              <w:rFonts w:asciiTheme="minorHAnsi" w:eastAsiaTheme="minorEastAsia" w:hAnsiTheme="minorHAnsi" w:cstheme="minorBidi"/>
              <w:noProof/>
            </w:rPr>
          </w:pPr>
          <w:hyperlink w:anchor="_Toc67906078" w:history="1">
            <w:r w:rsidR="00086EA9" w:rsidRPr="00DF44D1">
              <w:rPr>
                <w:rStyle w:val="Hypertextovodkaz"/>
                <w:noProof/>
              </w:rPr>
              <w:t>2.5.3</w:t>
            </w:r>
            <w:r w:rsidR="00086EA9">
              <w:rPr>
                <w:rFonts w:asciiTheme="minorHAnsi" w:eastAsiaTheme="minorEastAsia" w:hAnsiTheme="minorHAnsi" w:cstheme="minorBidi"/>
                <w:noProof/>
              </w:rPr>
              <w:tab/>
            </w:r>
            <w:r w:rsidR="00086EA9" w:rsidRPr="00DF44D1">
              <w:rPr>
                <w:rStyle w:val="Hypertextovodkaz"/>
                <w:noProof/>
              </w:rPr>
              <w:t>Okruh aktivit 4.3 -– Odborná podpora veřejné správy při implementaci pravidel pro vyrovnávání příležitostí ve VaVaI</w:t>
            </w:r>
            <w:r w:rsidR="00086EA9">
              <w:rPr>
                <w:noProof/>
                <w:webHidden/>
              </w:rPr>
              <w:tab/>
            </w:r>
            <w:r w:rsidR="00086EA9">
              <w:rPr>
                <w:noProof/>
                <w:webHidden/>
              </w:rPr>
              <w:fldChar w:fldCharType="begin"/>
            </w:r>
            <w:r w:rsidR="00086EA9">
              <w:rPr>
                <w:noProof/>
                <w:webHidden/>
              </w:rPr>
              <w:instrText xml:space="preserve"> PAGEREF _Toc67906078 \h </w:instrText>
            </w:r>
            <w:r w:rsidR="00086EA9">
              <w:rPr>
                <w:noProof/>
                <w:webHidden/>
              </w:rPr>
            </w:r>
            <w:r w:rsidR="00086EA9">
              <w:rPr>
                <w:noProof/>
                <w:webHidden/>
              </w:rPr>
              <w:fldChar w:fldCharType="separate"/>
            </w:r>
            <w:r w:rsidR="00086EA9">
              <w:rPr>
                <w:noProof/>
                <w:webHidden/>
              </w:rPr>
              <w:t>16</w:t>
            </w:r>
            <w:r w:rsidR="00086EA9">
              <w:rPr>
                <w:noProof/>
                <w:webHidden/>
              </w:rPr>
              <w:fldChar w:fldCharType="end"/>
            </w:r>
          </w:hyperlink>
        </w:p>
        <w:p w14:paraId="52825F96" w14:textId="42D065BA" w:rsidR="00086EA9" w:rsidRDefault="00B73D47">
          <w:pPr>
            <w:pStyle w:val="Obsah3"/>
            <w:rPr>
              <w:rFonts w:asciiTheme="minorHAnsi" w:eastAsiaTheme="minorEastAsia" w:hAnsiTheme="minorHAnsi" w:cstheme="minorBidi"/>
              <w:noProof/>
            </w:rPr>
          </w:pPr>
          <w:hyperlink w:anchor="_Toc67906079" w:history="1">
            <w:r w:rsidR="00086EA9" w:rsidRPr="00DF44D1">
              <w:rPr>
                <w:rStyle w:val="Hypertextovodkaz"/>
                <w:noProof/>
              </w:rPr>
              <w:t>2.5.4</w:t>
            </w:r>
            <w:r w:rsidR="00086EA9">
              <w:rPr>
                <w:rFonts w:asciiTheme="minorHAnsi" w:eastAsiaTheme="minorEastAsia" w:hAnsiTheme="minorHAnsi" w:cstheme="minorBidi"/>
                <w:noProof/>
              </w:rPr>
              <w:tab/>
            </w:r>
            <w:r w:rsidR="00086EA9" w:rsidRPr="00DF44D1">
              <w:rPr>
                <w:rStyle w:val="Hypertextovodkaz"/>
                <w:noProof/>
              </w:rPr>
              <w:t>Okruh aktivit 4.4 – She Figures Czech Republic</w:t>
            </w:r>
            <w:r w:rsidR="00086EA9">
              <w:rPr>
                <w:noProof/>
                <w:webHidden/>
              </w:rPr>
              <w:tab/>
            </w:r>
            <w:r w:rsidR="00086EA9">
              <w:rPr>
                <w:noProof/>
                <w:webHidden/>
              </w:rPr>
              <w:fldChar w:fldCharType="begin"/>
            </w:r>
            <w:r w:rsidR="00086EA9">
              <w:rPr>
                <w:noProof/>
                <w:webHidden/>
              </w:rPr>
              <w:instrText xml:space="preserve"> PAGEREF _Toc67906079 \h </w:instrText>
            </w:r>
            <w:r w:rsidR="00086EA9">
              <w:rPr>
                <w:noProof/>
                <w:webHidden/>
              </w:rPr>
            </w:r>
            <w:r w:rsidR="00086EA9">
              <w:rPr>
                <w:noProof/>
                <w:webHidden/>
              </w:rPr>
              <w:fldChar w:fldCharType="separate"/>
            </w:r>
            <w:r w:rsidR="00086EA9">
              <w:rPr>
                <w:noProof/>
                <w:webHidden/>
              </w:rPr>
              <w:t>16</w:t>
            </w:r>
            <w:r w:rsidR="00086EA9">
              <w:rPr>
                <w:noProof/>
                <w:webHidden/>
              </w:rPr>
              <w:fldChar w:fldCharType="end"/>
            </w:r>
          </w:hyperlink>
        </w:p>
        <w:p w14:paraId="6E99EC62" w14:textId="43BD5C3B" w:rsidR="00086EA9" w:rsidRDefault="00B73D47">
          <w:pPr>
            <w:pStyle w:val="Obsah2"/>
            <w:rPr>
              <w:rFonts w:asciiTheme="minorHAnsi" w:eastAsiaTheme="minorEastAsia" w:hAnsiTheme="minorHAnsi" w:cstheme="minorBidi"/>
              <w:noProof/>
            </w:rPr>
          </w:pPr>
          <w:hyperlink w:anchor="_Toc67906080" w:history="1">
            <w:r w:rsidR="00086EA9" w:rsidRPr="00DF44D1">
              <w:rPr>
                <w:rStyle w:val="Hypertextovodkaz"/>
                <w:noProof/>
              </w:rPr>
              <w:t>2.6</w:t>
            </w:r>
            <w:r w:rsidR="00086EA9">
              <w:rPr>
                <w:rFonts w:asciiTheme="minorHAnsi" w:eastAsiaTheme="minorEastAsia" w:hAnsiTheme="minorHAnsi" w:cstheme="minorBidi"/>
                <w:noProof/>
              </w:rPr>
              <w:tab/>
            </w:r>
            <w:r w:rsidR="00086EA9" w:rsidRPr="00DF44D1">
              <w:rPr>
                <w:rStyle w:val="Hypertextovodkaz"/>
                <w:noProof/>
              </w:rPr>
              <w:t>Modul 5 – Věda, technologie a společnost</w:t>
            </w:r>
            <w:r w:rsidR="00086EA9">
              <w:rPr>
                <w:noProof/>
                <w:webHidden/>
              </w:rPr>
              <w:tab/>
            </w:r>
            <w:r w:rsidR="00086EA9">
              <w:rPr>
                <w:noProof/>
                <w:webHidden/>
              </w:rPr>
              <w:fldChar w:fldCharType="begin"/>
            </w:r>
            <w:r w:rsidR="00086EA9">
              <w:rPr>
                <w:noProof/>
                <w:webHidden/>
              </w:rPr>
              <w:instrText xml:space="preserve"> PAGEREF _Toc67906080 \h </w:instrText>
            </w:r>
            <w:r w:rsidR="00086EA9">
              <w:rPr>
                <w:noProof/>
                <w:webHidden/>
              </w:rPr>
            </w:r>
            <w:r w:rsidR="00086EA9">
              <w:rPr>
                <w:noProof/>
                <w:webHidden/>
              </w:rPr>
              <w:fldChar w:fldCharType="separate"/>
            </w:r>
            <w:r w:rsidR="00086EA9">
              <w:rPr>
                <w:noProof/>
                <w:webHidden/>
              </w:rPr>
              <w:t>16</w:t>
            </w:r>
            <w:r w:rsidR="00086EA9">
              <w:rPr>
                <w:noProof/>
                <w:webHidden/>
              </w:rPr>
              <w:fldChar w:fldCharType="end"/>
            </w:r>
          </w:hyperlink>
        </w:p>
        <w:p w14:paraId="220E6536" w14:textId="3B7EBC53" w:rsidR="00086EA9" w:rsidRDefault="00B73D47">
          <w:pPr>
            <w:pStyle w:val="Obsah3"/>
            <w:rPr>
              <w:rFonts w:asciiTheme="minorHAnsi" w:eastAsiaTheme="minorEastAsia" w:hAnsiTheme="minorHAnsi" w:cstheme="minorBidi"/>
              <w:noProof/>
            </w:rPr>
          </w:pPr>
          <w:hyperlink w:anchor="_Toc67906081" w:history="1">
            <w:r w:rsidR="00086EA9" w:rsidRPr="00DF44D1">
              <w:rPr>
                <w:rStyle w:val="Hypertextovodkaz"/>
                <w:noProof/>
              </w:rPr>
              <w:t>2.6.1</w:t>
            </w:r>
            <w:r w:rsidR="00086EA9">
              <w:rPr>
                <w:rFonts w:asciiTheme="minorHAnsi" w:eastAsiaTheme="minorEastAsia" w:hAnsiTheme="minorHAnsi" w:cstheme="minorBidi"/>
                <w:noProof/>
              </w:rPr>
              <w:tab/>
            </w:r>
            <w:r w:rsidR="00086EA9" w:rsidRPr="00DF44D1">
              <w:rPr>
                <w:rStyle w:val="Hypertextovodkaz"/>
                <w:noProof/>
              </w:rPr>
              <w:t>Okruh aktivit 5.1 – Podpora odpovědného VaVaI</w:t>
            </w:r>
            <w:r w:rsidR="00086EA9">
              <w:rPr>
                <w:noProof/>
                <w:webHidden/>
              </w:rPr>
              <w:tab/>
            </w:r>
            <w:r w:rsidR="00086EA9">
              <w:rPr>
                <w:noProof/>
                <w:webHidden/>
              </w:rPr>
              <w:fldChar w:fldCharType="begin"/>
            </w:r>
            <w:r w:rsidR="00086EA9">
              <w:rPr>
                <w:noProof/>
                <w:webHidden/>
              </w:rPr>
              <w:instrText xml:space="preserve"> PAGEREF _Toc67906081 \h </w:instrText>
            </w:r>
            <w:r w:rsidR="00086EA9">
              <w:rPr>
                <w:noProof/>
                <w:webHidden/>
              </w:rPr>
            </w:r>
            <w:r w:rsidR="00086EA9">
              <w:rPr>
                <w:noProof/>
                <w:webHidden/>
              </w:rPr>
              <w:fldChar w:fldCharType="separate"/>
            </w:r>
            <w:r w:rsidR="00086EA9">
              <w:rPr>
                <w:noProof/>
                <w:webHidden/>
              </w:rPr>
              <w:t>16</w:t>
            </w:r>
            <w:r w:rsidR="00086EA9">
              <w:rPr>
                <w:noProof/>
                <w:webHidden/>
              </w:rPr>
              <w:fldChar w:fldCharType="end"/>
            </w:r>
          </w:hyperlink>
        </w:p>
        <w:p w14:paraId="1D4D9AF7" w14:textId="27E761C2" w:rsidR="00086EA9" w:rsidRDefault="00B73D47">
          <w:pPr>
            <w:pStyle w:val="Obsah3"/>
            <w:rPr>
              <w:rFonts w:asciiTheme="minorHAnsi" w:eastAsiaTheme="minorEastAsia" w:hAnsiTheme="minorHAnsi" w:cstheme="minorBidi"/>
              <w:noProof/>
            </w:rPr>
          </w:pPr>
          <w:hyperlink w:anchor="_Toc67906082" w:history="1">
            <w:r w:rsidR="00086EA9" w:rsidRPr="00DF44D1">
              <w:rPr>
                <w:rStyle w:val="Hypertextovodkaz"/>
                <w:noProof/>
              </w:rPr>
              <w:t>2.6.2</w:t>
            </w:r>
            <w:r w:rsidR="00086EA9">
              <w:rPr>
                <w:rFonts w:asciiTheme="minorHAnsi" w:eastAsiaTheme="minorEastAsia" w:hAnsiTheme="minorHAnsi" w:cstheme="minorBidi"/>
                <w:noProof/>
              </w:rPr>
              <w:tab/>
            </w:r>
            <w:r w:rsidR="00086EA9" w:rsidRPr="00DF44D1">
              <w:rPr>
                <w:rStyle w:val="Hypertextovodkaz"/>
                <w:noProof/>
              </w:rPr>
              <w:t>Okruh aktivit 5.2 – Technologie pro udržitelný rozvoj</w:t>
            </w:r>
            <w:r w:rsidR="00086EA9">
              <w:rPr>
                <w:noProof/>
                <w:webHidden/>
              </w:rPr>
              <w:tab/>
            </w:r>
            <w:r w:rsidR="00086EA9">
              <w:rPr>
                <w:noProof/>
                <w:webHidden/>
              </w:rPr>
              <w:fldChar w:fldCharType="begin"/>
            </w:r>
            <w:r w:rsidR="00086EA9">
              <w:rPr>
                <w:noProof/>
                <w:webHidden/>
              </w:rPr>
              <w:instrText xml:space="preserve"> PAGEREF _Toc67906082 \h </w:instrText>
            </w:r>
            <w:r w:rsidR="00086EA9">
              <w:rPr>
                <w:noProof/>
                <w:webHidden/>
              </w:rPr>
            </w:r>
            <w:r w:rsidR="00086EA9">
              <w:rPr>
                <w:noProof/>
                <w:webHidden/>
              </w:rPr>
              <w:fldChar w:fldCharType="separate"/>
            </w:r>
            <w:r w:rsidR="00086EA9">
              <w:rPr>
                <w:noProof/>
                <w:webHidden/>
              </w:rPr>
              <w:t>17</w:t>
            </w:r>
            <w:r w:rsidR="00086EA9">
              <w:rPr>
                <w:noProof/>
                <w:webHidden/>
              </w:rPr>
              <w:fldChar w:fldCharType="end"/>
            </w:r>
          </w:hyperlink>
        </w:p>
        <w:p w14:paraId="453EC11C" w14:textId="6C27E99D" w:rsidR="00086EA9" w:rsidRDefault="00B73D47">
          <w:pPr>
            <w:pStyle w:val="Obsah2"/>
            <w:rPr>
              <w:rFonts w:asciiTheme="minorHAnsi" w:eastAsiaTheme="minorEastAsia" w:hAnsiTheme="minorHAnsi" w:cstheme="minorBidi"/>
              <w:noProof/>
            </w:rPr>
          </w:pPr>
          <w:hyperlink w:anchor="_Toc67906083" w:history="1">
            <w:r w:rsidR="00086EA9" w:rsidRPr="00DF44D1">
              <w:rPr>
                <w:rStyle w:val="Hypertextovodkaz"/>
                <w:noProof/>
              </w:rPr>
              <w:t>2.7</w:t>
            </w:r>
            <w:r w:rsidR="00086EA9">
              <w:rPr>
                <w:rFonts w:asciiTheme="minorHAnsi" w:eastAsiaTheme="minorEastAsia" w:hAnsiTheme="minorHAnsi" w:cstheme="minorBidi"/>
                <w:noProof/>
              </w:rPr>
              <w:tab/>
            </w:r>
            <w:r w:rsidR="00086EA9" w:rsidRPr="00DF44D1">
              <w:rPr>
                <w:rStyle w:val="Hypertextovodkaz"/>
                <w:noProof/>
              </w:rPr>
              <w:t>Modul 6 – Odborná komunita pro politiku VaVaI</w:t>
            </w:r>
            <w:r w:rsidR="00086EA9">
              <w:rPr>
                <w:noProof/>
                <w:webHidden/>
              </w:rPr>
              <w:tab/>
            </w:r>
            <w:r w:rsidR="00086EA9">
              <w:rPr>
                <w:noProof/>
                <w:webHidden/>
              </w:rPr>
              <w:fldChar w:fldCharType="begin"/>
            </w:r>
            <w:r w:rsidR="00086EA9">
              <w:rPr>
                <w:noProof/>
                <w:webHidden/>
              </w:rPr>
              <w:instrText xml:space="preserve"> PAGEREF _Toc67906083 \h </w:instrText>
            </w:r>
            <w:r w:rsidR="00086EA9">
              <w:rPr>
                <w:noProof/>
                <w:webHidden/>
              </w:rPr>
            </w:r>
            <w:r w:rsidR="00086EA9">
              <w:rPr>
                <w:noProof/>
                <w:webHidden/>
              </w:rPr>
              <w:fldChar w:fldCharType="separate"/>
            </w:r>
            <w:r w:rsidR="00086EA9">
              <w:rPr>
                <w:noProof/>
                <w:webHidden/>
              </w:rPr>
              <w:t>17</w:t>
            </w:r>
            <w:r w:rsidR="00086EA9">
              <w:rPr>
                <w:noProof/>
                <w:webHidden/>
              </w:rPr>
              <w:fldChar w:fldCharType="end"/>
            </w:r>
          </w:hyperlink>
        </w:p>
        <w:p w14:paraId="13831EAD" w14:textId="3ED5B671" w:rsidR="00086EA9" w:rsidRDefault="00B73D47">
          <w:pPr>
            <w:pStyle w:val="Obsah3"/>
            <w:rPr>
              <w:rFonts w:asciiTheme="minorHAnsi" w:eastAsiaTheme="minorEastAsia" w:hAnsiTheme="minorHAnsi" w:cstheme="minorBidi"/>
              <w:noProof/>
            </w:rPr>
          </w:pPr>
          <w:hyperlink w:anchor="_Toc67906084" w:history="1">
            <w:r w:rsidR="00086EA9" w:rsidRPr="00DF44D1">
              <w:rPr>
                <w:rStyle w:val="Hypertextovodkaz"/>
                <w:noProof/>
              </w:rPr>
              <w:t>2.7.1</w:t>
            </w:r>
            <w:r w:rsidR="00086EA9">
              <w:rPr>
                <w:rFonts w:asciiTheme="minorHAnsi" w:eastAsiaTheme="minorEastAsia" w:hAnsiTheme="minorHAnsi" w:cstheme="minorBidi"/>
                <w:noProof/>
              </w:rPr>
              <w:tab/>
            </w:r>
            <w:r w:rsidR="00086EA9" w:rsidRPr="00DF44D1">
              <w:rPr>
                <w:rStyle w:val="Hypertextovodkaz"/>
                <w:noProof/>
              </w:rPr>
              <w:t>Okruh aktivit 6.1 – Odborné semináře a workshopy</w:t>
            </w:r>
            <w:r w:rsidR="00086EA9">
              <w:rPr>
                <w:noProof/>
                <w:webHidden/>
              </w:rPr>
              <w:tab/>
            </w:r>
            <w:r w:rsidR="00086EA9">
              <w:rPr>
                <w:noProof/>
                <w:webHidden/>
              </w:rPr>
              <w:fldChar w:fldCharType="begin"/>
            </w:r>
            <w:r w:rsidR="00086EA9">
              <w:rPr>
                <w:noProof/>
                <w:webHidden/>
              </w:rPr>
              <w:instrText xml:space="preserve"> PAGEREF _Toc67906084 \h </w:instrText>
            </w:r>
            <w:r w:rsidR="00086EA9">
              <w:rPr>
                <w:noProof/>
                <w:webHidden/>
              </w:rPr>
            </w:r>
            <w:r w:rsidR="00086EA9">
              <w:rPr>
                <w:noProof/>
                <w:webHidden/>
              </w:rPr>
              <w:fldChar w:fldCharType="separate"/>
            </w:r>
            <w:r w:rsidR="00086EA9">
              <w:rPr>
                <w:noProof/>
                <w:webHidden/>
              </w:rPr>
              <w:t>17</w:t>
            </w:r>
            <w:r w:rsidR="00086EA9">
              <w:rPr>
                <w:noProof/>
                <w:webHidden/>
              </w:rPr>
              <w:fldChar w:fldCharType="end"/>
            </w:r>
          </w:hyperlink>
        </w:p>
        <w:p w14:paraId="283C7B9C" w14:textId="7DB75D3A" w:rsidR="00086EA9" w:rsidRDefault="00B73D47">
          <w:pPr>
            <w:pStyle w:val="Obsah3"/>
            <w:rPr>
              <w:rFonts w:asciiTheme="minorHAnsi" w:eastAsiaTheme="minorEastAsia" w:hAnsiTheme="minorHAnsi" w:cstheme="minorBidi"/>
              <w:noProof/>
            </w:rPr>
          </w:pPr>
          <w:hyperlink w:anchor="_Toc67906085" w:history="1">
            <w:r w:rsidR="00086EA9" w:rsidRPr="00DF44D1">
              <w:rPr>
                <w:rStyle w:val="Hypertextovodkaz"/>
                <w:noProof/>
              </w:rPr>
              <w:t>2.7.2</w:t>
            </w:r>
            <w:r w:rsidR="00086EA9">
              <w:rPr>
                <w:rFonts w:asciiTheme="minorHAnsi" w:eastAsiaTheme="minorEastAsia" w:hAnsiTheme="minorHAnsi" w:cstheme="minorBidi"/>
                <w:noProof/>
              </w:rPr>
              <w:tab/>
            </w:r>
            <w:r w:rsidR="00086EA9" w:rsidRPr="00DF44D1">
              <w:rPr>
                <w:rStyle w:val="Hypertextovodkaz"/>
                <w:noProof/>
              </w:rPr>
              <w:t>Okruh aktivit 6.2 – Krátkodobé stáže pracovníků veřejné správy</w:t>
            </w:r>
            <w:r w:rsidR="00086EA9">
              <w:rPr>
                <w:noProof/>
                <w:webHidden/>
              </w:rPr>
              <w:tab/>
            </w:r>
            <w:r w:rsidR="00086EA9">
              <w:rPr>
                <w:noProof/>
                <w:webHidden/>
              </w:rPr>
              <w:fldChar w:fldCharType="begin"/>
            </w:r>
            <w:r w:rsidR="00086EA9">
              <w:rPr>
                <w:noProof/>
                <w:webHidden/>
              </w:rPr>
              <w:instrText xml:space="preserve"> PAGEREF _Toc67906085 \h </w:instrText>
            </w:r>
            <w:r w:rsidR="00086EA9">
              <w:rPr>
                <w:noProof/>
                <w:webHidden/>
              </w:rPr>
            </w:r>
            <w:r w:rsidR="00086EA9">
              <w:rPr>
                <w:noProof/>
                <w:webHidden/>
              </w:rPr>
              <w:fldChar w:fldCharType="separate"/>
            </w:r>
            <w:r w:rsidR="00086EA9">
              <w:rPr>
                <w:noProof/>
                <w:webHidden/>
              </w:rPr>
              <w:t>17</w:t>
            </w:r>
            <w:r w:rsidR="00086EA9">
              <w:rPr>
                <w:noProof/>
                <w:webHidden/>
              </w:rPr>
              <w:fldChar w:fldCharType="end"/>
            </w:r>
          </w:hyperlink>
        </w:p>
        <w:p w14:paraId="335EE252" w14:textId="5628B52C" w:rsidR="00086EA9" w:rsidRDefault="00B73D47">
          <w:pPr>
            <w:pStyle w:val="Obsah3"/>
            <w:rPr>
              <w:rFonts w:asciiTheme="minorHAnsi" w:eastAsiaTheme="minorEastAsia" w:hAnsiTheme="minorHAnsi" w:cstheme="minorBidi"/>
              <w:noProof/>
            </w:rPr>
          </w:pPr>
          <w:hyperlink w:anchor="_Toc67906086" w:history="1">
            <w:r w:rsidR="00086EA9" w:rsidRPr="00DF44D1">
              <w:rPr>
                <w:rStyle w:val="Hypertextovodkaz"/>
                <w:noProof/>
              </w:rPr>
              <w:t>2.7.3</w:t>
            </w:r>
            <w:r w:rsidR="00086EA9">
              <w:rPr>
                <w:rFonts w:asciiTheme="minorHAnsi" w:eastAsiaTheme="minorEastAsia" w:hAnsiTheme="minorHAnsi" w:cstheme="minorBidi"/>
                <w:noProof/>
              </w:rPr>
              <w:tab/>
            </w:r>
            <w:r w:rsidR="00086EA9" w:rsidRPr="00DF44D1">
              <w:rPr>
                <w:rStyle w:val="Hypertextovodkaz"/>
                <w:noProof/>
              </w:rPr>
              <w:t>Okruh aktivit 6.3 – Vydávání periodika Ergo</w:t>
            </w:r>
            <w:r w:rsidR="00086EA9">
              <w:rPr>
                <w:noProof/>
                <w:webHidden/>
              </w:rPr>
              <w:tab/>
            </w:r>
            <w:r w:rsidR="00086EA9">
              <w:rPr>
                <w:noProof/>
                <w:webHidden/>
              </w:rPr>
              <w:fldChar w:fldCharType="begin"/>
            </w:r>
            <w:r w:rsidR="00086EA9">
              <w:rPr>
                <w:noProof/>
                <w:webHidden/>
              </w:rPr>
              <w:instrText xml:space="preserve"> PAGEREF _Toc67906086 \h </w:instrText>
            </w:r>
            <w:r w:rsidR="00086EA9">
              <w:rPr>
                <w:noProof/>
                <w:webHidden/>
              </w:rPr>
            </w:r>
            <w:r w:rsidR="00086EA9">
              <w:rPr>
                <w:noProof/>
                <w:webHidden/>
              </w:rPr>
              <w:fldChar w:fldCharType="separate"/>
            </w:r>
            <w:r w:rsidR="00086EA9">
              <w:rPr>
                <w:noProof/>
                <w:webHidden/>
              </w:rPr>
              <w:t>18</w:t>
            </w:r>
            <w:r w:rsidR="00086EA9">
              <w:rPr>
                <w:noProof/>
                <w:webHidden/>
              </w:rPr>
              <w:fldChar w:fldCharType="end"/>
            </w:r>
          </w:hyperlink>
        </w:p>
        <w:p w14:paraId="5A1D24AD" w14:textId="068ED253" w:rsidR="00086EA9" w:rsidRDefault="00B73D47">
          <w:pPr>
            <w:pStyle w:val="Obsah2"/>
            <w:rPr>
              <w:rFonts w:asciiTheme="minorHAnsi" w:eastAsiaTheme="minorEastAsia" w:hAnsiTheme="minorHAnsi" w:cstheme="minorBidi"/>
              <w:noProof/>
            </w:rPr>
          </w:pPr>
          <w:hyperlink w:anchor="_Toc67906087" w:history="1">
            <w:r w:rsidR="00086EA9" w:rsidRPr="00DF44D1">
              <w:rPr>
                <w:rStyle w:val="Hypertextovodkaz"/>
                <w:noProof/>
              </w:rPr>
              <w:t>2.8</w:t>
            </w:r>
            <w:r w:rsidR="00086EA9">
              <w:rPr>
                <w:rFonts w:asciiTheme="minorHAnsi" w:eastAsiaTheme="minorEastAsia" w:hAnsiTheme="minorHAnsi" w:cstheme="minorBidi"/>
                <w:noProof/>
              </w:rPr>
              <w:tab/>
            </w:r>
            <w:r w:rsidR="00086EA9" w:rsidRPr="00DF44D1">
              <w:rPr>
                <w:rStyle w:val="Hypertextovodkaz"/>
                <w:noProof/>
              </w:rPr>
              <w:t>Řešitel a další účastníci projektu</w:t>
            </w:r>
            <w:r w:rsidR="00086EA9">
              <w:rPr>
                <w:noProof/>
                <w:webHidden/>
              </w:rPr>
              <w:tab/>
            </w:r>
            <w:r w:rsidR="00086EA9">
              <w:rPr>
                <w:noProof/>
                <w:webHidden/>
              </w:rPr>
              <w:fldChar w:fldCharType="begin"/>
            </w:r>
            <w:r w:rsidR="00086EA9">
              <w:rPr>
                <w:noProof/>
                <w:webHidden/>
              </w:rPr>
              <w:instrText xml:space="preserve"> PAGEREF _Toc67906087 \h </w:instrText>
            </w:r>
            <w:r w:rsidR="00086EA9">
              <w:rPr>
                <w:noProof/>
                <w:webHidden/>
              </w:rPr>
            </w:r>
            <w:r w:rsidR="00086EA9">
              <w:rPr>
                <w:noProof/>
                <w:webHidden/>
              </w:rPr>
              <w:fldChar w:fldCharType="separate"/>
            </w:r>
            <w:r w:rsidR="00086EA9">
              <w:rPr>
                <w:noProof/>
                <w:webHidden/>
              </w:rPr>
              <w:t>18</w:t>
            </w:r>
            <w:r w:rsidR="00086EA9">
              <w:rPr>
                <w:noProof/>
                <w:webHidden/>
              </w:rPr>
              <w:fldChar w:fldCharType="end"/>
            </w:r>
          </w:hyperlink>
        </w:p>
        <w:p w14:paraId="2B14E63A" w14:textId="0F19C761" w:rsidR="00086EA9" w:rsidRDefault="00B73D47">
          <w:pPr>
            <w:pStyle w:val="Obsah2"/>
            <w:rPr>
              <w:rFonts w:asciiTheme="minorHAnsi" w:eastAsiaTheme="minorEastAsia" w:hAnsiTheme="minorHAnsi" w:cstheme="minorBidi"/>
              <w:noProof/>
            </w:rPr>
          </w:pPr>
          <w:hyperlink w:anchor="_Toc67906088" w:history="1">
            <w:r w:rsidR="00086EA9" w:rsidRPr="00DF44D1">
              <w:rPr>
                <w:rStyle w:val="Hypertextovodkaz"/>
                <w:noProof/>
              </w:rPr>
              <w:t>2.9</w:t>
            </w:r>
            <w:r w:rsidR="00086EA9">
              <w:rPr>
                <w:rFonts w:asciiTheme="minorHAnsi" w:eastAsiaTheme="minorEastAsia" w:hAnsiTheme="minorHAnsi" w:cstheme="minorBidi"/>
                <w:noProof/>
              </w:rPr>
              <w:tab/>
            </w:r>
            <w:r w:rsidR="00086EA9" w:rsidRPr="00DF44D1">
              <w:rPr>
                <w:rStyle w:val="Hypertextovodkaz"/>
                <w:noProof/>
              </w:rPr>
              <w:t>Časový harmonogram realizace projektu</w:t>
            </w:r>
            <w:r w:rsidR="00086EA9">
              <w:rPr>
                <w:noProof/>
                <w:webHidden/>
              </w:rPr>
              <w:tab/>
            </w:r>
            <w:r w:rsidR="00086EA9">
              <w:rPr>
                <w:noProof/>
                <w:webHidden/>
              </w:rPr>
              <w:fldChar w:fldCharType="begin"/>
            </w:r>
            <w:r w:rsidR="00086EA9">
              <w:rPr>
                <w:noProof/>
                <w:webHidden/>
              </w:rPr>
              <w:instrText xml:space="preserve"> PAGEREF _Toc67906088 \h </w:instrText>
            </w:r>
            <w:r w:rsidR="00086EA9">
              <w:rPr>
                <w:noProof/>
                <w:webHidden/>
              </w:rPr>
            </w:r>
            <w:r w:rsidR="00086EA9">
              <w:rPr>
                <w:noProof/>
                <w:webHidden/>
              </w:rPr>
              <w:fldChar w:fldCharType="separate"/>
            </w:r>
            <w:r w:rsidR="00086EA9">
              <w:rPr>
                <w:noProof/>
                <w:webHidden/>
              </w:rPr>
              <w:t>19</w:t>
            </w:r>
            <w:r w:rsidR="00086EA9">
              <w:rPr>
                <w:noProof/>
                <w:webHidden/>
              </w:rPr>
              <w:fldChar w:fldCharType="end"/>
            </w:r>
          </w:hyperlink>
        </w:p>
        <w:p w14:paraId="5BD10FB1" w14:textId="4FD5F222" w:rsidR="00086EA9" w:rsidRDefault="00B73D47">
          <w:pPr>
            <w:pStyle w:val="Obsah2"/>
            <w:rPr>
              <w:rFonts w:asciiTheme="minorHAnsi" w:eastAsiaTheme="minorEastAsia" w:hAnsiTheme="minorHAnsi" w:cstheme="minorBidi"/>
              <w:noProof/>
            </w:rPr>
          </w:pPr>
          <w:hyperlink w:anchor="_Toc67906089" w:history="1">
            <w:r w:rsidR="00086EA9" w:rsidRPr="00DF44D1">
              <w:rPr>
                <w:rStyle w:val="Hypertextovodkaz"/>
                <w:noProof/>
              </w:rPr>
              <w:t>2.10</w:t>
            </w:r>
            <w:r w:rsidR="00086EA9">
              <w:rPr>
                <w:rFonts w:asciiTheme="minorHAnsi" w:eastAsiaTheme="minorEastAsia" w:hAnsiTheme="minorHAnsi" w:cstheme="minorBidi"/>
                <w:noProof/>
              </w:rPr>
              <w:tab/>
            </w:r>
            <w:r w:rsidR="00086EA9" w:rsidRPr="00DF44D1">
              <w:rPr>
                <w:rStyle w:val="Hypertextovodkaz"/>
                <w:noProof/>
              </w:rPr>
              <w:t>Očekávané výsledky a výstupy projektu</w:t>
            </w:r>
            <w:r w:rsidR="00086EA9">
              <w:rPr>
                <w:noProof/>
                <w:webHidden/>
              </w:rPr>
              <w:tab/>
            </w:r>
            <w:r w:rsidR="00086EA9">
              <w:rPr>
                <w:noProof/>
                <w:webHidden/>
              </w:rPr>
              <w:fldChar w:fldCharType="begin"/>
            </w:r>
            <w:r w:rsidR="00086EA9">
              <w:rPr>
                <w:noProof/>
                <w:webHidden/>
              </w:rPr>
              <w:instrText xml:space="preserve"> PAGEREF _Toc67906089 \h </w:instrText>
            </w:r>
            <w:r w:rsidR="00086EA9">
              <w:rPr>
                <w:noProof/>
                <w:webHidden/>
              </w:rPr>
            </w:r>
            <w:r w:rsidR="00086EA9">
              <w:rPr>
                <w:noProof/>
                <w:webHidden/>
              </w:rPr>
              <w:fldChar w:fldCharType="separate"/>
            </w:r>
            <w:r w:rsidR="00086EA9">
              <w:rPr>
                <w:noProof/>
                <w:webHidden/>
              </w:rPr>
              <w:t>20</w:t>
            </w:r>
            <w:r w:rsidR="00086EA9">
              <w:rPr>
                <w:noProof/>
                <w:webHidden/>
              </w:rPr>
              <w:fldChar w:fldCharType="end"/>
            </w:r>
          </w:hyperlink>
        </w:p>
        <w:p w14:paraId="7E53E438" w14:textId="302E3762" w:rsidR="00086EA9" w:rsidRDefault="00B73D47">
          <w:pPr>
            <w:pStyle w:val="Obsah1"/>
            <w:rPr>
              <w:rFonts w:asciiTheme="minorHAnsi" w:eastAsiaTheme="minorEastAsia" w:hAnsiTheme="minorHAnsi" w:cstheme="minorBidi"/>
              <w:noProof/>
            </w:rPr>
          </w:pPr>
          <w:hyperlink w:anchor="_Toc67906090" w:history="1">
            <w:r w:rsidR="00086EA9" w:rsidRPr="00DF44D1">
              <w:rPr>
                <w:rStyle w:val="Hypertextovodkaz"/>
                <w:noProof/>
              </w:rPr>
              <w:t>3</w:t>
            </w:r>
            <w:r w:rsidR="00086EA9">
              <w:rPr>
                <w:rFonts w:asciiTheme="minorHAnsi" w:eastAsiaTheme="minorEastAsia" w:hAnsiTheme="minorHAnsi" w:cstheme="minorBidi"/>
                <w:noProof/>
              </w:rPr>
              <w:tab/>
            </w:r>
            <w:r w:rsidR="00086EA9" w:rsidRPr="00DF44D1">
              <w:rPr>
                <w:rStyle w:val="Hypertextovodkaz"/>
                <w:noProof/>
              </w:rPr>
              <w:t>FINANČNÍ NÁKLADY</w:t>
            </w:r>
            <w:r w:rsidR="00086EA9">
              <w:rPr>
                <w:noProof/>
                <w:webHidden/>
              </w:rPr>
              <w:tab/>
            </w:r>
            <w:r w:rsidR="00086EA9">
              <w:rPr>
                <w:noProof/>
                <w:webHidden/>
              </w:rPr>
              <w:fldChar w:fldCharType="begin"/>
            </w:r>
            <w:r w:rsidR="00086EA9">
              <w:rPr>
                <w:noProof/>
                <w:webHidden/>
              </w:rPr>
              <w:instrText xml:space="preserve"> PAGEREF _Toc67906090 \h </w:instrText>
            </w:r>
            <w:r w:rsidR="00086EA9">
              <w:rPr>
                <w:noProof/>
                <w:webHidden/>
              </w:rPr>
            </w:r>
            <w:r w:rsidR="00086EA9">
              <w:rPr>
                <w:noProof/>
                <w:webHidden/>
              </w:rPr>
              <w:fldChar w:fldCharType="separate"/>
            </w:r>
            <w:r w:rsidR="00086EA9">
              <w:rPr>
                <w:noProof/>
                <w:webHidden/>
              </w:rPr>
              <w:t>21</w:t>
            </w:r>
            <w:r w:rsidR="00086EA9">
              <w:rPr>
                <w:noProof/>
                <w:webHidden/>
              </w:rPr>
              <w:fldChar w:fldCharType="end"/>
            </w:r>
          </w:hyperlink>
        </w:p>
        <w:p w14:paraId="73674043" w14:textId="4445D753" w:rsidR="00086EA9" w:rsidRDefault="00B73D47">
          <w:pPr>
            <w:pStyle w:val="Obsah1"/>
            <w:rPr>
              <w:rFonts w:asciiTheme="minorHAnsi" w:eastAsiaTheme="minorEastAsia" w:hAnsiTheme="minorHAnsi" w:cstheme="minorBidi"/>
              <w:noProof/>
            </w:rPr>
          </w:pPr>
          <w:hyperlink w:anchor="_Toc67906091" w:history="1">
            <w:r w:rsidR="00086EA9" w:rsidRPr="00DF44D1">
              <w:rPr>
                <w:rStyle w:val="Hypertextovodkaz"/>
                <w:noProof/>
              </w:rPr>
              <w:t>4</w:t>
            </w:r>
            <w:r w:rsidR="00086EA9">
              <w:rPr>
                <w:rFonts w:asciiTheme="minorHAnsi" w:eastAsiaTheme="minorEastAsia" w:hAnsiTheme="minorHAnsi" w:cstheme="minorBidi"/>
                <w:noProof/>
              </w:rPr>
              <w:tab/>
            </w:r>
            <w:r w:rsidR="00086EA9" w:rsidRPr="00DF44D1">
              <w:rPr>
                <w:rStyle w:val="Hypertextovodkaz"/>
                <w:noProof/>
              </w:rPr>
              <w:t>IMPLEMENTACE</w:t>
            </w:r>
            <w:r w:rsidR="00086EA9">
              <w:rPr>
                <w:noProof/>
                <w:webHidden/>
              </w:rPr>
              <w:tab/>
            </w:r>
            <w:r w:rsidR="00086EA9">
              <w:rPr>
                <w:noProof/>
                <w:webHidden/>
              </w:rPr>
              <w:fldChar w:fldCharType="begin"/>
            </w:r>
            <w:r w:rsidR="00086EA9">
              <w:rPr>
                <w:noProof/>
                <w:webHidden/>
              </w:rPr>
              <w:instrText xml:space="preserve"> PAGEREF _Toc67906091 \h </w:instrText>
            </w:r>
            <w:r w:rsidR="00086EA9">
              <w:rPr>
                <w:noProof/>
                <w:webHidden/>
              </w:rPr>
            </w:r>
            <w:r w:rsidR="00086EA9">
              <w:rPr>
                <w:noProof/>
                <w:webHidden/>
              </w:rPr>
              <w:fldChar w:fldCharType="separate"/>
            </w:r>
            <w:r w:rsidR="00086EA9">
              <w:rPr>
                <w:noProof/>
                <w:webHidden/>
              </w:rPr>
              <w:t>27</w:t>
            </w:r>
            <w:r w:rsidR="00086EA9">
              <w:rPr>
                <w:noProof/>
                <w:webHidden/>
              </w:rPr>
              <w:fldChar w:fldCharType="end"/>
            </w:r>
          </w:hyperlink>
        </w:p>
        <w:p w14:paraId="5B19375C" w14:textId="33C0ABC5" w:rsidR="00086EA9" w:rsidRDefault="00B73D47">
          <w:pPr>
            <w:pStyle w:val="Obsah2"/>
            <w:rPr>
              <w:rFonts w:asciiTheme="minorHAnsi" w:eastAsiaTheme="minorEastAsia" w:hAnsiTheme="minorHAnsi" w:cstheme="minorBidi"/>
              <w:noProof/>
            </w:rPr>
          </w:pPr>
          <w:hyperlink w:anchor="_Toc67906092" w:history="1">
            <w:r w:rsidR="00086EA9" w:rsidRPr="00DF44D1">
              <w:rPr>
                <w:rStyle w:val="Hypertextovodkaz"/>
                <w:noProof/>
              </w:rPr>
              <w:t>4.1</w:t>
            </w:r>
            <w:r w:rsidR="00086EA9">
              <w:rPr>
                <w:rFonts w:asciiTheme="minorHAnsi" w:eastAsiaTheme="minorEastAsia" w:hAnsiTheme="minorHAnsi" w:cstheme="minorBidi"/>
                <w:noProof/>
              </w:rPr>
              <w:tab/>
            </w:r>
            <w:r w:rsidR="00086EA9" w:rsidRPr="00DF44D1">
              <w:rPr>
                <w:rStyle w:val="Hypertextovodkaz"/>
                <w:noProof/>
              </w:rPr>
              <w:t>Řídicí výbor</w:t>
            </w:r>
            <w:r w:rsidR="00086EA9">
              <w:rPr>
                <w:noProof/>
                <w:webHidden/>
              </w:rPr>
              <w:tab/>
            </w:r>
            <w:r w:rsidR="00086EA9">
              <w:rPr>
                <w:noProof/>
                <w:webHidden/>
              </w:rPr>
              <w:fldChar w:fldCharType="begin"/>
            </w:r>
            <w:r w:rsidR="00086EA9">
              <w:rPr>
                <w:noProof/>
                <w:webHidden/>
              </w:rPr>
              <w:instrText xml:space="preserve"> PAGEREF _Toc67906092 \h </w:instrText>
            </w:r>
            <w:r w:rsidR="00086EA9">
              <w:rPr>
                <w:noProof/>
                <w:webHidden/>
              </w:rPr>
            </w:r>
            <w:r w:rsidR="00086EA9">
              <w:rPr>
                <w:noProof/>
                <w:webHidden/>
              </w:rPr>
              <w:fldChar w:fldCharType="separate"/>
            </w:r>
            <w:r w:rsidR="00086EA9">
              <w:rPr>
                <w:noProof/>
                <w:webHidden/>
              </w:rPr>
              <w:t>27</w:t>
            </w:r>
            <w:r w:rsidR="00086EA9">
              <w:rPr>
                <w:noProof/>
                <w:webHidden/>
              </w:rPr>
              <w:fldChar w:fldCharType="end"/>
            </w:r>
          </w:hyperlink>
        </w:p>
        <w:p w14:paraId="716DA959" w14:textId="533AF5DA" w:rsidR="00086EA9" w:rsidRDefault="00B73D47">
          <w:pPr>
            <w:pStyle w:val="Obsah2"/>
            <w:rPr>
              <w:rFonts w:asciiTheme="minorHAnsi" w:eastAsiaTheme="minorEastAsia" w:hAnsiTheme="minorHAnsi" w:cstheme="minorBidi"/>
              <w:noProof/>
            </w:rPr>
          </w:pPr>
          <w:hyperlink w:anchor="_Toc67906093" w:history="1">
            <w:r w:rsidR="00086EA9" w:rsidRPr="00DF44D1">
              <w:rPr>
                <w:rStyle w:val="Hypertextovodkaz"/>
                <w:noProof/>
              </w:rPr>
              <w:t>4.2</w:t>
            </w:r>
            <w:r w:rsidR="00086EA9">
              <w:rPr>
                <w:rFonts w:asciiTheme="minorHAnsi" w:eastAsiaTheme="minorEastAsia" w:hAnsiTheme="minorHAnsi" w:cstheme="minorBidi"/>
                <w:noProof/>
              </w:rPr>
              <w:tab/>
            </w:r>
            <w:r w:rsidR="00086EA9" w:rsidRPr="00DF44D1">
              <w:rPr>
                <w:rStyle w:val="Hypertextovodkaz"/>
                <w:noProof/>
              </w:rPr>
              <w:t>Výkonný výbor</w:t>
            </w:r>
            <w:r w:rsidR="00086EA9">
              <w:rPr>
                <w:noProof/>
                <w:webHidden/>
              </w:rPr>
              <w:tab/>
            </w:r>
            <w:r w:rsidR="00086EA9">
              <w:rPr>
                <w:noProof/>
                <w:webHidden/>
              </w:rPr>
              <w:fldChar w:fldCharType="begin"/>
            </w:r>
            <w:r w:rsidR="00086EA9">
              <w:rPr>
                <w:noProof/>
                <w:webHidden/>
              </w:rPr>
              <w:instrText xml:space="preserve"> PAGEREF _Toc67906093 \h </w:instrText>
            </w:r>
            <w:r w:rsidR="00086EA9">
              <w:rPr>
                <w:noProof/>
                <w:webHidden/>
              </w:rPr>
            </w:r>
            <w:r w:rsidR="00086EA9">
              <w:rPr>
                <w:noProof/>
                <w:webHidden/>
              </w:rPr>
              <w:fldChar w:fldCharType="separate"/>
            </w:r>
            <w:r w:rsidR="00086EA9">
              <w:rPr>
                <w:noProof/>
                <w:webHidden/>
              </w:rPr>
              <w:t>28</w:t>
            </w:r>
            <w:r w:rsidR="00086EA9">
              <w:rPr>
                <w:noProof/>
                <w:webHidden/>
              </w:rPr>
              <w:fldChar w:fldCharType="end"/>
            </w:r>
          </w:hyperlink>
        </w:p>
        <w:p w14:paraId="1706AEE0" w14:textId="3F3F578D" w:rsidR="00086EA9" w:rsidRDefault="00B73D47">
          <w:pPr>
            <w:pStyle w:val="Obsah2"/>
            <w:rPr>
              <w:rFonts w:asciiTheme="minorHAnsi" w:eastAsiaTheme="minorEastAsia" w:hAnsiTheme="minorHAnsi" w:cstheme="minorBidi"/>
              <w:noProof/>
            </w:rPr>
          </w:pPr>
          <w:hyperlink w:anchor="_Toc67906094" w:history="1">
            <w:r w:rsidR="00086EA9" w:rsidRPr="00DF44D1">
              <w:rPr>
                <w:rStyle w:val="Hypertextovodkaz"/>
                <w:noProof/>
              </w:rPr>
              <w:t>4.3</w:t>
            </w:r>
            <w:r w:rsidR="00086EA9">
              <w:rPr>
                <w:rFonts w:asciiTheme="minorHAnsi" w:eastAsiaTheme="minorEastAsia" w:hAnsiTheme="minorHAnsi" w:cstheme="minorBidi"/>
                <w:noProof/>
              </w:rPr>
              <w:tab/>
            </w:r>
            <w:r w:rsidR="00086EA9" w:rsidRPr="00DF44D1">
              <w:rPr>
                <w:rStyle w:val="Hypertextovodkaz"/>
                <w:noProof/>
              </w:rPr>
              <w:t>Vědecká rada</w:t>
            </w:r>
            <w:r w:rsidR="00086EA9">
              <w:rPr>
                <w:noProof/>
                <w:webHidden/>
              </w:rPr>
              <w:tab/>
            </w:r>
            <w:r w:rsidR="00086EA9">
              <w:rPr>
                <w:noProof/>
                <w:webHidden/>
              </w:rPr>
              <w:fldChar w:fldCharType="begin"/>
            </w:r>
            <w:r w:rsidR="00086EA9">
              <w:rPr>
                <w:noProof/>
                <w:webHidden/>
              </w:rPr>
              <w:instrText xml:space="preserve"> PAGEREF _Toc67906094 \h </w:instrText>
            </w:r>
            <w:r w:rsidR="00086EA9">
              <w:rPr>
                <w:noProof/>
                <w:webHidden/>
              </w:rPr>
            </w:r>
            <w:r w:rsidR="00086EA9">
              <w:rPr>
                <w:noProof/>
                <w:webHidden/>
              </w:rPr>
              <w:fldChar w:fldCharType="separate"/>
            </w:r>
            <w:r w:rsidR="00086EA9">
              <w:rPr>
                <w:noProof/>
                <w:webHidden/>
              </w:rPr>
              <w:t>28</w:t>
            </w:r>
            <w:r w:rsidR="00086EA9">
              <w:rPr>
                <w:noProof/>
                <w:webHidden/>
              </w:rPr>
              <w:fldChar w:fldCharType="end"/>
            </w:r>
          </w:hyperlink>
        </w:p>
        <w:p w14:paraId="766F7E72" w14:textId="3741C3C9" w:rsidR="00086EA9" w:rsidRDefault="00B73D47">
          <w:pPr>
            <w:pStyle w:val="Obsah1"/>
            <w:rPr>
              <w:rFonts w:asciiTheme="minorHAnsi" w:eastAsiaTheme="minorEastAsia" w:hAnsiTheme="minorHAnsi" w:cstheme="minorBidi"/>
              <w:noProof/>
            </w:rPr>
          </w:pPr>
          <w:hyperlink w:anchor="_Toc67906095" w:history="1">
            <w:r w:rsidR="00086EA9" w:rsidRPr="00DF44D1">
              <w:rPr>
                <w:rStyle w:val="Hypertextovodkaz"/>
                <w:noProof/>
              </w:rPr>
              <w:t>5</w:t>
            </w:r>
            <w:r w:rsidR="00086EA9">
              <w:rPr>
                <w:rFonts w:asciiTheme="minorHAnsi" w:eastAsiaTheme="minorEastAsia" w:hAnsiTheme="minorHAnsi" w:cstheme="minorBidi"/>
                <w:noProof/>
              </w:rPr>
              <w:tab/>
            </w:r>
            <w:r w:rsidR="00086EA9" w:rsidRPr="00DF44D1">
              <w:rPr>
                <w:rStyle w:val="Hypertextovodkaz"/>
                <w:noProof/>
              </w:rPr>
              <w:t>MONITORING a evaluace</w:t>
            </w:r>
            <w:r w:rsidR="00086EA9">
              <w:rPr>
                <w:noProof/>
                <w:webHidden/>
              </w:rPr>
              <w:tab/>
            </w:r>
            <w:r w:rsidR="00086EA9">
              <w:rPr>
                <w:noProof/>
                <w:webHidden/>
              </w:rPr>
              <w:fldChar w:fldCharType="begin"/>
            </w:r>
            <w:r w:rsidR="00086EA9">
              <w:rPr>
                <w:noProof/>
                <w:webHidden/>
              </w:rPr>
              <w:instrText xml:space="preserve"> PAGEREF _Toc67906095 \h </w:instrText>
            </w:r>
            <w:r w:rsidR="00086EA9">
              <w:rPr>
                <w:noProof/>
                <w:webHidden/>
              </w:rPr>
            </w:r>
            <w:r w:rsidR="00086EA9">
              <w:rPr>
                <w:noProof/>
                <w:webHidden/>
              </w:rPr>
              <w:fldChar w:fldCharType="separate"/>
            </w:r>
            <w:r w:rsidR="00086EA9">
              <w:rPr>
                <w:noProof/>
                <w:webHidden/>
              </w:rPr>
              <w:t>29</w:t>
            </w:r>
            <w:r w:rsidR="00086EA9">
              <w:rPr>
                <w:noProof/>
                <w:webHidden/>
              </w:rPr>
              <w:fldChar w:fldCharType="end"/>
            </w:r>
          </w:hyperlink>
        </w:p>
        <w:p w14:paraId="2E52C8A9" w14:textId="375040C1" w:rsidR="00086EA9" w:rsidRDefault="00B73D47">
          <w:pPr>
            <w:pStyle w:val="Obsah2"/>
            <w:rPr>
              <w:rFonts w:asciiTheme="minorHAnsi" w:eastAsiaTheme="minorEastAsia" w:hAnsiTheme="minorHAnsi" w:cstheme="minorBidi"/>
              <w:noProof/>
            </w:rPr>
          </w:pPr>
          <w:hyperlink w:anchor="_Toc67906096" w:history="1">
            <w:r w:rsidR="00086EA9" w:rsidRPr="00DF44D1">
              <w:rPr>
                <w:rStyle w:val="Hypertextovodkaz"/>
                <w:noProof/>
              </w:rPr>
              <w:t>5.1</w:t>
            </w:r>
            <w:r w:rsidR="00086EA9">
              <w:rPr>
                <w:rFonts w:asciiTheme="minorHAnsi" w:eastAsiaTheme="minorEastAsia" w:hAnsiTheme="minorHAnsi" w:cstheme="minorBidi"/>
                <w:noProof/>
              </w:rPr>
              <w:tab/>
            </w:r>
            <w:r w:rsidR="00086EA9" w:rsidRPr="00DF44D1">
              <w:rPr>
                <w:rStyle w:val="Hypertextovodkaz"/>
                <w:noProof/>
              </w:rPr>
              <w:t>Progress report</w:t>
            </w:r>
            <w:r w:rsidR="00086EA9">
              <w:rPr>
                <w:noProof/>
                <w:webHidden/>
              </w:rPr>
              <w:tab/>
            </w:r>
            <w:r w:rsidR="00086EA9">
              <w:rPr>
                <w:noProof/>
                <w:webHidden/>
              </w:rPr>
              <w:fldChar w:fldCharType="begin"/>
            </w:r>
            <w:r w:rsidR="00086EA9">
              <w:rPr>
                <w:noProof/>
                <w:webHidden/>
              </w:rPr>
              <w:instrText xml:space="preserve"> PAGEREF _Toc67906096 \h </w:instrText>
            </w:r>
            <w:r w:rsidR="00086EA9">
              <w:rPr>
                <w:noProof/>
                <w:webHidden/>
              </w:rPr>
            </w:r>
            <w:r w:rsidR="00086EA9">
              <w:rPr>
                <w:noProof/>
                <w:webHidden/>
              </w:rPr>
              <w:fldChar w:fldCharType="separate"/>
            </w:r>
            <w:r w:rsidR="00086EA9">
              <w:rPr>
                <w:noProof/>
                <w:webHidden/>
              </w:rPr>
              <w:t>29</w:t>
            </w:r>
            <w:r w:rsidR="00086EA9">
              <w:rPr>
                <w:noProof/>
                <w:webHidden/>
              </w:rPr>
              <w:fldChar w:fldCharType="end"/>
            </w:r>
          </w:hyperlink>
        </w:p>
        <w:p w14:paraId="38E8CEF1" w14:textId="6B6F7ACD" w:rsidR="00086EA9" w:rsidRDefault="00B73D47">
          <w:pPr>
            <w:pStyle w:val="Obsah2"/>
            <w:rPr>
              <w:rFonts w:asciiTheme="minorHAnsi" w:eastAsiaTheme="minorEastAsia" w:hAnsiTheme="minorHAnsi" w:cstheme="minorBidi"/>
              <w:noProof/>
            </w:rPr>
          </w:pPr>
          <w:hyperlink w:anchor="_Toc67906097" w:history="1">
            <w:r w:rsidR="00086EA9" w:rsidRPr="00DF44D1">
              <w:rPr>
                <w:rStyle w:val="Hypertextovodkaz"/>
                <w:noProof/>
              </w:rPr>
              <w:t>5.2</w:t>
            </w:r>
            <w:r w:rsidR="00086EA9">
              <w:rPr>
                <w:rFonts w:asciiTheme="minorHAnsi" w:eastAsiaTheme="minorEastAsia" w:hAnsiTheme="minorHAnsi" w:cstheme="minorBidi"/>
                <w:noProof/>
              </w:rPr>
              <w:tab/>
            </w:r>
            <w:r w:rsidR="00086EA9" w:rsidRPr="00DF44D1">
              <w:rPr>
                <w:rStyle w:val="Hypertextovodkaz"/>
                <w:noProof/>
              </w:rPr>
              <w:t>Annual report</w:t>
            </w:r>
            <w:r w:rsidR="00086EA9">
              <w:rPr>
                <w:noProof/>
                <w:webHidden/>
              </w:rPr>
              <w:tab/>
            </w:r>
            <w:r w:rsidR="00086EA9">
              <w:rPr>
                <w:noProof/>
                <w:webHidden/>
              </w:rPr>
              <w:fldChar w:fldCharType="begin"/>
            </w:r>
            <w:r w:rsidR="00086EA9">
              <w:rPr>
                <w:noProof/>
                <w:webHidden/>
              </w:rPr>
              <w:instrText xml:space="preserve"> PAGEREF _Toc67906097 \h </w:instrText>
            </w:r>
            <w:r w:rsidR="00086EA9">
              <w:rPr>
                <w:noProof/>
                <w:webHidden/>
              </w:rPr>
            </w:r>
            <w:r w:rsidR="00086EA9">
              <w:rPr>
                <w:noProof/>
                <w:webHidden/>
              </w:rPr>
              <w:fldChar w:fldCharType="separate"/>
            </w:r>
            <w:r w:rsidR="00086EA9">
              <w:rPr>
                <w:noProof/>
                <w:webHidden/>
              </w:rPr>
              <w:t>29</w:t>
            </w:r>
            <w:r w:rsidR="00086EA9">
              <w:rPr>
                <w:noProof/>
                <w:webHidden/>
              </w:rPr>
              <w:fldChar w:fldCharType="end"/>
            </w:r>
          </w:hyperlink>
        </w:p>
        <w:p w14:paraId="5657BB55" w14:textId="77ADD7B9" w:rsidR="00086EA9" w:rsidRDefault="00B73D47">
          <w:pPr>
            <w:pStyle w:val="Obsah2"/>
            <w:rPr>
              <w:rFonts w:asciiTheme="minorHAnsi" w:eastAsiaTheme="minorEastAsia" w:hAnsiTheme="minorHAnsi" w:cstheme="minorBidi"/>
              <w:noProof/>
            </w:rPr>
          </w:pPr>
          <w:hyperlink w:anchor="_Toc67906098" w:history="1">
            <w:r w:rsidR="00086EA9" w:rsidRPr="00DF44D1">
              <w:rPr>
                <w:rStyle w:val="Hypertextovodkaz"/>
                <w:noProof/>
              </w:rPr>
              <w:t>5.3</w:t>
            </w:r>
            <w:r w:rsidR="00086EA9">
              <w:rPr>
                <w:rFonts w:asciiTheme="minorHAnsi" w:eastAsiaTheme="minorEastAsia" w:hAnsiTheme="minorHAnsi" w:cstheme="minorBidi"/>
                <w:noProof/>
              </w:rPr>
              <w:tab/>
            </w:r>
            <w:r w:rsidR="00086EA9" w:rsidRPr="00DF44D1">
              <w:rPr>
                <w:rStyle w:val="Hypertextovodkaz"/>
                <w:noProof/>
              </w:rPr>
              <w:t>Evaluation report</w:t>
            </w:r>
            <w:r w:rsidR="00086EA9">
              <w:rPr>
                <w:noProof/>
                <w:webHidden/>
              </w:rPr>
              <w:tab/>
            </w:r>
            <w:r w:rsidR="00086EA9">
              <w:rPr>
                <w:noProof/>
                <w:webHidden/>
              </w:rPr>
              <w:fldChar w:fldCharType="begin"/>
            </w:r>
            <w:r w:rsidR="00086EA9">
              <w:rPr>
                <w:noProof/>
                <w:webHidden/>
              </w:rPr>
              <w:instrText xml:space="preserve"> PAGEREF _Toc67906098 \h </w:instrText>
            </w:r>
            <w:r w:rsidR="00086EA9">
              <w:rPr>
                <w:noProof/>
                <w:webHidden/>
              </w:rPr>
            </w:r>
            <w:r w:rsidR="00086EA9">
              <w:rPr>
                <w:noProof/>
                <w:webHidden/>
              </w:rPr>
              <w:fldChar w:fldCharType="separate"/>
            </w:r>
            <w:r w:rsidR="00086EA9">
              <w:rPr>
                <w:noProof/>
                <w:webHidden/>
              </w:rPr>
              <w:t>29</w:t>
            </w:r>
            <w:r w:rsidR="00086EA9">
              <w:rPr>
                <w:noProof/>
                <w:webHidden/>
              </w:rPr>
              <w:fldChar w:fldCharType="end"/>
            </w:r>
          </w:hyperlink>
        </w:p>
        <w:p w14:paraId="7EBA862A" w14:textId="50D29BA4" w:rsidR="00086EA9" w:rsidRDefault="00B73D47">
          <w:pPr>
            <w:pStyle w:val="Obsah2"/>
            <w:rPr>
              <w:rFonts w:asciiTheme="minorHAnsi" w:eastAsiaTheme="minorEastAsia" w:hAnsiTheme="minorHAnsi" w:cstheme="minorBidi"/>
              <w:noProof/>
            </w:rPr>
          </w:pPr>
          <w:hyperlink w:anchor="_Toc67906099" w:history="1">
            <w:r w:rsidR="00086EA9" w:rsidRPr="00DF44D1">
              <w:rPr>
                <w:rStyle w:val="Hypertextovodkaz"/>
                <w:noProof/>
              </w:rPr>
              <w:t>5.4</w:t>
            </w:r>
            <w:r w:rsidR="00086EA9">
              <w:rPr>
                <w:rFonts w:asciiTheme="minorHAnsi" w:eastAsiaTheme="minorEastAsia" w:hAnsiTheme="minorHAnsi" w:cstheme="minorBidi"/>
                <w:noProof/>
              </w:rPr>
              <w:tab/>
            </w:r>
            <w:r w:rsidR="00086EA9" w:rsidRPr="00DF44D1">
              <w:rPr>
                <w:rStyle w:val="Hypertextovodkaz"/>
                <w:noProof/>
              </w:rPr>
              <w:t>Klíčové výkonnostní indikátory</w:t>
            </w:r>
            <w:r w:rsidR="00086EA9">
              <w:rPr>
                <w:noProof/>
                <w:webHidden/>
              </w:rPr>
              <w:tab/>
            </w:r>
            <w:r w:rsidR="00086EA9">
              <w:rPr>
                <w:noProof/>
                <w:webHidden/>
              </w:rPr>
              <w:fldChar w:fldCharType="begin"/>
            </w:r>
            <w:r w:rsidR="00086EA9">
              <w:rPr>
                <w:noProof/>
                <w:webHidden/>
              </w:rPr>
              <w:instrText xml:space="preserve"> PAGEREF _Toc67906099 \h </w:instrText>
            </w:r>
            <w:r w:rsidR="00086EA9">
              <w:rPr>
                <w:noProof/>
                <w:webHidden/>
              </w:rPr>
            </w:r>
            <w:r w:rsidR="00086EA9">
              <w:rPr>
                <w:noProof/>
                <w:webHidden/>
              </w:rPr>
              <w:fldChar w:fldCharType="separate"/>
            </w:r>
            <w:r w:rsidR="00086EA9">
              <w:rPr>
                <w:noProof/>
                <w:webHidden/>
              </w:rPr>
              <w:t>29</w:t>
            </w:r>
            <w:r w:rsidR="00086EA9">
              <w:rPr>
                <w:noProof/>
                <w:webHidden/>
              </w:rPr>
              <w:fldChar w:fldCharType="end"/>
            </w:r>
          </w:hyperlink>
        </w:p>
        <w:p w14:paraId="10D7C017" w14:textId="1B16E77D" w:rsidR="00104BDD" w:rsidRDefault="00BD5DD5">
          <w:pPr>
            <w:pStyle w:val="Obsah1"/>
            <w:rPr>
              <w:rFonts w:ascii="Calibri" w:eastAsia="Calibri" w:hAnsi="Calibri" w:cs="Calibri"/>
              <w:color w:val="000000"/>
            </w:rPr>
          </w:pPr>
          <w:r>
            <w:fldChar w:fldCharType="end"/>
          </w:r>
        </w:p>
      </w:sdtContent>
    </w:sdt>
    <w:p w14:paraId="3FF0F7D0" w14:textId="77777777" w:rsidR="00104BDD" w:rsidRDefault="00BD5DD5">
      <w:pPr>
        <w:tabs>
          <w:tab w:val="left" w:pos="709"/>
          <w:tab w:val="right" w:pos="9062"/>
        </w:tabs>
        <w:spacing w:after="0"/>
        <w:ind w:left="221"/>
        <w:rPr>
          <w:color w:val="000000"/>
        </w:rPr>
      </w:pPr>
      <w:r>
        <w:br w:type="page"/>
      </w:r>
    </w:p>
    <w:p w14:paraId="1A5FCF04" w14:textId="77777777" w:rsidR="00104BDD" w:rsidRDefault="00BD5DD5">
      <w:pPr>
        <w:pStyle w:val="Nadpis1"/>
        <w:numPr>
          <w:ilvl w:val="0"/>
          <w:numId w:val="2"/>
        </w:numPr>
        <w:spacing w:before="240" w:after="240"/>
        <w:ind w:left="431" w:hanging="431"/>
      </w:pPr>
      <w:bookmarkStart w:id="0" w:name="_Toc40123710"/>
      <w:bookmarkStart w:id="1" w:name="_Toc67906046"/>
      <w:r>
        <w:lastRenderedPageBreak/>
        <w:t>OBECNÉ CHARAKTERISTIKY</w:t>
      </w:r>
      <w:bookmarkEnd w:id="0"/>
      <w:bookmarkEnd w:id="1"/>
    </w:p>
    <w:p w14:paraId="689587DE" w14:textId="77777777" w:rsidR="00104BDD" w:rsidRDefault="00BD5DD5">
      <w:pPr>
        <w:pStyle w:val="Nadpis2"/>
      </w:pPr>
      <w:bookmarkStart w:id="2" w:name="_Toc40123711"/>
      <w:r>
        <w:t xml:space="preserve"> </w:t>
      </w:r>
      <w:bookmarkStart w:id="3" w:name="_Toc67906047"/>
      <w:r>
        <w:t>Základní informace</w:t>
      </w:r>
      <w:bookmarkEnd w:id="2"/>
      <w:r>
        <w:t xml:space="preserve"> o projektu</w:t>
      </w:r>
      <w:bookmarkEnd w:id="3"/>
    </w:p>
    <w:tbl>
      <w:tblPr>
        <w:tblW w:w="9038" w:type="dxa"/>
        <w:tblLayout w:type="fixed"/>
        <w:tblLook w:val="04A0" w:firstRow="1" w:lastRow="0" w:firstColumn="1" w:lastColumn="0" w:noHBand="0" w:noVBand="1"/>
      </w:tblPr>
      <w:tblGrid>
        <w:gridCol w:w="2824"/>
        <w:gridCol w:w="6214"/>
      </w:tblGrid>
      <w:tr w:rsidR="00104BDD" w14:paraId="23CDE0BE" w14:textId="77777777">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8A516D" w14:textId="77777777" w:rsidR="00104BDD" w:rsidRDefault="00BD5DD5">
            <w:pPr>
              <w:spacing w:before="120" w:after="120" w:line="240" w:lineRule="auto"/>
            </w:pPr>
            <w:r>
              <w:t>Název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628D27" w14:textId="781F73A8" w:rsidR="00104BDD" w:rsidRDefault="00BD5DD5">
            <w:pPr>
              <w:spacing w:before="120" w:after="120" w:line="240" w:lineRule="auto"/>
            </w:pPr>
            <w:r>
              <w:t>Strategická inteligence pro výzkum a inovace</w:t>
            </w:r>
          </w:p>
        </w:tc>
      </w:tr>
      <w:tr w:rsidR="00104BDD" w14:paraId="6F9B76DC" w14:textId="77777777">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33AF1E" w14:textId="77777777" w:rsidR="00104BDD" w:rsidRDefault="00BD5DD5">
            <w:pPr>
              <w:spacing w:before="120" w:after="120" w:line="240" w:lineRule="auto"/>
            </w:pPr>
            <w:r>
              <w:t>Akronym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D1E06C" w14:textId="77777777" w:rsidR="00104BDD" w:rsidRDefault="00BD5DD5">
            <w:pPr>
              <w:spacing w:before="120" w:after="120" w:line="240" w:lineRule="auto"/>
            </w:pPr>
            <w:r>
              <w:t>STRATIN+</w:t>
            </w:r>
          </w:p>
        </w:tc>
      </w:tr>
      <w:tr w:rsidR="00104BDD" w14:paraId="4BD58605" w14:textId="77777777">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2BB7C7" w14:textId="77777777" w:rsidR="00104BDD" w:rsidRDefault="00BD5DD5">
            <w:pPr>
              <w:spacing w:before="120" w:after="120" w:line="240" w:lineRule="auto"/>
            </w:pPr>
            <w:r>
              <w:t>Příjemce</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362FD3" w14:textId="77777777" w:rsidR="00104BDD" w:rsidRDefault="00BD5DD5">
            <w:pPr>
              <w:spacing w:before="120" w:after="120" w:line="240" w:lineRule="auto"/>
            </w:pPr>
            <w:r>
              <w:t xml:space="preserve">Technologické centrum AV ČR, </w:t>
            </w:r>
            <w:proofErr w:type="spellStart"/>
            <w:r>
              <w:t>z.s.p.o</w:t>
            </w:r>
            <w:proofErr w:type="spellEnd"/>
            <w:r>
              <w:t xml:space="preserve">.  </w:t>
            </w:r>
          </w:p>
        </w:tc>
      </w:tr>
      <w:tr w:rsidR="00104BDD" w14:paraId="0CF98C7D" w14:textId="77777777">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835BE3" w14:textId="77777777" w:rsidR="00104BDD" w:rsidRDefault="00BD5DD5">
            <w:pPr>
              <w:spacing w:before="120" w:after="120" w:line="240" w:lineRule="auto"/>
            </w:pPr>
            <w:r>
              <w:t>Další účastníci</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68E6CA" w14:textId="14A5B893" w:rsidR="00104BDD" w:rsidRDefault="00BD5DD5">
            <w:pPr>
              <w:spacing w:before="120" w:after="120" w:line="240" w:lineRule="auto"/>
            </w:pPr>
            <w:r>
              <w:t>Sociologický ústav AV ČR, v.</w:t>
            </w:r>
            <w:r w:rsidR="00883B5D">
              <w:t xml:space="preserve"> </w:t>
            </w:r>
            <w:r>
              <w:t>v.</w:t>
            </w:r>
            <w:r w:rsidR="00883B5D">
              <w:t xml:space="preserve"> </w:t>
            </w:r>
            <w:r>
              <w:t>i.</w:t>
            </w:r>
          </w:p>
          <w:p w14:paraId="166A8643" w14:textId="78826F32" w:rsidR="00104BDD" w:rsidRDefault="00BD5DD5">
            <w:pPr>
              <w:spacing w:before="120" w:after="120" w:line="240" w:lineRule="auto"/>
            </w:pPr>
            <w:r>
              <w:t>Středisko společných činností AV ČR, v.</w:t>
            </w:r>
            <w:r w:rsidR="00883B5D">
              <w:t xml:space="preserve"> </w:t>
            </w:r>
            <w:r>
              <w:t>v.</w:t>
            </w:r>
            <w:r w:rsidR="00883B5D">
              <w:t xml:space="preserve"> </w:t>
            </w:r>
            <w:r>
              <w:t>i.</w:t>
            </w:r>
          </w:p>
          <w:p w14:paraId="0FAD78A2" w14:textId="77777777" w:rsidR="00104BDD" w:rsidRDefault="00BD5DD5">
            <w:pPr>
              <w:spacing w:before="120" w:after="120" w:line="240" w:lineRule="auto"/>
            </w:pPr>
            <w:r>
              <w:t>Národní vzdělávací fond, o.p.s.</w:t>
            </w:r>
          </w:p>
        </w:tc>
      </w:tr>
      <w:tr w:rsidR="00104BDD" w14:paraId="1B5A476D" w14:textId="77777777">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8F3C46" w14:textId="77777777" w:rsidR="00104BDD" w:rsidRDefault="00BD5DD5">
            <w:pPr>
              <w:spacing w:before="120" w:after="120" w:line="240" w:lineRule="auto"/>
            </w:pPr>
            <w:r>
              <w:t>Období realizace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08315A" w14:textId="55963BEB" w:rsidR="00104BDD" w:rsidRDefault="00BD5DD5" w:rsidP="00C5772D">
            <w:pPr>
              <w:spacing w:before="120" w:after="120" w:line="240" w:lineRule="auto"/>
            </w:pPr>
            <w:r>
              <w:t xml:space="preserve">1. ledna 2021 – 31. prosince </w:t>
            </w:r>
            <w:r w:rsidR="007425AC">
              <w:t>2024</w:t>
            </w:r>
          </w:p>
        </w:tc>
      </w:tr>
      <w:tr w:rsidR="00104BDD" w14:paraId="08F4DA56" w14:textId="77777777">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72F2A4" w14:textId="77777777" w:rsidR="00104BDD" w:rsidRDefault="00BD5DD5">
            <w:pPr>
              <w:spacing w:before="120" w:after="120" w:line="240" w:lineRule="auto"/>
            </w:pPr>
            <w:r>
              <w:t>Rozpočet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D379CF" w14:textId="0DF6061B" w:rsidR="00104BDD" w:rsidRDefault="00A35479" w:rsidP="001C49E0">
            <w:pPr>
              <w:spacing w:before="120" w:after="120" w:line="240" w:lineRule="auto"/>
            </w:pPr>
            <w:bookmarkStart w:id="4" w:name="_Hlk65237549"/>
            <w:r w:rsidRPr="00A35479">
              <w:rPr>
                <w:bCs/>
                <w:color w:val="000000"/>
              </w:rPr>
              <w:t>92 225 685</w:t>
            </w:r>
            <w:r w:rsidR="00E95D81">
              <w:t>,-</w:t>
            </w:r>
            <w:r w:rsidR="00D815C7">
              <w:t xml:space="preserve"> Kč</w:t>
            </w:r>
            <w:bookmarkEnd w:id="4"/>
          </w:p>
        </w:tc>
      </w:tr>
    </w:tbl>
    <w:p w14:paraId="3468CA71" w14:textId="77777777" w:rsidR="00104BDD" w:rsidRDefault="00BD5DD5">
      <w:pPr>
        <w:pStyle w:val="Nadpis2"/>
      </w:pPr>
      <w:bookmarkStart w:id="5" w:name="_Toc40123712"/>
      <w:r>
        <w:t xml:space="preserve"> </w:t>
      </w:r>
      <w:bookmarkStart w:id="6" w:name="_Toc67906048"/>
      <w:r>
        <w:t>Anotace projektu</w:t>
      </w:r>
      <w:bookmarkEnd w:id="5"/>
      <w:bookmarkEnd w:id="6"/>
    </w:p>
    <w:p w14:paraId="332B298B" w14:textId="66A2D670" w:rsidR="00104BDD" w:rsidRDefault="00BD5DD5">
      <w:pPr>
        <w:pStyle w:val="Odstavecseseznamem"/>
        <w:numPr>
          <w:ilvl w:val="0"/>
          <w:numId w:val="0"/>
        </w:numPr>
        <w:spacing w:line="240" w:lineRule="auto"/>
        <w:contextualSpacing w:val="0"/>
        <w:jc w:val="both"/>
      </w:pPr>
      <w:bookmarkStart w:id="7" w:name="_Toc40123713"/>
      <w:r>
        <w:t xml:space="preserve">Účelem projektu sdílených činností „Strategická inteligence pro výzkum a inovace“ je </w:t>
      </w:r>
      <w:r w:rsidRPr="00AA2615">
        <w:rPr>
          <w:b/>
        </w:rPr>
        <w:t xml:space="preserve">poskytovat </w:t>
      </w:r>
      <w:r w:rsidR="00EF4919" w:rsidRPr="004663F1">
        <w:rPr>
          <w:b/>
        </w:rPr>
        <w:t>analytické kapacity a na datech založené strategické informace (tj.</w:t>
      </w:r>
      <w:r w:rsidR="00EF4919" w:rsidRPr="004663F1">
        <w:t xml:space="preserve"> </w:t>
      </w:r>
      <w:r w:rsidR="00EF4919" w:rsidRPr="004663F1">
        <w:rPr>
          <w:b/>
        </w:rPr>
        <w:t>služby strategické inteligence)</w:t>
      </w:r>
      <w:r w:rsidRPr="00AA2615">
        <w:rPr>
          <w:b/>
        </w:rPr>
        <w:t xml:space="preserve"> veřejné </w:t>
      </w:r>
      <w:r>
        <w:rPr>
          <w:b/>
        </w:rPr>
        <w:t xml:space="preserve">správě a výzkumným organizacím pro realizaci politiky výzkumu, vývoje a inovací </w:t>
      </w:r>
      <w:r>
        <w:t>(dále jen „</w:t>
      </w:r>
      <w:proofErr w:type="spellStart"/>
      <w:r>
        <w:t>VaVaI</w:t>
      </w:r>
      <w:proofErr w:type="spellEnd"/>
      <w:r>
        <w:t>“) v oblastech:</w:t>
      </w:r>
    </w:p>
    <w:p w14:paraId="19E580D5" w14:textId="77777777" w:rsidR="00104BDD" w:rsidRDefault="00104BDD">
      <w:pPr>
        <w:pStyle w:val="Odstavecseseznamem"/>
        <w:numPr>
          <w:ilvl w:val="0"/>
          <w:numId w:val="0"/>
        </w:numPr>
        <w:spacing w:line="240" w:lineRule="auto"/>
        <w:contextualSpacing w:val="0"/>
        <w:jc w:val="both"/>
      </w:pPr>
    </w:p>
    <w:p w14:paraId="148C1BDC" w14:textId="77777777" w:rsidR="00104BDD" w:rsidRDefault="00BD5DD5">
      <w:pPr>
        <w:pStyle w:val="Odstavecseseznamem"/>
        <w:numPr>
          <w:ilvl w:val="0"/>
          <w:numId w:val="0"/>
        </w:numPr>
        <w:spacing w:line="240" w:lineRule="auto"/>
        <w:contextualSpacing w:val="0"/>
        <w:jc w:val="both"/>
      </w:pPr>
      <w:r>
        <w:t xml:space="preserve">1. podpory mezinárodní spolupráce ve </w:t>
      </w:r>
      <w:proofErr w:type="spellStart"/>
      <w:r>
        <w:t>VaVaI</w:t>
      </w:r>
      <w:proofErr w:type="spellEnd"/>
      <w:r>
        <w:t>,</w:t>
      </w:r>
    </w:p>
    <w:p w14:paraId="5E158E67" w14:textId="77777777" w:rsidR="00104BDD" w:rsidRDefault="00BD5DD5">
      <w:pPr>
        <w:pStyle w:val="Odstavecseseznamem"/>
        <w:numPr>
          <w:ilvl w:val="0"/>
          <w:numId w:val="0"/>
        </w:numPr>
        <w:spacing w:line="240" w:lineRule="auto"/>
        <w:contextualSpacing w:val="0"/>
        <w:jc w:val="both"/>
      </w:pPr>
      <w:r>
        <w:t>2. velkých výzkumných infrastruktur,</w:t>
      </w:r>
    </w:p>
    <w:p w14:paraId="7C04EA31" w14:textId="77777777" w:rsidR="00104BDD" w:rsidRDefault="00BD5DD5">
      <w:pPr>
        <w:pStyle w:val="Odstavecseseznamem"/>
        <w:numPr>
          <w:ilvl w:val="0"/>
          <w:numId w:val="0"/>
        </w:numPr>
        <w:spacing w:line="240" w:lineRule="auto"/>
        <w:contextualSpacing w:val="0"/>
        <w:jc w:val="both"/>
      </w:pPr>
      <w:r>
        <w:t>3. výzkumné a inovační specializace,</w:t>
      </w:r>
    </w:p>
    <w:p w14:paraId="639965C4" w14:textId="77777777" w:rsidR="00104BDD" w:rsidRDefault="00BD5DD5">
      <w:pPr>
        <w:pStyle w:val="Odstavecseseznamem"/>
        <w:numPr>
          <w:ilvl w:val="0"/>
          <w:numId w:val="0"/>
        </w:numPr>
        <w:spacing w:line="240" w:lineRule="auto"/>
        <w:contextualSpacing w:val="0"/>
        <w:jc w:val="both"/>
      </w:pPr>
      <w:r>
        <w:t>4. technologického rozvoje,</w:t>
      </w:r>
    </w:p>
    <w:p w14:paraId="0EE1F5BC" w14:textId="77777777" w:rsidR="00104BDD" w:rsidRDefault="00BD5DD5">
      <w:pPr>
        <w:pStyle w:val="Odstavecseseznamem"/>
        <w:numPr>
          <w:ilvl w:val="0"/>
          <w:numId w:val="0"/>
        </w:numPr>
        <w:spacing w:line="240" w:lineRule="auto"/>
        <w:contextualSpacing w:val="0"/>
        <w:jc w:val="both"/>
      </w:pPr>
      <w:r>
        <w:t>5. rozvoje lidských zdrojů a kapacit pro výzkum a inovace a otázek genderu a podmínek pro uplatnění žen ve vědě.</w:t>
      </w:r>
    </w:p>
    <w:p w14:paraId="0D9CE57F" w14:textId="77777777" w:rsidR="00104BDD" w:rsidRDefault="00104BDD">
      <w:pPr>
        <w:pStyle w:val="Odstavecseseznamem"/>
        <w:numPr>
          <w:ilvl w:val="0"/>
          <w:numId w:val="0"/>
        </w:numPr>
        <w:spacing w:line="240" w:lineRule="auto"/>
        <w:contextualSpacing w:val="0"/>
        <w:jc w:val="both"/>
      </w:pPr>
    </w:p>
    <w:p w14:paraId="571CF574" w14:textId="77777777" w:rsidR="00104BDD" w:rsidRDefault="00BD5DD5">
      <w:pPr>
        <w:pStyle w:val="Odstavecseseznamem"/>
        <w:numPr>
          <w:ilvl w:val="0"/>
          <w:numId w:val="0"/>
        </w:numPr>
        <w:spacing w:line="240" w:lineRule="auto"/>
        <w:contextualSpacing w:val="0"/>
        <w:jc w:val="both"/>
      </w:pPr>
      <w:r>
        <w:t xml:space="preserve">Projekt přispěje k systematickému využívání analytických kapacit a na evidenci založených strategických informací při tvorbě a implementaci veřejných politik zaměřených na posilování internacionalizace </w:t>
      </w:r>
      <w:proofErr w:type="spellStart"/>
      <w:r>
        <w:t>VaVaI</w:t>
      </w:r>
      <w:proofErr w:type="spellEnd"/>
      <w:r>
        <w:t>, rozvoj prostředí velkých výzkumných infrastruktur, výzkumné, inovační a technologické specializace ČR a technologického rozvoj, dále rozvoje lidských zdrojů a kapacit pro výzkum a inovace, a otázek genderu a podmínek pro uplatnění žen ve vědě.</w:t>
      </w:r>
    </w:p>
    <w:p w14:paraId="0D014573" w14:textId="77777777" w:rsidR="00104BDD" w:rsidRDefault="00104BDD">
      <w:pPr>
        <w:pStyle w:val="Odstavecseseznamem"/>
        <w:numPr>
          <w:ilvl w:val="0"/>
          <w:numId w:val="0"/>
        </w:numPr>
        <w:spacing w:line="240" w:lineRule="auto"/>
        <w:contextualSpacing w:val="0"/>
        <w:jc w:val="both"/>
      </w:pPr>
    </w:p>
    <w:p w14:paraId="04D20C3F" w14:textId="77777777" w:rsidR="00104BDD" w:rsidRDefault="00BD5DD5">
      <w:pPr>
        <w:pStyle w:val="Odstavecseseznamem"/>
        <w:numPr>
          <w:ilvl w:val="0"/>
          <w:numId w:val="0"/>
        </w:numPr>
        <w:spacing w:line="240" w:lineRule="auto"/>
        <w:contextualSpacing w:val="0"/>
        <w:jc w:val="both"/>
      </w:pPr>
      <w:r>
        <w:t xml:space="preserve">Projekt bezprostředně </w:t>
      </w:r>
      <w:r>
        <w:rPr>
          <w:b/>
        </w:rPr>
        <w:t xml:space="preserve">reaguje na poptávku MŠMT a MPO </w:t>
      </w:r>
      <w:r>
        <w:rPr>
          <w:rFonts w:eastAsia="Times New Roman"/>
          <w:b/>
          <w:lang w:eastAsia="cs-CZ"/>
        </w:rPr>
        <w:t>po</w:t>
      </w:r>
      <w:r>
        <w:rPr>
          <w:b/>
        </w:rPr>
        <w:t xml:space="preserve"> nezávislých odborných podkladech pro strategické řízení systému </w:t>
      </w:r>
      <w:proofErr w:type="spellStart"/>
      <w:r>
        <w:rPr>
          <w:b/>
        </w:rPr>
        <w:t>VaVaI</w:t>
      </w:r>
      <w:proofErr w:type="spellEnd"/>
      <w:r>
        <w:t>. Výsledky ve vyjmenovaných oblastech však mohou být využívány širším spektrem aktérů výzkumné a inovačního systému v ČR.</w:t>
      </w:r>
    </w:p>
    <w:p w14:paraId="092C7A99" w14:textId="77777777" w:rsidR="00104BDD" w:rsidRDefault="00104BDD">
      <w:pPr>
        <w:pStyle w:val="Odstavecseseznamem"/>
        <w:numPr>
          <w:ilvl w:val="0"/>
          <w:numId w:val="0"/>
        </w:numPr>
        <w:spacing w:line="240" w:lineRule="auto"/>
        <w:contextualSpacing w:val="0"/>
        <w:jc w:val="both"/>
      </w:pPr>
    </w:p>
    <w:p w14:paraId="0A67EB6B" w14:textId="25DD041A" w:rsidR="00104BDD" w:rsidRDefault="00BD5DD5">
      <w:pPr>
        <w:pStyle w:val="Odstavecseseznamem"/>
        <w:numPr>
          <w:ilvl w:val="0"/>
          <w:numId w:val="0"/>
        </w:numPr>
        <w:spacing w:line="240" w:lineRule="auto"/>
        <w:contextualSpacing w:val="0"/>
        <w:jc w:val="both"/>
      </w:pPr>
      <w:r>
        <w:t xml:space="preserve">Projekt zajistí kontinuální systematickou podporu MŠMT a MPO při získávání strategických informací pro rozvoj </w:t>
      </w:r>
      <w:proofErr w:type="spellStart"/>
      <w:r>
        <w:t>VaVaI</w:t>
      </w:r>
      <w:proofErr w:type="spellEnd"/>
      <w:r>
        <w:t xml:space="preserve"> v definovaných oblastech. </w:t>
      </w:r>
      <w:r>
        <w:rPr>
          <w:b/>
        </w:rPr>
        <w:t xml:space="preserve">Stěžejním výsledkem projektu je systematické využívání kapacit strategické inteligence pro účely přijímání informovaných strategických rozhodnutí o podpoře mezinárodní spolupráce ve </w:t>
      </w:r>
      <w:proofErr w:type="spellStart"/>
      <w:r>
        <w:rPr>
          <w:b/>
        </w:rPr>
        <w:t>VaVaI</w:t>
      </w:r>
      <w:proofErr w:type="spellEnd"/>
      <w:r>
        <w:rPr>
          <w:b/>
        </w:rPr>
        <w:t xml:space="preserve">, velkých výzkumných infrastruktur, výzkumné a inovační specializace, technologického rozvoje, rozvoje lidských kapacit pro výzkum a inovace, otázek genderu a podmínek pro uplatnění žen ve vědě a souvisejících činností ve </w:t>
      </w:r>
      <w:proofErr w:type="spellStart"/>
      <w:r>
        <w:rPr>
          <w:b/>
        </w:rPr>
        <w:t>VaVaI</w:t>
      </w:r>
      <w:proofErr w:type="spellEnd"/>
      <w:r>
        <w:rPr>
          <w:b/>
        </w:rPr>
        <w:t xml:space="preserve"> v působnosti MŠMT, MPO. </w:t>
      </w:r>
    </w:p>
    <w:p w14:paraId="4FBF2550" w14:textId="77777777" w:rsidR="00104BDD" w:rsidRDefault="00104BDD"/>
    <w:p w14:paraId="730745CD" w14:textId="77777777" w:rsidR="00104BDD" w:rsidRDefault="00BD5DD5" w:rsidP="004663F1">
      <w:pPr>
        <w:spacing w:line="240" w:lineRule="auto"/>
        <w:jc w:val="both"/>
      </w:pPr>
      <w:r>
        <w:lastRenderedPageBreak/>
        <w:t xml:space="preserve">Hlavními uživateli výsledků projektu ve výše definovaných oblastech 1 - 5 budou na jedné straně veřejná správa, které budou poskytovány služby strategická inteligence pro výzkumnou a inovační politiku, a na straně druhé výzkumné organizace a vzdělávací instituce, jimž bude zprostředkována analytická podpora činností v oblasti </w:t>
      </w:r>
      <w:proofErr w:type="spellStart"/>
      <w:r>
        <w:t>VaVaI</w:t>
      </w:r>
      <w:proofErr w:type="spellEnd"/>
      <w:r>
        <w:t>.</w:t>
      </w:r>
    </w:p>
    <w:p w14:paraId="46D33756" w14:textId="77777777" w:rsidR="00104BDD" w:rsidRDefault="00BD5DD5">
      <w:pPr>
        <w:pStyle w:val="Nadpis2"/>
      </w:pPr>
      <w:r>
        <w:t xml:space="preserve"> </w:t>
      </w:r>
      <w:bookmarkStart w:id="8" w:name="_Toc67906049"/>
      <w:r>
        <w:t>Vymezení předmětu podpory</w:t>
      </w:r>
      <w:bookmarkEnd w:id="7"/>
      <w:bookmarkEnd w:id="8"/>
    </w:p>
    <w:p w14:paraId="2FFEC4F8" w14:textId="1E158A58" w:rsidR="00104BDD" w:rsidRDefault="00BD5DD5">
      <w:pPr>
        <w:spacing w:after="0" w:line="240" w:lineRule="auto"/>
        <w:jc w:val="both"/>
      </w:pPr>
      <w:r>
        <w:t xml:space="preserve">Předmětem podpory poskytované na základě překládaného návrhu projektu jsou </w:t>
      </w:r>
      <w:r>
        <w:rPr>
          <w:b/>
        </w:rPr>
        <w:t xml:space="preserve">analytické služby pro strategické rozhodování v oblasti </w:t>
      </w:r>
      <w:proofErr w:type="spellStart"/>
      <w:r>
        <w:rPr>
          <w:b/>
        </w:rPr>
        <w:t>VaVaI</w:t>
      </w:r>
      <w:proofErr w:type="spellEnd"/>
      <w:r>
        <w:rPr>
          <w:b/>
        </w:rPr>
        <w:t xml:space="preserve"> MŠMT, MPO, případně dalších ústředních a jiných správních úřadů odpovědných za </w:t>
      </w:r>
      <w:proofErr w:type="spellStart"/>
      <w:r>
        <w:rPr>
          <w:b/>
        </w:rPr>
        <w:t>VaVaI</w:t>
      </w:r>
      <w:proofErr w:type="spellEnd"/>
      <w:r>
        <w:rPr>
          <w:b/>
        </w:rPr>
        <w:t xml:space="preserve"> v</w:t>
      </w:r>
      <w:r w:rsidR="00FE6CAF">
        <w:rPr>
          <w:b/>
        </w:rPr>
        <w:t> </w:t>
      </w:r>
      <w:r>
        <w:rPr>
          <w:b/>
        </w:rPr>
        <w:t>oblast</w:t>
      </w:r>
      <w:r w:rsidR="00FE6CAF">
        <w:rPr>
          <w:b/>
        </w:rPr>
        <w:t xml:space="preserve">ech </w:t>
      </w:r>
      <w:r w:rsidR="00D62C59">
        <w:t xml:space="preserve">internacionalizace </w:t>
      </w:r>
      <w:proofErr w:type="spellStart"/>
      <w:r w:rsidR="00D62C59">
        <w:t>VaVaI</w:t>
      </w:r>
      <w:proofErr w:type="spellEnd"/>
      <w:r w:rsidR="00D62C59">
        <w:t>, rozvoje velkých výzkumných infrastruktur, rozvoje lidských zdrojů, výzkumné, inovační a technologické specializace ČR, rozvoje lidských zdrojů a kapacit pro výzkum a inovace, otázek genderu a podmínek pro uplatnění žen ve vědě,</w:t>
      </w:r>
      <w:r w:rsidR="0052382D">
        <w:t xml:space="preserve"> </w:t>
      </w:r>
      <w:r w:rsidR="00FE6CAF">
        <w:rPr>
          <w:b/>
        </w:rPr>
        <w:t>uvedených v kapitole 1.2</w:t>
      </w:r>
      <w:r>
        <w:t>. Aktivity projektu sdílených činností jsou koncipovány tak, aby výstupy poskytovaly uživatelům strategické informace o stavu a dynamice vývoje v</w:t>
      </w:r>
      <w:r w:rsidR="00FE6CAF">
        <w:t xml:space="preserve"> definovaných oblastech</w:t>
      </w:r>
      <w:r w:rsidR="002C11E4">
        <w:t xml:space="preserve"> </w:t>
      </w:r>
      <w:r>
        <w:t xml:space="preserve">systému </w:t>
      </w:r>
      <w:proofErr w:type="spellStart"/>
      <w:r>
        <w:t>VaVaI</w:t>
      </w:r>
      <w:proofErr w:type="spellEnd"/>
      <w:r>
        <w:t xml:space="preserve"> v ČR, o nových trendech a potřebách, na které by měl výzkum z hlediska společenské relevance reagovat, jakož i o dopadech realizovaných relevantních politik a opatření. Výstupy projektu tak poskytnou strategickou inteligenci jak realizátorům politiky </w:t>
      </w:r>
      <w:proofErr w:type="spellStart"/>
      <w:r>
        <w:t>VaVaI</w:t>
      </w:r>
      <w:proofErr w:type="spellEnd"/>
      <w:r>
        <w:t>, usilujícím o zvýšení kvality, efektivity a společenské relevance výzkumného systému ČR, tak samotným výzkumným organizacím při realizaci interních strategických systémových změn.</w:t>
      </w:r>
    </w:p>
    <w:p w14:paraId="5BD7390E" w14:textId="77777777" w:rsidR="00104BDD" w:rsidRDefault="00104BDD">
      <w:pPr>
        <w:spacing w:after="0" w:line="240" w:lineRule="auto"/>
        <w:jc w:val="both"/>
      </w:pPr>
    </w:p>
    <w:p w14:paraId="6AB4BB8E" w14:textId="77777777" w:rsidR="00104BDD" w:rsidRDefault="00BD5DD5">
      <w:pPr>
        <w:spacing w:after="0" w:line="240" w:lineRule="auto"/>
        <w:jc w:val="both"/>
      </w:pPr>
      <w:r>
        <w:t xml:space="preserve">Projekt bude financován na základě </w:t>
      </w:r>
      <w:proofErr w:type="spellStart"/>
      <w:r>
        <w:t>ust</w:t>
      </w:r>
      <w:proofErr w:type="spellEnd"/>
      <w:r>
        <w:t>. § 2 odst. 2 písm. e), § 3 odst. 2 písm. e) a § 4 odst. 1 písm. e) zákona č. 130/2002 Sb., o podpoře výzkumu, experimentálního vývoje a inovací z veřejných prostředků a o změně některých souvisejících zákonů (zákon o podpoře výzkumu, experimentálního vývoje a inovací), ve znění pozdějších předpisů.</w:t>
      </w:r>
    </w:p>
    <w:p w14:paraId="328C1EE3" w14:textId="77777777" w:rsidR="00104BDD" w:rsidRDefault="00BD5DD5">
      <w:pPr>
        <w:pStyle w:val="Nadpis2"/>
      </w:pPr>
      <w:bookmarkStart w:id="9" w:name="_Toc40123714"/>
      <w:r>
        <w:t xml:space="preserve"> </w:t>
      </w:r>
      <w:bookmarkStart w:id="10" w:name="_Toc67906050"/>
      <w:r>
        <w:t>Cíle projektu</w:t>
      </w:r>
      <w:bookmarkEnd w:id="9"/>
      <w:bookmarkEnd w:id="10"/>
    </w:p>
    <w:p w14:paraId="4489BE4F" w14:textId="5149792A" w:rsidR="00104BDD" w:rsidRDefault="00BD5DD5">
      <w:pPr>
        <w:spacing w:after="0" w:line="240" w:lineRule="auto"/>
        <w:jc w:val="both"/>
      </w:pPr>
      <w:r>
        <w:t xml:space="preserve">Cílem projektu sdílených činností je </w:t>
      </w:r>
      <w:r>
        <w:rPr>
          <w:b/>
        </w:rPr>
        <w:t xml:space="preserve">poskytovat včasné, objektivní, relevantní a analyticky podložené informace pro strategické rozhodování ve </w:t>
      </w:r>
      <w:proofErr w:type="spellStart"/>
      <w:r>
        <w:rPr>
          <w:b/>
        </w:rPr>
        <w:t>VaVaI</w:t>
      </w:r>
      <w:proofErr w:type="spellEnd"/>
      <w:r w:rsidR="00FE6CAF">
        <w:rPr>
          <w:b/>
        </w:rPr>
        <w:t xml:space="preserve"> v oblastech </w:t>
      </w:r>
      <w:r w:rsidR="0052382D">
        <w:t xml:space="preserve">internacionalizace </w:t>
      </w:r>
      <w:proofErr w:type="spellStart"/>
      <w:r w:rsidR="0052382D">
        <w:t>VaVaI</w:t>
      </w:r>
      <w:proofErr w:type="spellEnd"/>
      <w:r w:rsidR="0052382D">
        <w:t xml:space="preserve">, rozvoje velkých výzkumných infrastruktur, rozvoje lidských zdrojů, výzkumné, inovační a technologické specializace ČR, rozvoje lidských zdrojů a kapacit pro výzkum a inovace, otázek genderu a podmínek pro uplatnění žen ve vědě, </w:t>
      </w:r>
      <w:r w:rsidR="00FE6CAF">
        <w:rPr>
          <w:b/>
        </w:rPr>
        <w:t>uvedených v kapitole 1.2.</w:t>
      </w:r>
    </w:p>
    <w:p w14:paraId="7356C05A" w14:textId="77777777" w:rsidR="00104BDD" w:rsidRDefault="00104BDD">
      <w:pPr>
        <w:spacing w:after="0" w:line="240" w:lineRule="auto"/>
        <w:jc w:val="both"/>
      </w:pPr>
    </w:p>
    <w:p w14:paraId="621E2CDC" w14:textId="77777777" w:rsidR="00104BDD" w:rsidRDefault="00BD5DD5">
      <w:pPr>
        <w:spacing w:after="0" w:line="240" w:lineRule="auto"/>
        <w:jc w:val="both"/>
      </w:pPr>
      <w:r>
        <w:t>Dílčími cíli projektu jsou:</w:t>
      </w:r>
    </w:p>
    <w:p w14:paraId="3AABF0FA" w14:textId="77777777" w:rsidR="00104BDD" w:rsidRDefault="00104BDD">
      <w:pPr>
        <w:spacing w:after="0" w:line="240" w:lineRule="auto"/>
        <w:jc w:val="both"/>
      </w:pPr>
    </w:p>
    <w:p w14:paraId="714886BA" w14:textId="3AA1D78A" w:rsidR="00104BDD" w:rsidRDefault="00BD5DD5">
      <w:pPr>
        <w:numPr>
          <w:ilvl w:val="0"/>
          <w:numId w:val="5"/>
        </w:numPr>
        <w:spacing w:after="0" w:line="240" w:lineRule="auto"/>
        <w:jc w:val="both"/>
      </w:pPr>
      <w:r>
        <w:t xml:space="preserve">podle potřeb MŠMT, MPO, případně dalších ústředních a jiných správních úřadů odpovědných za </w:t>
      </w:r>
      <w:proofErr w:type="spellStart"/>
      <w:r>
        <w:t>VaVaI</w:t>
      </w:r>
      <w:proofErr w:type="spellEnd"/>
      <w:r>
        <w:t xml:space="preserve"> v oblasti jejich působností zpracovávat odborné nezávislé podklady pro strategická rozhodnutí ve </w:t>
      </w:r>
      <w:proofErr w:type="spellStart"/>
      <w:r>
        <w:t>VaVaI</w:t>
      </w:r>
      <w:proofErr w:type="spellEnd"/>
      <w:r>
        <w:t xml:space="preserve"> a při tvorbě a implementaci souvisejících politik</w:t>
      </w:r>
      <w:r w:rsidR="00FE6CAF">
        <w:t xml:space="preserve"> v definovaných oblastech</w:t>
      </w:r>
      <w:r>
        <w:t>;</w:t>
      </w:r>
    </w:p>
    <w:p w14:paraId="790B7C59" w14:textId="77777777" w:rsidR="00104BDD" w:rsidRDefault="00104BDD">
      <w:pPr>
        <w:spacing w:after="0" w:line="240" w:lineRule="auto"/>
        <w:jc w:val="both"/>
      </w:pPr>
    </w:p>
    <w:p w14:paraId="48AE6B3A" w14:textId="77777777" w:rsidR="00104BDD" w:rsidRDefault="00BD5DD5">
      <w:pPr>
        <w:numPr>
          <w:ilvl w:val="0"/>
          <w:numId w:val="5"/>
        </w:numPr>
        <w:spacing w:after="0" w:line="240" w:lineRule="auto"/>
        <w:jc w:val="both"/>
      </w:pPr>
      <w:r>
        <w:t>sledovat a vyhodnocovat technologický vývoj a jeho dynamiku v oblastech klíčových pro specializaci výzkumu a inovací v ČR (ve vazbě na Národní výzkumnou a inovační strategii pro inteligentní specializaci ČR, dále jen „Národní RIS3“);</w:t>
      </w:r>
    </w:p>
    <w:p w14:paraId="66546483" w14:textId="77777777" w:rsidR="00104BDD" w:rsidRDefault="00104BDD">
      <w:pPr>
        <w:pStyle w:val="Odstavecseseznamem"/>
        <w:numPr>
          <w:ilvl w:val="0"/>
          <w:numId w:val="0"/>
        </w:numPr>
        <w:spacing w:line="240" w:lineRule="auto"/>
        <w:ind w:left="709"/>
        <w:jc w:val="both"/>
      </w:pPr>
    </w:p>
    <w:p w14:paraId="4EA0EAA1" w14:textId="3A077DBD" w:rsidR="00104BDD" w:rsidRDefault="00BD5DD5">
      <w:pPr>
        <w:numPr>
          <w:ilvl w:val="0"/>
          <w:numId w:val="5"/>
        </w:numPr>
        <w:spacing w:after="0" w:line="240" w:lineRule="auto"/>
        <w:jc w:val="both"/>
      </w:pPr>
      <w:r>
        <w:t xml:space="preserve">s využitím strategického </w:t>
      </w:r>
      <w:proofErr w:type="spellStart"/>
      <w:r>
        <w:t>foresightu</w:t>
      </w:r>
      <w:proofErr w:type="spellEnd"/>
      <w:r>
        <w:t xml:space="preserve"> vytvořit odborné podklady pro stanovení misí Národní RIS3;</w:t>
      </w:r>
    </w:p>
    <w:p w14:paraId="0E55F1B1" w14:textId="77777777" w:rsidR="00104BDD" w:rsidRDefault="00104BDD">
      <w:pPr>
        <w:pStyle w:val="Odstavecseseznamem"/>
        <w:numPr>
          <w:ilvl w:val="0"/>
          <w:numId w:val="0"/>
        </w:numPr>
        <w:spacing w:line="240" w:lineRule="auto"/>
        <w:ind w:left="397"/>
        <w:jc w:val="both"/>
      </w:pPr>
    </w:p>
    <w:p w14:paraId="5FE44C72" w14:textId="6FEF8230" w:rsidR="00104BDD" w:rsidRDefault="00BD5DD5">
      <w:pPr>
        <w:numPr>
          <w:ilvl w:val="0"/>
          <w:numId w:val="5"/>
        </w:numPr>
        <w:spacing w:after="0" w:line="240" w:lineRule="auto"/>
        <w:jc w:val="both"/>
      </w:pPr>
      <w:r>
        <w:t xml:space="preserve">podílet se na evaluaci strategií a politik v oblasti </w:t>
      </w:r>
      <w:proofErr w:type="spellStart"/>
      <w:r>
        <w:t>VaVaI</w:t>
      </w:r>
      <w:proofErr w:type="spellEnd"/>
      <w:r w:rsidR="00FE7A73">
        <w:t xml:space="preserve"> v oblasti internacionalizace </w:t>
      </w:r>
      <w:proofErr w:type="spellStart"/>
      <w:r w:rsidR="00FE7A73">
        <w:t>VaVaI</w:t>
      </w:r>
      <w:proofErr w:type="spellEnd"/>
      <w:r w:rsidR="00FE7A73">
        <w:t>, rozvoje velkých výzkumných infrastruktur, rozvoje lidských zdrojů, výzkumné, inovační a</w:t>
      </w:r>
      <w:r w:rsidR="004C2382">
        <w:t> </w:t>
      </w:r>
      <w:r w:rsidR="00FE7A73">
        <w:t>technologické specializace ČR, rozvoje lidských zdrojů a kapacit pro výzkum a inovace, otázek genderu a podmínek pro uplatnění žen ve vědě</w:t>
      </w:r>
      <w:r>
        <w:t xml:space="preserve"> (zejména Inovační strategie ČR pro léta 2019 až 2030, Národní politiky </w:t>
      </w:r>
      <w:proofErr w:type="spellStart"/>
      <w:r>
        <w:t>VaVaI</w:t>
      </w:r>
      <w:proofErr w:type="spellEnd"/>
      <w:r>
        <w:t xml:space="preserve"> ČR pro léta 2021+ a Národní RIS3);</w:t>
      </w:r>
    </w:p>
    <w:p w14:paraId="5455A4E1" w14:textId="77777777" w:rsidR="00104BDD" w:rsidRDefault="00104BDD">
      <w:pPr>
        <w:pStyle w:val="Odstavecseseznamem"/>
        <w:numPr>
          <w:ilvl w:val="0"/>
          <w:numId w:val="0"/>
        </w:numPr>
        <w:spacing w:line="240" w:lineRule="auto"/>
        <w:ind w:left="709"/>
        <w:jc w:val="both"/>
      </w:pPr>
    </w:p>
    <w:p w14:paraId="74A3220E" w14:textId="77777777" w:rsidR="00104BDD" w:rsidRDefault="00BD5DD5">
      <w:pPr>
        <w:numPr>
          <w:ilvl w:val="0"/>
          <w:numId w:val="5"/>
        </w:numPr>
        <w:spacing w:after="0" w:line="240" w:lineRule="auto"/>
        <w:jc w:val="both"/>
      </w:pPr>
      <w:r>
        <w:t xml:space="preserve">monitorovat a vyhodnocovat plnění přijatých národních a mezinárodních strategických cílů v oblasti genderové rovnosti ve </w:t>
      </w:r>
      <w:proofErr w:type="spellStart"/>
      <w:r>
        <w:t>VaVaI</w:t>
      </w:r>
      <w:proofErr w:type="spellEnd"/>
      <w:r>
        <w:t xml:space="preserve"> a na základě jejich vyhodnocení předkládat návrhy nových či modifikovaných opatření;</w:t>
      </w:r>
    </w:p>
    <w:p w14:paraId="315E5684" w14:textId="77777777" w:rsidR="00104BDD" w:rsidRDefault="00104BDD">
      <w:pPr>
        <w:pStyle w:val="Odstavecseseznamem"/>
        <w:numPr>
          <w:ilvl w:val="0"/>
          <w:numId w:val="0"/>
        </w:numPr>
        <w:spacing w:line="240" w:lineRule="auto"/>
        <w:ind w:left="709"/>
        <w:jc w:val="both"/>
      </w:pPr>
    </w:p>
    <w:p w14:paraId="0B29E14B" w14:textId="77777777" w:rsidR="00104BDD" w:rsidRDefault="00BD5DD5">
      <w:pPr>
        <w:numPr>
          <w:ilvl w:val="0"/>
          <w:numId w:val="5"/>
        </w:numPr>
        <w:spacing w:after="0" w:line="240" w:lineRule="auto"/>
        <w:jc w:val="both"/>
      </w:pPr>
      <w:r>
        <w:t xml:space="preserve">rozvíjet dosavadní mezinárodní spolupráci s evropskými národními autoritami v oblasti vyhodnocování zaváděných politik </w:t>
      </w:r>
      <w:proofErr w:type="spellStart"/>
      <w:r>
        <w:t>VaVaI</w:t>
      </w:r>
      <w:proofErr w:type="spellEnd"/>
      <w:r>
        <w:t xml:space="preserve"> se zaměřením na politiky genderové rovnosti ve </w:t>
      </w:r>
      <w:proofErr w:type="spellStart"/>
      <w:r>
        <w:t>VaVaI</w:t>
      </w:r>
      <w:proofErr w:type="spellEnd"/>
      <w:r>
        <w:t>, což umožní vyhodnocovat zaváděná opatření a jejich efektivitu a dopad;</w:t>
      </w:r>
    </w:p>
    <w:p w14:paraId="60B4BDD4" w14:textId="77777777" w:rsidR="00104BDD" w:rsidRDefault="00104BDD">
      <w:pPr>
        <w:spacing w:after="0" w:line="240" w:lineRule="auto"/>
        <w:ind w:left="720"/>
        <w:jc w:val="both"/>
      </w:pPr>
    </w:p>
    <w:p w14:paraId="10E36814" w14:textId="327BC12A" w:rsidR="00104BDD" w:rsidRDefault="00BD5DD5">
      <w:pPr>
        <w:numPr>
          <w:ilvl w:val="0"/>
          <w:numId w:val="5"/>
        </w:numPr>
        <w:spacing w:after="0" w:line="240" w:lineRule="auto"/>
        <w:jc w:val="both"/>
      </w:pPr>
      <w:r>
        <w:t xml:space="preserve">vytvořit analytické a informační zázemí pro pravidelné vyhodnocování kvality jak působení, tak přípravy odborníků pro </w:t>
      </w:r>
      <w:proofErr w:type="spellStart"/>
      <w:r>
        <w:t>VaVaI</w:t>
      </w:r>
      <w:proofErr w:type="spellEnd"/>
      <w:r>
        <w:t>, které by posílilo rozhodování decizní sféry a zároveň umožňovalo a podněcovalo reflexi klíčových aktérů v oblasti výzkumných organizací a inovačních podniků, včetně jejich vzájemných vazeb a předávání dobrých zkušeností při rozvoji odborných personálních kapacit;</w:t>
      </w:r>
    </w:p>
    <w:p w14:paraId="7F1C769E" w14:textId="77777777" w:rsidR="00104BDD" w:rsidRDefault="00104BDD">
      <w:pPr>
        <w:spacing w:after="0" w:line="240" w:lineRule="auto"/>
        <w:ind w:left="720"/>
        <w:jc w:val="both"/>
      </w:pPr>
    </w:p>
    <w:p w14:paraId="01FF83D0" w14:textId="77777777" w:rsidR="00104BDD" w:rsidRDefault="00BD5DD5">
      <w:pPr>
        <w:numPr>
          <w:ilvl w:val="0"/>
          <w:numId w:val="5"/>
        </w:numPr>
        <w:spacing w:after="0" w:line="240" w:lineRule="auto"/>
        <w:jc w:val="both"/>
      </w:pPr>
      <w:r>
        <w:t xml:space="preserve">posilovat znalosti a dovednosti výzkumných pracovníků a také managementu výzkumných organizací v oblasti využitelnosti výsledků </w:t>
      </w:r>
      <w:proofErr w:type="spellStart"/>
      <w:r>
        <w:t>VaVaI</w:t>
      </w:r>
      <w:proofErr w:type="spellEnd"/>
      <w:r>
        <w:t xml:space="preserve"> v praxi;</w:t>
      </w:r>
    </w:p>
    <w:p w14:paraId="42707224" w14:textId="77777777" w:rsidR="00104BDD" w:rsidRDefault="00104BDD">
      <w:pPr>
        <w:spacing w:after="0" w:line="240" w:lineRule="auto"/>
        <w:ind w:left="720"/>
        <w:jc w:val="both"/>
      </w:pPr>
    </w:p>
    <w:p w14:paraId="0DE7D6D7" w14:textId="68F6F9D6" w:rsidR="0052382D" w:rsidRDefault="00BD5DD5" w:rsidP="00195401">
      <w:pPr>
        <w:numPr>
          <w:ilvl w:val="0"/>
          <w:numId w:val="5"/>
        </w:numPr>
        <w:spacing w:after="0" w:line="240" w:lineRule="auto"/>
        <w:jc w:val="both"/>
      </w:pPr>
      <w:r>
        <w:t>podpořit svobodný pohyb výzkumných pracovníků, znalostí a technologií prostřednictvím pojmenování zjištěných (a to zejména administrativních) překážek a umožnit tak nastavení opatření maximálně zjednodušujících mezinárodní mobilitu;</w:t>
      </w:r>
    </w:p>
    <w:p w14:paraId="45AF2980" w14:textId="77777777" w:rsidR="0052382D" w:rsidRDefault="0052382D" w:rsidP="0052382D">
      <w:pPr>
        <w:spacing w:after="0" w:line="240" w:lineRule="auto"/>
        <w:ind w:left="720"/>
        <w:jc w:val="both"/>
      </w:pPr>
    </w:p>
    <w:p w14:paraId="18C7878D" w14:textId="77777777" w:rsidR="00104BDD" w:rsidRDefault="00BD5DD5" w:rsidP="0052382D">
      <w:pPr>
        <w:numPr>
          <w:ilvl w:val="0"/>
          <w:numId w:val="5"/>
        </w:numPr>
        <w:spacing w:after="0" w:line="240" w:lineRule="auto"/>
        <w:jc w:val="both"/>
      </w:pPr>
      <w:r>
        <w:t>podle potřeb orgánů veřejné správy provádět hodnocení dopadů vývoje a zavádění nových technologií na společnost (</w:t>
      </w:r>
      <w:r w:rsidRPr="0052382D">
        <w:t xml:space="preserve">technology </w:t>
      </w:r>
      <w:proofErr w:type="spellStart"/>
      <w:r w:rsidRPr="0052382D">
        <w:t>assessment</w:t>
      </w:r>
      <w:proofErr w:type="spellEnd"/>
      <w:r>
        <w:t xml:space="preserve">) a posilovat přístup odpovědného </w:t>
      </w:r>
      <w:proofErr w:type="spellStart"/>
      <w:r>
        <w:t>VaVaI</w:t>
      </w:r>
      <w:proofErr w:type="spellEnd"/>
      <w:r>
        <w:t xml:space="preserve"> a komunikaci mezi výzkumnou sférou, veřejnou správou a širokou veřejností;</w:t>
      </w:r>
    </w:p>
    <w:p w14:paraId="00DB32A6" w14:textId="77777777" w:rsidR="00104BDD" w:rsidRDefault="00104BDD">
      <w:pPr>
        <w:spacing w:after="0" w:line="240" w:lineRule="auto"/>
        <w:ind w:left="720"/>
        <w:jc w:val="both"/>
      </w:pPr>
    </w:p>
    <w:p w14:paraId="7432BE3A" w14:textId="3FB645D4" w:rsidR="00104BDD" w:rsidRDefault="00BD5DD5">
      <w:pPr>
        <w:numPr>
          <w:ilvl w:val="0"/>
          <w:numId w:val="5"/>
        </w:numPr>
        <w:spacing w:after="100" w:afterAutospacing="1" w:line="240" w:lineRule="auto"/>
        <w:jc w:val="both"/>
      </w:pPr>
      <w:r>
        <w:t xml:space="preserve">rozvíjet mezinárodní spolupráci se zahraničními pracovišti působícími jakožto odborné zázemí pro politiku </w:t>
      </w:r>
      <w:proofErr w:type="spellStart"/>
      <w:r>
        <w:t>VaVaI</w:t>
      </w:r>
      <w:proofErr w:type="spellEnd"/>
      <w:r>
        <w:t xml:space="preserve"> </w:t>
      </w:r>
      <w:r w:rsidR="00A51E22">
        <w:t xml:space="preserve">v oblasti mezinárodní spolupráce ve </w:t>
      </w:r>
      <w:proofErr w:type="spellStart"/>
      <w:r w:rsidR="00A51E22">
        <w:t>VaVaI</w:t>
      </w:r>
      <w:proofErr w:type="spellEnd"/>
      <w:r w:rsidR="00A51E22">
        <w:t xml:space="preserve"> </w:t>
      </w:r>
      <w:r>
        <w:t>a zastupovat ČR v mezinárodních sítích, resp. v platformách odborných pracovišť.</w:t>
      </w:r>
    </w:p>
    <w:p w14:paraId="59B8B28D" w14:textId="77777777" w:rsidR="00104BDD" w:rsidRDefault="00BD5DD5">
      <w:pPr>
        <w:pStyle w:val="Nadpis2"/>
      </w:pPr>
      <w:bookmarkStart w:id="11" w:name="_Toc40123716"/>
      <w:r>
        <w:t xml:space="preserve"> </w:t>
      </w:r>
      <w:bookmarkStart w:id="12" w:name="_Toc67906051"/>
      <w:r>
        <w:t>Zdůvodnění potřebnosti projektu</w:t>
      </w:r>
      <w:bookmarkEnd w:id="11"/>
      <w:bookmarkEnd w:id="12"/>
    </w:p>
    <w:p w14:paraId="1DA6BDCA" w14:textId="2483476E" w:rsidR="00104BDD" w:rsidRDefault="00BD5DD5">
      <w:pPr>
        <w:spacing w:after="0" w:line="240" w:lineRule="auto"/>
        <w:jc w:val="both"/>
      </w:pPr>
      <w:r>
        <w:t xml:space="preserve">Projekt sdílených činností svým zaměřením bezprostředně reaguje na </w:t>
      </w:r>
      <w:r>
        <w:rPr>
          <w:b/>
        </w:rPr>
        <w:t>požadavek MŠMT a</w:t>
      </w:r>
      <w:r w:rsidR="004C2382">
        <w:rPr>
          <w:b/>
        </w:rPr>
        <w:t> </w:t>
      </w:r>
      <w:r>
        <w:rPr>
          <w:b/>
        </w:rPr>
        <w:t xml:space="preserve">MPO na existenci odborných podkladů pro strategické rozhodování </w:t>
      </w:r>
      <w:r w:rsidR="00434225">
        <w:rPr>
          <w:b/>
        </w:rPr>
        <w:t xml:space="preserve">v oblastech </w:t>
      </w:r>
      <w:r w:rsidR="00585265">
        <w:t xml:space="preserve">internacionalizace </w:t>
      </w:r>
      <w:proofErr w:type="spellStart"/>
      <w:r w:rsidR="00585265">
        <w:t>VaVaI</w:t>
      </w:r>
      <w:proofErr w:type="spellEnd"/>
      <w:r w:rsidR="00585265">
        <w:t>, rozvoje velkých výzkumných infrastruktur, rozvoje lidských zdrojů, výzkumné, inovační a technologické specializace ČR, rozvoje lidských zdrojů a kapacit pro výzkum a inovace, otázek genderu a podmínek pro uplatnění žen ve vědě,</w:t>
      </w:r>
      <w:r w:rsidR="0052382D">
        <w:t xml:space="preserve"> </w:t>
      </w:r>
      <w:r w:rsidR="00434225">
        <w:rPr>
          <w:b/>
        </w:rPr>
        <w:t>uvedených v kapitole 1.2.</w:t>
      </w:r>
      <w:r>
        <w:t xml:space="preserve">  </w:t>
      </w:r>
    </w:p>
    <w:p w14:paraId="20CBBDCF" w14:textId="77777777" w:rsidR="00104BDD" w:rsidRDefault="00104BDD">
      <w:pPr>
        <w:spacing w:after="0" w:line="240" w:lineRule="auto"/>
        <w:jc w:val="both"/>
      </w:pPr>
    </w:p>
    <w:p w14:paraId="433D765B" w14:textId="39B06D47" w:rsidR="00104BDD" w:rsidRDefault="00BD5DD5">
      <w:pPr>
        <w:spacing w:after="0" w:line="240" w:lineRule="auto"/>
        <w:jc w:val="both"/>
      </w:pPr>
      <w:r>
        <w:t xml:space="preserve">Projekt sdílených činností reaguje na tuto potřebu </w:t>
      </w:r>
      <w:r>
        <w:rPr>
          <w:b/>
        </w:rPr>
        <w:t>MŠMT a MPO</w:t>
      </w:r>
      <w:r>
        <w:t xml:space="preserve"> </w:t>
      </w:r>
      <w:r>
        <w:rPr>
          <w:b/>
        </w:rPr>
        <w:t xml:space="preserve">zaměřením na systematické využívání existujících kapacit strategické inteligence k přijímání informovaných strategických rozhodnutí o financování </w:t>
      </w:r>
      <w:proofErr w:type="spellStart"/>
      <w:r>
        <w:rPr>
          <w:b/>
        </w:rPr>
        <w:t>VaVaI</w:t>
      </w:r>
      <w:proofErr w:type="spellEnd"/>
      <w:r>
        <w:rPr>
          <w:b/>
        </w:rPr>
        <w:t xml:space="preserve"> z veřejných prostředků ČR</w:t>
      </w:r>
      <w:r w:rsidR="00434225">
        <w:rPr>
          <w:b/>
        </w:rPr>
        <w:t xml:space="preserve"> v působnosti MŠMT a MPO.</w:t>
      </w:r>
      <w:r>
        <w:t xml:space="preserve"> Jak zdůrazňují strategie v oblasti </w:t>
      </w:r>
      <w:proofErr w:type="spellStart"/>
      <w:r>
        <w:t>VaVaI</w:t>
      </w:r>
      <w:proofErr w:type="spellEnd"/>
      <w:r>
        <w:t xml:space="preserve"> (zejména Inovační strategie ČR pro léta 2019 až 2030, Národní politika </w:t>
      </w:r>
      <w:proofErr w:type="spellStart"/>
      <w:r>
        <w:t>VaVaI</w:t>
      </w:r>
      <w:proofErr w:type="spellEnd"/>
      <w:r>
        <w:t xml:space="preserve"> ČR pro léta 2021+ či Národní RIS3 – podrobněji viz dále), příprava odborných podkladů musí být v souladu s principy </w:t>
      </w:r>
      <w:r>
        <w:rPr>
          <w:i/>
        </w:rPr>
        <w:t>evidence-</w:t>
      </w:r>
      <w:proofErr w:type="spellStart"/>
      <w:r>
        <w:rPr>
          <w:i/>
        </w:rPr>
        <w:t>based</w:t>
      </w:r>
      <w:proofErr w:type="spellEnd"/>
      <w:r>
        <w:rPr>
          <w:i/>
        </w:rPr>
        <w:t xml:space="preserve"> </w:t>
      </w:r>
      <w:proofErr w:type="spellStart"/>
      <w:r>
        <w:rPr>
          <w:i/>
        </w:rPr>
        <w:t>policy</w:t>
      </w:r>
      <w:proofErr w:type="spellEnd"/>
      <w:r>
        <w:t xml:space="preserve">, tzn., založena na širokém spektru kvalitních dat a informací. Rostoucí dostupnost různého druhu strukturovaných a zejména nestrukturovaných dat nicméně klade zvýšené nároky na systematické a koncepční získávání těchto dat, jejich kontinuální zpracovávání, evaluaci, jakož i následnou interpretaci. </w:t>
      </w:r>
    </w:p>
    <w:p w14:paraId="27F257D4" w14:textId="77777777" w:rsidR="00104BDD" w:rsidRDefault="00104BDD">
      <w:pPr>
        <w:spacing w:after="0" w:line="240" w:lineRule="auto"/>
        <w:jc w:val="both"/>
      </w:pPr>
    </w:p>
    <w:p w14:paraId="17202088" w14:textId="1AA24558" w:rsidR="00104BDD" w:rsidRDefault="00BD5DD5">
      <w:pPr>
        <w:spacing w:after="0" w:line="240" w:lineRule="auto"/>
        <w:jc w:val="both"/>
      </w:pPr>
      <w:r>
        <w:t xml:space="preserve">Projekt reaguje i na </w:t>
      </w:r>
      <w:r>
        <w:rPr>
          <w:b/>
        </w:rPr>
        <w:t>rostoucí potřebu monitorovat a vyhodnocovat efektivitu zaváděných opatření v klíčových politických prioritách</w:t>
      </w:r>
      <w:r w:rsidR="00434225">
        <w:t xml:space="preserve"> </w:t>
      </w:r>
      <w:r>
        <w:t>t</w:t>
      </w:r>
      <w:r w:rsidR="00434225">
        <w:t>ěchto</w:t>
      </w:r>
      <w:r>
        <w:t xml:space="preserve"> oblast</w:t>
      </w:r>
      <w:r w:rsidR="00434225">
        <w:t>í a</w:t>
      </w:r>
      <w:r w:rsidR="000146FF">
        <w:t xml:space="preserve"> </w:t>
      </w:r>
      <w:r>
        <w:t>rozvíjet spolupráci s</w:t>
      </w:r>
      <w:r w:rsidR="00766727">
        <w:t> </w:t>
      </w:r>
      <w:r>
        <w:t>členskými státy EU, i Evropskou komisí,</w:t>
      </w:r>
      <w:r w:rsidR="00BC27E5" w:rsidRPr="00BC27E5">
        <w:rPr>
          <w:i/>
        </w:rPr>
        <w:t xml:space="preserve"> </w:t>
      </w:r>
      <w:r w:rsidR="00BC27E5" w:rsidRPr="00BC27E5">
        <w:t xml:space="preserve">jakož i nečlenskými státy, s nimiž váže ČR strategické </w:t>
      </w:r>
      <w:r w:rsidR="00BC27E5" w:rsidRPr="00BC27E5">
        <w:lastRenderedPageBreak/>
        <w:t xml:space="preserve">partnerství v oblasti </w:t>
      </w:r>
      <w:proofErr w:type="spellStart"/>
      <w:r w:rsidR="00BC27E5" w:rsidRPr="00BC27E5">
        <w:t>V</w:t>
      </w:r>
      <w:r w:rsidR="003F3449">
        <w:t>a</w:t>
      </w:r>
      <w:r w:rsidR="00BC27E5" w:rsidRPr="00BC27E5">
        <w:t>V</w:t>
      </w:r>
      <w:r w:rsidR="003F3449">
        <w:t>a</w:t>
      </w:r>
      <w:r w:rsidR="00BC27E5" w:rsidRPr="00BC27E5">
        <w:t>I</w:t>
      </w:r>
      <w:proofErr w:type="spellEnd"/>
      <w:r>
        <w:t xml:space="preserve"> s cílem přispět k analýze zavádění klíčových priorit Evropského výzkumného prostoru.</w:t>
      </w:r>
    </w:p>
    <w:p w14:paraId="468CC3F1" w14:textId="77777777" w:rsidR="00104BDD" w:rsidRDefault="00104BDD">
      <w:pPr>
        <w:spacing w:after="0" w:line="240" w:lineRule="auto"/>
        <w:jc w:val="both"/>
      </w:pPr>
    </w:p>
    <w:p w14:paraId="2145D9C8" w14:textId="656CEE21" w:rsidR="00104BDD" w:rsidRDefault="00BD5DD5">
      <w:pPr>
        <w:spacing w:after="0" w:line="240" w:lineRule="auto"/>
        <w:jc w:val="both"/>
      </w:pPr>
      <w:r>
        <w:t xml:space="preserve">V neposlední řadě projekt reaguje rovněž na </w:t>
      </w:r>
      <w:r>
        <w:rPr>
          <w:b/>
        </w:rPr>
        <w:t xml:space="preserve">potřebu pravidelného monitoringu a rozvoje strukturované analytické báze jednotlivých </w:t>
      </w:r>
      <w:r w:rsidR="00434225">
        <w:rPr>
          <w:b/>
        </w:rPr>
        <w:t xml:space="preserve">definovaných </w:t>
      </w:r>
      <w:r>
        <w:rPr>
          <w:b/>
        </w:rPr>
        <w:t xml:space="preserve">oblastí </w:t>
      </w:r>
      <w:proofErr w:type="spellStart"/>
      <w:r>
        <w:rPr>
          <w:b/>
        </w:rPr>
        <w:t>VaVaI</w:t>
      </w:r>
      <w:proofErr w:type="spellEnd"/>
      <w:r>
        <w:t xml:space="preserve">, sloužící pro </w:t>
      </w:r>
      <w:proofErr w:type="spellStart"/>
      <w:r>
        <w:rPr>
          <w:i/>
        </w:rPr>
        <w:t>benchmarking</w:t>
      </w:r>
      <w:proofErr w:type="spellEnd"/>
      <w:r>
        <w:t xml:space="preserve">, resp. k ověření kvality činností a strategického rozvoje vysokých škol a dalších výzkumných organizací ČR. </w:t>
      </w:r>
    </w:p>
    <w:p w14:paraId="0FC09058" w14:textId="77777777" w:rsidR="00104BDD" w:rsidRDefault="00BD5DD5">
      <w:pPr>
        <w:pStyle w:val="Nadpis2"/>
      </w:pPr>
      <w:bookmarkStart w:id="13" w:name="_Toc40123725"/>
      <w:r>
        <w:t xml:space="preserve"> </w:t>
      </w:r>
      <w:bookmarkStart w:id="14" w:name="_Toc67906052"/>
      <w:r>
        <w:t>Návaznost projektu na strategické a koncepční dokumenty</w:t>
      </w:r>
      <w:bookmarkEnd w:id="13"/>
      <w:bookmarkEnd w:id="14"/>
    </w:p>
    <w:p w14:paraId="696E4CC5" w14:textId="77777777" w:rsidR="00104BDD" w:rsidRDefault="00BD5DD5">
      <w:pPr>
        <w:spacing w:after="0" w:line="240" w:lineRule="auto"/>
        <w:jc w:val="both"/>
      </w:pPr>
      <w:r>
        <w:t xml:space="preserve">Projekt sdílených činností bude implementován </w:t>
      </w:r>
      <w:r>
        <w:rPr>
          <w:b/>
        </w:rPr>
        <w:t>v souladu se strategickými a koncepčními dokumenty vlády ČR stanovujícími politické směřování, co do rozvoje agendy výzkumu, vývoje a inovací v ČR</w:t>
      </w:r>
      <w:r>
        <w:t xml:space="preserve">. Primárně se jedná o Inovační strategii ČR pro léta 2019 až 2030, která byla schválena usnesením vlády ČR ze dne 4. února 2019 č. 104, jako zastřešující dokument stanovující priority pro rozvoj národní ekonomiky ČR v nadcházejícím desetiletí tak, aby se ČR postupně zařadila mezi nejvyspělejší ekonomiky světa. Projekt sdílených činností bude dále realizován v souladu s Národní politikou </w:t>
      </w:r>
      <w:proofErr w:type="spellStart"/>
      <w:r>
        <w:t>VaVaI</w:t>
      </w:r>
      <w:proofErr w:type="spellEnd"/>
      <w:r>
        <w:t xml:space="preserve"> ČR pro léta 2021+, která byla schválena usnesením vlády ČR ze dne 20. července 2020 č. 759 a podrobněji, resp. na vyšší úrovni detailu rozpracovává cíle a opatření Inovační strategie ČR pro léta 2019 až 2030, co do agendy </w:t>
      </w:r>
      <w:proofErr w:type="spellStart"/>
      <w:r>
        <w:t>VaVaI</w:t>
      </w:r>
      <w:proofErr w:type="spellEnd"/>
      <w:r>
        <w:t>.</w:t>
      </w:r>
    </w:p>
    <w:p w14:paraId="47840260" w14:textId="77777777" w:rsidR="00104BDD" w:rsidRDefault="00104BDD">
      <w:pPr>
        <w:spacing w:after="0" w:line="240" w:lineRule="auto"/>
        <w:jc w:val="both"/>
      </w:pPr>
    </w:p>
    <w:p w14:paraId="2E5BEA6D" w14:textId="77777777" w:rsidR="00104BDD" w:rsidRDefault="00BD5DD5">
      <w:pPr>
        <w:spacing w:after="0" w:line="240" w:lineRule="auto"/>
        <w:jc w:val="both"/>
      </w:pPr>
      <w:r>
        <w:t xml:space="preserve">Projekt sdílených činností sleduje i cíle evropských strategií a programů, a to zejména strategie </w:t>
      </w:r>
      <w:r>
        <w:rPr>
          <w:i/>
        </w:rPr>
        <w:t>Digital Single Market</w:t>
      </w:r>
      <w:r>
        <w:t xml:space="preserve"> a nově koncipovaného programu </w:t>
      </w:r>
      <w:r>
        <w:rPr>
          <w:i/>
        </w:rPr>
        <w:t xml:space="preserve">Digital </w:t>
      </w:r>
      <w:proofErr w:type="spellStart"/>
      <w:r>
        <w:rPr>
          <w:i/>
        </w:rPr>
        <w:t>Europe</w:t>
      </w:r>
      <w:proofErr w:type="spellEnd"/>
      <w:r>
        <w:t xml:space="preserve"> připravovaného na období let 2021–2027. Při strukturaci aktivit bude projekt brát ohled i na požadavky trajektorie rozvoje </w:t>
      </w:r>
      <w:proofErr w:type="spellStart"/>
      <w:r>
        <w:t>VaVaI</w:t>
      </w:r>
      <w:proofErr w:type="spellEnd"/>
      <w:r>
        <w:t xml:space="preserve"> v ČR směrem k naplňování evropských priorit a na vytváření a vyhodnocování podmínek pro úspěšné začlenění ČR do evropských dotačních programů.</w:t>
      </w:r>
    </w:p>
    <w:p w14:paraId="173D315D" w14:textId="77777777" w:rsidR="00104BDD" w:rsidRDefault="00104BDD">
      <w:pPr>
        <w:spacing w:after="0" w:line="240" w:lineRule="auto"/>
        <w:jc w:val="both"/>
      </w:pPr>
    </w:p>
    <w:p w14:paraId="219B877E" w14:textId="77777777" w:rsidR="00104BDD" w:rsidRDefault="00BD5DD5">
      <w:pPr>
        <w:spacing w:after="0" w:line="240" w:lineRule="auto"/>
        <w:jc w:val="both"/>
      </w:pPr>
      <w:r>
        <w:t>V oblasti genderové rovnosti jsou klíčovými dokumenty závěry Rady ze dne 1. prosince 2015 k podpoře genderové rovnosti v Evropském výzkumném prostoru a Unie rovnosti: Evropská strategie genderové rovnosti 2020–2025 přijatá v březnu 2020, dále připravovaná Strategie rovnosti žen a mužů ČR pro léta 2021+ a další relevantní dokumenty připravované v roce 2020 (Sdělení Evropské komise k budoucnosti Evropského výzkumného prostoru a Závěry Rady k budoucnosti Evropského výzkumného prostoru.)</w:t>
      </w:r>
    </w:p>
    <w:p w14:paraId="66A9A3EB" w14:textId="77777777" w:rsidR="00104BDD" w:rsidRDefault="00104BDD">
      <w:pPr>
        <w:spacing w:after="0" w:line="240" w:lineRule="auto"/>
        <w:jc w:val="both"/>
      </w:pPr>
    </w:p>
    <w:p w14:paraId="15026296" w14:textId="0F48B09C" w:rsidR="00104BDD" w:rsidRDefault="00BD5DD5">
      <w:pPr>
        <w:spacing w:after="240" w:line="240" w:lineRule="auto"/>
        <w:jc w:val="both"/>
      </w:pPr>
      <w:r>
        <w:t xml:space="preserve">Projekt sdílených činností má svým zaměřením i potenciál přispět k naplňování připravované Hospodářské strategie ČR a Národního plánu obnovy ČR v oblasti </w:t>
      </w:r>
      <w:proofErr w:type="spellStart"/>
      <w:proofErr w:type="gramStart"/>
      <w:r>
        <w:t>VaVaI</w:t>
      </w:r>
      <w:proofErr w:type="spellEnd"/>
      <w:proofErr w:type="gramEnd"/>
      <w:r>
        <w:t xml:space="preserve"> </w:t>
      </w:r>
      <w:r w:rsidR="00DE51F6">
        <w:t xml:space="preserve">a tak doplňovat </w:t>
      </w:r>
      <w:r>
        <w:t>odborn</w:t>
      </w:r>
      <w:r w:rsidR="00DE51F6">
        <w:t>é</w:t>
      </w:r>
      <w:r>
        <w:t xml:space="preserve"> podklady zpracovávan</w:t>
      </w:r>
      <w:r w:rsidR="00DE51F6">
        <w:t>é</w:t>
      </w:r>
      <w:r>
        <w:t xml:space="preserve"> v gesci RVVI.</w:t>
      </w:r>
    </w:p>
    <w:p w14:paraId="178CE3C5" w14:textId="77777777" w:rsidR="00104BDD" w:rsidRDefault="00BD5DD5">
      <w:pPr>
        <w:pStyle w:val="Nadpis3"/>
        <w:spacing w:before="0" w:after="0" w:line="240" w:lineRule="auto"/>
      </w:pPr>
      <w:bookmarkStart w:id="15" w:name="_Toc40123726"/>
      <w:bookmarkStart w:id="16" w:name="_Toc67906053"/>
      <w:r>
        <w:t>Inovační strategie ČR pro léta 2019 až 2030</w:t>
      </w:r>
      <w:bookmarkEnd w:id="15"/>
      <w:bookmarkEnd w:id="16"/>
    </w:p>
    <w:p w14:paraId="130AB6CA" w14:textId="2D7AAB83" w:rsidR="00104BDD" w:rsidRDefault="00BD5DD5">
      <w:pPr>
        <w:spacing w:before="240" w:after="0" w:line="240" w:lineRule="auto"/>
        <w:jc w:val="both"/>
      </w:pPr>
      <w:r>
        <w:t xml:space="preserve">V návaznosti na cíle Inovační strategie ČR pro léta 2019 až 2030 projekt přispěje především k naplnění cílů v pilíři </w:t>
      </w:r>
      <w:r>
        <w:rPr>
          <w:b/>
        </w:rPr>
        <w:t>„</w:t>
      </w:r>
      <w:proofErr w:type="spellStart"/>
      <w:r>
        <w:rPr>
          <w:b/>
          <w:i/>
        </w:rPr>
        <w:t>The</w:t>
      </w:r>
      <w:proofErr w:type="spellEnd"/>
      <w:r>
        <w:rPr>
          <w:b/>
          <w:i/>
        </w:rPr>
        <w:t xml:space="preserve"> Country </w:t>
      </w:r>
      <w:proofErr w:type="spellStart"/>
      <w:r>
        <w:rPr>
          <w:b/>
          <w:i/>
        </w:rPr>
        <w:t>for</w:t>
      </w:r>
      <w:proofErr w:type="spellEnd"/>
      <w:r>
        <w:rPr>
          <w:b/>
          <w:i/>
        </w:rPr>
        <w:t xml:space="preserve"> Excellence: Inovační a výzkumná centra</w:t>
      </w:r>
      <w:r>
        <w:rPr>
          <w:b/>
        </w:rPr>
        <w:t>“</w:t>
      </w:r>
      <w:r>
        <w:t xml:space="preserve">. </w:t>
      </w:r>
    </w:p>
    <w:p w14:paraId="1D131C08" w14:textId="77777777" w:rsidR="00104BDD" w:rsidRDefault="00104BDD">
      <w:pPr>
        <w:spacing w:after="0" w:line="240" w:lineRule="auto"/>
        <w:jc w:val="both"/>
      </w:pPr>
    </w:p>
    <w:p w14:paraId="5C4E2BE3" w14:textId="77777777" w:rsidR="00104BDD" w:rsidRDefault="00BD5DD5">
      <w:pPr>
        <w:spacing w:after="0" w:line="240" w:lineRule="auto"/>
        <w:jc w:val="both"/>
      </w:pPr>
      <w:r>
        <w:t>V oblasti rozvoje inovačních a výzkumných center poskytne poté projekt sdílených činností odbornou podporu při realizaci Národní RIS3, která je určující strategií pro „</w:t>
      </w:r>
      <w:r>
        <w:rPr>
          <w:i/>
        </w:rPr>
        <w:t>zaměření podpory na klíčové trendy, kde se protíná excelence výzkumu, potenciál českých firem a budoucí technologické trendy = Strategie chytré specializace (umělá inteligence, kosmické technologie, laserové technologie, nanotechnologie, biotechnologie, energeticky úsporná řešení, chemie a chemické technologie, klinická medicína a biomedicína ad.).</w:t>
      </w:r>
      <w:r>
        <w:t>“</w:t>
      </w:r>
    </w:p>
    <w:p w14:paraId="3DF6943B" w14:textId="77777777" w:rsidR="00104BDD" w:rsidRDefault="00104BDD">
      <w:pPr>
        <w:spacing w:after="0" w:line="240" w:lineRule="auto"/>
        <w:jc w:val="both"/>
      </w:pPr>
    </w:p>
    <w:p w14:paraId="37A1836F" w14:textId="77777777" w:rsidR="00104BDD" w:rsidRDefault="00BD5DD5">
      <w:pPr>
        <w:spacing w:line="240" w:lineRule="auto"/>
        <w:jc w:val="both"/>
      </w:pPr>
      <w:r>
        <w:t xml:space="preserve">Projekt sdílených činností rovněž bezprostředně přispěje k činnosti </w:t>
      </w:r>
      <w:r>
        <w:rPr>
          <w:b/>
        </w:rPr>
        <w:t>Národního analytického týmu</w:t>
      </w:r>
      <w:r>
        <w:t>, který je významnou složkou Systému řízení a koordinace Inovační strategie ČR pro léta 2019 až 2030.</w:t>
      </w:r>
    </w:p>
    <w:p w14:paraId="4A3C17A9" w14:textId="77777777" w:rsidR="00104BDD" w:rsidRDefault="00BD5DD5">
      <w:pPr>
        <w:pStyle w:val="Nadpis3"/>
        <w:spacing w:before="240" w:after="240" w:line="240" w:lineRule="auto"/>
        <w:jc w:val="both"/>
      </w:pPr>
      <w:bookmarkStart w:id="17" w:name="_Toc40123727"/>
      <w:bookmarkStart w:id="18" w:name="_Toc67906054"/>
      <w:r>
        <w:lastRenderedPageBreak/>
        <w:t>Národní politika výzkumu, vývoje a inovací ČR pro léta 2021+</w:t>
      </w:r>
      <w:bookmarkEnd w:id="17"/>
      <w:bookmarkEnd w:id="18"/>
    </w:p>
    <w:p w14:paraId="7E647C2B" w14:textId="77777777" w:rsidR="00104BDD" w:rsidRDefault="00BD5DD5">
      <w:pPr>
        <w:spacing w:after="0" w:line="240" w:lineRule="auto"/>
        <w:jc w:val="both"/>
      </w:pPr>
      <w:r>
        <w:t xml:space="preserve">V souladu se zaměřením Národní politiky </w:t>
      </w:r>
      <w:proofErr w:type="spellStart"/>
      <w:r>
        <w:t>VaVaI</w:t>
      </w:r>
      <w:proofErr w:type="spellEnd"/>
      <w:r>
        <w:t xml:space="preserve"> ČR pro léta 2021+ projekt přispěje spolu s odbornými podklady zpracovávanými v gesci RVVI k naplnění </w:t>
      </w:r>
      <w:r>
        <w:rPr>
          <w:b/>
        </w:rPr>
        <w:t>cíle 1</w:t>
      </w:r>
      <w:r>
        <w:t xml:space="preserve"> „</w:t>
      </w:r>
      <w:r>
        <w:rPr>
          <w:i/>
        </w:rPr>
        <w:t>Nastavit strategicky řízený a efektivně financovaný systém výzkumu, vývoje a inovací v ČR</w:t>
      </w:r>
      <w:r>
        <w:t xml:space="preserve">“. Konkrétně poté projekt sdílených činností bezprostředně naplňuje </w:t>
      </w:r>
      <w:r>
        <w:rPr>
          <w:b/>
        </w:rPr>
        <w:t>podcíl 1.3</w:t>
      </w:r>
      <w:r>
        <w:t xml:space="preserve"> „</w:t>
      </w:r>
      <w:r>
        <w:rPr>
          <w:i/>
        </w:rPr>
        <w:t xml:space="preserve">Zajistit strategické řízení systému </w:t>
      </w:r>
      <w:proofErr w:type="spellStart"/>
      <w:r>
        <w:rPr>
          <w:i/>
        </w:rPr>
        <w:t>VaVaI</w:t>
      </w:r>
      <w:proofErr w:type="spellEnd"/>
      <w:r>
        <w:rPr>
          <w:i/>
        </w:rPr>
        <w:t xml:space="preserve"> na základě doložitelných faktů (tzv. evidence-</w:t>
      </w:r>
      <w:proofErr w:type="spellStart"/>
      <w:r>
        <w:rPr>
          <w:i/>
        </w:rPr>
        <w:t>based</w:t>
      </w:r>
      <w:proofErr w:type="spellEnd"/>
      <w:r>
        <w:rPr>
          <w:i/>
        </w:rPr>
        <w:t xml:space="preserve"> </w:t>
      </w:r>
      <w:proofErr w:type="spellStart"/>
      <w:r>
        <w:rPr>
          <w:i/>
        </w:rPr>
        <w:t>policy</w:t>
      </w:r>
      <w:proofErr w:type="spellEnd"/>
      <w:r>
        <w:t xml:space="preserve">)“. V tomto ohledu projekt realizuje </w:t>
      </w:r>
      <w:r>
        <w:rPr>
          <w:b/>
        </w:rPr>
        <w:t>opatření 2</w:t>
      </w:r>
      <w:r>
        <w:t xml:space="preserve"> „</w:t>
      </w:r>
      <w:r>
        <w:rPr>
          <w:i/>
        </w:rPr>
        <w:t xml:space="preserve">Dlouhodobé strategické analyticky podložené financování systému </w:t>
      </w:r>
      <w:proofErr w:type="spellStart"/>
      <w:r>
        <w:rPr>
          <w:i/>
        </w:rPr>
        <w:t>VaVaI</w:t>
      </w:r>
      <w:proofErr w:type="spellEnd"/>
      <w:r>
        <w:t xml:space="preserve">“, kde zabezpečuje přípravu nezávislých odborných podkladů pro politiku </w:t>
      </w:r>
      <w:proofErr w:type="spellStart"/>
      <w:r>
        <w:t>VaVaI</w:t>
      </w:r>
      <w:proofErr w:type="spellEnd"/>
      <w:r>
        <w:t xml:space="preserve"> v oblasti internacionalizace </w:t>
      </w:r>
      <w:proofErr w:type="spellStart"/>
      <w:r>
        <w:t>VaVaI</w:t>
      </w:r>
      <w:proofErr w:type="spellEnd"/>
      <w:r>
        <w:t xml:space="preserve">, rozvoje velkých výzkumných infrastruktur, rozvoje lidských zdrojů, výzkumné, inovační a technologické specializace ČR, rozvoje lidských zdrojů a kapacit pro výzkum a inovace, otázek genderu a podmínek pro uplatnění žen ve vědě. </w:t>
      </w:r>
    </w:p>
    <w:p w14:paraId="6FFC6C4A" w14:textId="77777777" w:rsidR="00104BDD" w:rsidRDefault="00104BDD">
      <w:pPr>
        <w:spacing w:after="0" w:line="240" w:lineRule="auto"/>
        <w:jc w:val="both"/>
      </w:pPr>
    </w:p>
    <w:p w14:paraId="41D337A9" w14:textId="77777777" w:rsidR="00104BDD" w:rsidRDefault="00BD5DD5">
      <w:pPr>
        <w:spacing w:after="0" w:line="240" w:lineRule="auto"/>
        <w:jc w:val="both"/>
      </w:pPr>
      <w:r>
        <w:t xml:space="preserve">Nadto aktivity projektu přispějí k naplnění </w:t>
      </w:r>
      <w:r>
        <w:rPr>
          <w:b/>
        </w:rPr>
        <w:t>opatření 5</w:t>
      </w:r>
      <w:r>
        <w:t xml:space="preserve"> „</w:t>
      </w:r>
      <w:r>
        <w:rPr>
          <w:i/>
        </w:rPr>
        <w:t>Vytvoření vzájemně komplementárního schématu financování výzkumných organizací s velkými výzkumnými infrastrukturami</w:t>
      </w:r>
      <w:r>
        <w:t>“, a to konkrétně analýzou socioekonomických přínosů a dopadů velkých výzkumných infrastruktur v ČR v návaznosti na Národní RIS3.</w:t>
      </w:r>
    </w:p>
    <w:p w14:paraId="5F0B3412" w14:textId="77777777" w:rsidR="00104BDD" w:rsidRDefault="00104BDD">
      <w:pPr>
        <w:spacing w:after="0" w:line="240" w:lineRule="auto"/>
        <w:jc w:val="both"/>
      </w:pPr>
    </w:p>
    <w:p w14:paraId="4BD98309" w14:textId="77777777" w:rsidR="00104BDD" w:rsidRDefault="00BD5DD5">
      <w:pPr>
        <w:spacing w:after="0" w:line="240" w:lineRule="auto"/>
        <w:jc w:val="both"/>
      </w:pPr>
      <w:r>
        <w:t xml:space="preserve">Další oblastí Národní politiky </w:t>
      </w:r>
      <w:proofErr w:type="spellStart"/>
      <w:r>
        <w:t>VaVaI</w:t>
      </w:r>
      <w:proofErr w:type="spellEnd"/>
      <w:r>
        <w:t xml:space="preserve"> ČR pro léta 2021+, kterou projekt sdílených činností svými aktivitami přímo podpoří, je </w:t>
      </w:r>
      <w:r>
        <w:rPr>
          <w:b/>
        </w:rPr>
        <w:t>opatření 12</w:t>
      </w:r>
      <w:r>
        <w:t xml:space="preserve"> „</w:t>
      </w:r>
      <w:r>
        <w:rPr>
          <w:i/>
        </w:rPr>
        <w:t>Vytváření podmínek pro kombinaci výzkumné práce a rodičovství a pro uplatnění žen po mateřské dovolené</w:t>
      </w:r>
      <w:r>
        <w:t xml:space="preserve">“. Aktivity projektu se zde zaměří na přípravu odborných podkladů k zavádění relevantních nástrojů a opatření k využití potenciálu žen ve </w:t>
      </w:r>
      <w:proofErr w:type="spellStart"/>
      <w:r>
        <w:t>VaVaI</w:t>
      </w:r>
      <w:proofErr w:type="spellEnd"/>
      <w:r>
        <w:t>.</w:t>
      </w:r>
    </w:p>
    <w:p w14:paraId="7284CAB5" w14:textId="77777777" w:rsidR="00104BDD" w:rsidRDefault="00104BDD">
      <w:pPr>
        <w:spacing w:after="0" w:line="240" w:lineRule="auto"/>
        <w:jc w:val="both"/>
      </w:pPr>
    </w:p>
    <w:p w14:paraId="6B6164CF" w14:textId="77777777" w:rsidR="00104BDD" w:rsidRDefault="00BD5DD5">
      <w:pPr>
        <w:spacing w:line="240" w:lineRule="auto"/>
        <w:jc w:val="both"/>
      </w:pPr>
      <w:r>
        <w:t>Navrhované aktivity projektu dále podpoří taktéž realizaci Národní RIS3 (</w:t>
      </w:r>
      <w:r>
        <w:rPr>
          <w:b/>
        </w:rPr>
        <w:t>opatření 21</w:t>
      </w:r>
      <w:r>
        <w:t xml:space="preserve">), jež je postavena na principech </w:t>
      </w:r>
      <w:r>
        <w:rPr>
          <w:i/>
        </w:rPr>
        <w:t>evidence-</w:t>
      </w:r>
      <w:proofErr w:type="spellStart"/>
      <w:r>
        <w:rPr>
          <w:i/>
        </w:rPr>
        <w:t>based</w:t>
      </w:r>
      <w:proofErr w:type="spellEnd"/>
      <w:r>
        <w:rPr>
          <w:i/>
        </w:rPr>
        <w:t xml:space="preserve"> </w:t>
      </w:r>
      <w:proofErr w:type="spellStart"/>
      <w:r>
        <w:rPr>
          <w:i/>
        </w:rPr>
        <w:t>policy</w:t>
      </w:r>
      <w:proofErr w:type="spellEnd"/>
      <w:r>
        <w:t xml:space="preserve"> a kde odborné analytické podklady a průběžné evaluace realizované v rámci projektu sdílených činností budou nedílnou součástí realizační struktury Národní RIS3.  </w:t>
      </w:r>
    </w:p>
    <w:p w14:paraId="12653823" w14:textId="77777777" w:rsidR="00104BDD" w:rsidRDefault="00BD5DD5">
      <w:pPr>
        <w:pStyle w:val="Nadpis2"/>
      </w:pPr>
      <w:bookmarkStart w:id="19" w:name="_Toc40123736"/>
      <w:r>
        <w:t xml:space="preserve"> </w:t>
      </w:r>
      <w:bookmarkStart w:id="20" w:name="_Toc67906055"/>
      <w:r>
        <w:t>Cílová skupina</w:t>
      </w:r>
      <w:bookmarkEnd w:id="19"/>
      <w:r>
        <w:t xml:space="preserve"> projektu</w:t>
      </w:r>
      <w:bookmarkEnd w:id="20"/>
    </w:p>
    <w:p w14:paraId="50274F96" w14:textId="71E3202E" w:rsidR="00104BDD" w:rsidRDefault="00BD5DD5">
      <w:pPr>
        <w:spacing w:after="0" w:line="240" w:lineRule="auto"/>
        <w:jc w:val="both"/>
      </w:pPr>
      <w:r>
        <w:t xml:space="preserve">Hlavními uživateli výsledků projektu budou na jedné straně </w:t>
      </w:r>
      <w:r>
        <w:rPr>
          <w:b/>
        </w:rPr>
        <w:t>veřejná správa</w:t>
      </w:r>
      <w:r>
        <w:t>, které budou poskytovány služby strategick</w:t>
      </w:r>
      <w:r w:rsidR="00931F97">
        <w:t>é</w:t>
      </w:r>
      <w:r>
        <w:t xml:space="preserve"> inteligence pro výzkumnou a inovační politiku, a na straně druhé </w:t>
      </w:r>
      <w:r>
        <w:rPr>
          <w:b/>
        </w:rPr>
        <w:t>výzkumné organizace a vzdělávací instituce</w:t>
      </w:r>
      <w:r>
        <w:t xml:space="preserve">, jimž bude zprostředkována analytická podpora činností </w:t>
      </w:r>
      <w:r w:rsidR="00931F97">
        <w:rPr>
          <w:b/>
        </w:rPr>
        <w:t xml:space="preserve">v oblastech </w:t>
      </w:r>
      <w:r w:rsidR="008500FB">
        <w:t xml:space="preserve">internacionalizace </w:t>
      </w:r>
      <w:proofErr w:type="spellStart"/>
      <w:r w:rsidR="008500FB">
        <w:t>VaVaI</w:t>
      </w:r>
      <w:proofErr w:type="spellEnd"/>
      <w:r w:rsidR="008500FB">
        <w:t>, rozvoje velkých výzkumných infrastruktur, rozvoje lidských zdrojů, výzkumné, inovační a technologické specializace ČR, rozvoje lidských zdrojů a kapacit pro výzkum a inovace, otázek genderu a podmínek pro uplatnění žen ve vědě</w:t>
      </w:r>
      <w:r w:rsidR="00273EC1">
        <w:t>,</w:t>
      </w:r>
      <w:r w:rsidR="0052382D">
        <w:t xml:space="preserve"> </w:t>
      </w:r>
      <w:r w:rsidR="00931F97">
        <w:rPr>
          <w:b/>
        </w:rPr>
        <w:t>uvedených v kapitole 1.2.</w:t>
      </w:r>
    </w:p>
    <w:p w14:paraId="0F25022A" w14:textId="171035CF" w:rsidR="00104BDD" w:rsidRDefault="00BD5DD5">
      <w:pPr>
        <w:spacing w:before="240" w:after="240" w:line="240" w:lineRule="auto"/>
        <w:jc w:val="both"/>
        <w:rPr>
          <w:b/>
        </w:rPr>
      </w:pPr>
      <w:r>
        <w:rPr>
          <w:b/>
        </w:rPr>
        <w:t>Veřejná správa</w:t>
      </w:r>
      <w:r w:rsidR="0052382D">
        <w:rPr>
          <w:b/>
        </w:rPr>
        <w:t xml:space="preserve"> </w:t>
      </w:r>
    </w:p>
    <w:p w14:paraId="19D0C27A" w14:textId="22108ED2" w:rsidR="00104BDD" w:rsidRDefault="00BD5DD5">
      <w:pPr>
        <w:spacing w:after="0" w:line="240" w:lineRule="auto"/>
        <w:jc w:val="both"/>
      </w:pPr>
      <w:r>
        <w:t xml:space="preserve">Klíčovými uživateli výsledků projektu budou MŠMT, MPO a případně další orgány veřejné správy, které v rámci své agendy usilují o rozvoj výzkumného a inovačního ekosystému ČR směrem k jeho větší efektivitě, výkonnosti a konkurenceschopnosti. Konkrétně se jedná především o naplňování Inovační strategie ČR pro léta 2019 až 2030, Národní politiky </w:t>
      </w:r>
      <w:proofErr w:type="spellStart"/>
      <w:r>
        <w:t>VaVaI</w:t>
      </w:r>
      <w:proofErr w:type="spellEnd"/>
      <w:r>
        <w:t xml:space="preserve"> ČR pro léta 2021+ a Národní RIS3.</w:t>
      </w:r>
    </w:p>
    <w:p w14:paraId="78C18527" w14:textId="77777777" w:rsidR="00104BDD" w:rsidRDefault="00BD5DD5">
      <w:pPr>
        <w:spacing w:before="240" w:after="240" w:line="240" w:lineRule="auto"/>
        <w:jc w:val="both"/>
        <w:rPr>
          <w:b/>
        </w:rPr>
      </w:pPr>
      <w:r>
        <w:rPr>
          <w:b/>
        </w:rPr>
        <w:t>Výzkumné organizace</w:t>
      </w:r>
    </w:p>
    <w:p w14:paraId="331E2A45" w14:textId="6F23925A" w:rsidR="00104BDD" w:rsidRDefault="00BD5DD5">
      <w:pPr>
        <w:spacing w:after="0" w:line="240" w:lineRule="auto"/>
        <w:jc w:val="both"/>
      </w:pPr>
      <w:r>
        <w:t xml:space="preserve">Výzkumným organizacím budou výsledky projektu sloužit prostřednictvím zpřístupnění informací o stavu a mezinárodních trendech ve výzkumu a výzkumné politice uživatelsky přívětivou formou (dynamické vizualizace dat). Projekt bude výzkumným institucím poskytovat analytické podklady pro interní hodnocení, mezinárodní </w:t>
      </w:r>
      <w:proofErr w:type="spellStart"/>
      <w:r>
        <w:rPr>
          <w:i/>
        </w:rPr>
        <w:t>benchmarking</w:t>
      </w:r>
      <w:proofErr w:type="spellEnd"/>
      <w:r>
        <w:t xml:space="preserve"> a zefektivnění interních procesů.</w:t>
      </w:r>
    </w:p>
    <w:p w14:paraId="274871B5" w14:textId="77777777" w:rsidR="00104BDD" w:rsidRDefault="00BD5DD5">
      <w:pPr>
        <w:spacing w:before="240" w:after="240" w:line="240" w:lineRule="auto"/>
        <w:jc w:val="both"/>
        <w:rPr>
          <w:b/>
        </w:rPr>
      </w:pPr>
      <w:r>
        <w:rPr>
          <w:b/>
        </w:rPr>
        <w:lastRenderedPageBreak/>
        <w:t>Vzdělávací instituce</w:t>
      </w:r>
    </w:p>
    <w:p w14:paraId="213F0206" w14:textId="77777777" w:rsidR="00104BDD" w:rsidRDefault="00BD5DD5">
      <w:pPr>
        <w:spacing w:line="240" w:lineRule="auto"/>
        <w:jc w:val="both"/>
      </w:pPr>
      <w:r>
        <w:t xml:space="preserve">Vzdělávacím institucím, zejména vysokým školám realizujícím doktorské studijní programy, budou výsledky projektu sloužit jakožto zdroj informací pro koncipování strategických záměrů rozvoje školy v oblasti přípravy špičkových odborníků pro </w:t>
      </w:r>
      <w:proofErr w:type="spellStart"/>
      <w:r>
        <w:t>VaVaI</w:t>
      </w:r>
      <w:proofErr w:type="spellEnd"/>
      <w:r>
        <w:t xml:space="preserve">, i jakožto </w:t>
      </w:r>
      <w:proofErr w:type="spellStart"/>
      <w:r>
        <w:rPr>
          <w:i/>
        </w:rPr>
        <w:t>benchmarking</w:t>
      </w:r>
      <w:proofErr w:type="spellEnd"/>
      <w:r>
        <w:t xml:space="preserve"> pro praktické rozhodování o podmínkách, které by zabezpečily vyšší zájem o studium doktorských studijních programů, jejich kvalitu a studijní úspěšnost.</w:t>
      </w:r>
    </w:p>
    <w:p w14:paraId="093D6EC8" w14:textId="77777777" w:rsidR="00104BDD" w:rsidRDefault="00BD5DD5">
      <w:pPr>
        <w:pStyle w:val="Nadpis2"/>
      </w:pPr>
      <w:r>
        <w:t xml:space="preserve"> </w:t>
      </w:r>
      <w:bookmarkStart w:id="21" w:name="_Toc67906056"/>
      <w:r>
        <w:t>Očekávané přínosy projektu</w:t>
      </w:r>
      <w:bookmarkEnd w:id="21"/>
    </w:p>
    <w:p w14:paraId="14CFB6E4" w14:textId="237B34F2" w:rsidR="00104BDD" w:rsidRDefault="00BD5DD5">
      <w:pPr>
        <w:spacing w:after="0" w:line="240" w:lineRule="auto"/>
        <w:jc w:val="both"/>
      </w:pPr>
      <w:r>
        <w:t xml:space="preserve">Projekt zabezpečí </w:t>
      </w:r>
      <w:r>
        <w:rPr>
          <w:b/>
        </w:rPr>
        <w:t>kontinuální a systematickou podporu MŠMT, MPO a dalším uživatelům pro strategické rozhodování ve výzkumu a inovacích</w:t>
      </w:r>
      <w:r w:rsidR="00732625">
        <w:rPr>
          <w:b/>
        </w:rPr>
        <w:t xml:space="preserve"> v oblastech </w:t>
      </w:r>
      <w:r w:rsidR="002915A8">
        <w:t xml:space="preserve">internacionalizace </w:t>
      </w:r>
      <w:proofErr w:type="spellStart"/>
      <w:r w:rsidR="002915A8">
        <w:t>VaVaI</w:t>
      </w:r>
      <w:proofErr w:type="spellEnd"/>
      <w:r w:rsidR="002915A8">
        <w:t>, rozvoje velkých výzkumných infrastruktur, rozvoje lidských zdrojů, výzkumné, inovační a technologické specializace ČR, rozvoje lidských zdrojů a kapacit pro výzkum a inovace, otázek genderu a podmínek pro uplatnění žen ve vědě,</w:t>
      </w:r>
      <w:r w:rsidR="0052382D">
        <w:t xml:space="preserve"> </w:t>
      </w:r>
      <w:r w:rsidR="00732625">
        <w:rPr>
          <w:b/>
        </w:rPr>
        <w:t>uvedených v kapitole 1.2</w:t>
      </w:r>
      <w:r>
        <w:t>. Konkrétně budou výsledky projektu využívány například při:</w:t>
      </w:r>
    </w:p>
    <w:p w14:paraId="4E1EB241" w14:textId="77777777" w:rsidR="00104BDD" w:rsidRDefault="00104BDD">
      <w:pPr>
        <w:spacing w:after="0" w:line="240" w:lineRule="auto"/>
        <w:ind w:left="360"/>
        <w:jc w:val="both"/>
      </w:pPr>
    </w:p>
    <w:p w14:paraId="0AA9595C" w14:textId="77777777" w:rsidR="00104BDD" w:rsidRDefault="00BD5DD5">
      <w:pPr>
        <w:numPr>
          <w:ilvl w:val="0"/>
          <w:numId w:val="5"/>
        </w:numPr>
        <w:spacing w:after="0" w:line="240" w:lineRule="auto"/>
        <w:jc w:val="both"/>
      </w:pPr>
      <w:r>
        <w:t xml:space="preserve">přípravě a vyhodnocování programových nástrojů na podporu internacionalizace </w:t>
      </w:r>
      <w:proofErr w:type="spellStart"/>
      <w:r>
        <w:t>VaVaI</w:t>
      </w:r>
      <w:proofErr w:type="spellEnd"/>
      <w:r>
        <w:t>;</w:t>
      </w:r>
    </w:p>
    <w:p w14:paraId="1DD5C78F" w14:textId="77777777" w:rsidR="00104BDD" w:rsidRDefault="00104BDD">
      <w:pPr>
        <w:spacing w:after="0" w:line="240" w:lineRule="auto"/>
        <w:jc w:val="both"/>
      </w:pPr>
    </w:p>
    <w:p w14:paraId="2D558813" w14:textId="77777777" w:rsidR="00104BDD" w:rsidRDefault="00BD5DD5">
      <w:pPr>
        <w:numPr>
          <w:ilvl w:val="0"/>
          <w:numId w:val="5"/>
        </w:numPr>
        <w:spacing w:after="0" w:line="240" w:lineRule="auto"/>
        <w:jc w:val="both"/>
      </w:pPr>
      <w:r>
        <w:t>implementaci a vyhodnocování Národní RIS3;</w:t>
      </w:r>
    </w:p>
    <w:p w14:paraId="4552138C" w14:textId="77777777" w:rsidR="00104BDD" w:rsidRDefault="00104BDD">
      <w:pPr>
        <w:spacing w:after="0" w:line="240" w:lineRule="auto"/>
        <w:jc w:val="both"/>
      </w:pPr>
    </w:p>
    <w:p w14:paraId="78C4C91B" w14:textId="6F40A6AE" w:rsidR="00104BDD" w:rsidRDefault="00BD5DD5">
      <w:pPr>
        <w:numPr>
          <w:ilvl w:val="0"/>
          <w:numId w:val="5"/>
        </w:numPr>
        <w:spacing w:after="0" w:line="240" w:lineRule="auto"/>
        <w:jc w:val="both"/>
      </w:pPr>
      <w:r>
        <w:t>zacílení podpory na rozvoj strategických technologických oblastí s vysokým výzkumných a inovačním potenciálem v ČR;</w:t>
      </w:r>
    </w:p>
    <w:p w14:paraId="30641C8D" w14:textId="77777777" w:rsidR="00104BDD" w:rsidRDefault="00104BDD">
      <w:pPr>
        <w:spacing w:after="0" w:line="240" w:lineRule="auto"/>
        <w:jc w:val="both"/>
      </w:pPr>
    </w:p>
    <w:p w14:paraId="0BA81DED" w14:textId="77777777" w:rsidR="00104BDD" w:rsidRDefault="00BD5DD5">
      <w:pPr>
        <w:numPr>
          <w:ilvl w:val="0"/>
          <w:numId w:val="5"/>
        </w:numPr>
        <w:spacing w:after="0" w:line="240" w:lineRule="auto"/>
        <w:jc w:val="both"/>
      </w:pPr>
      <w:r>
        <w:t>strategickém rozhodování o podpoře rozvoje (velkých) výzkumných infrastruktur v ČR;</w:t>
      </w:r>
    </w:p>
    <w:p w14:paraId="4B90B243" w14:textId="77777777" w:rsidR="00104BDD" w:rsidRDefault="00104BDD">
      <w:pPr>
        <w:spacing w:after="0" w:line="240" w:lineRule="auto"/>
        <w:ind w:left="360"/>
        <w:jc w:val="both"/>
      </w:pPr>
    </w:p>
    <w:p w14:paraId="091391C7" w14:textId="77777777" w:rsidR="00104BDD" w:rsidRDefault="00BD5DD5">
      <w:pPr>
        <w:numPr>
          <w:ilvl w:val="0"/>
          <w:numId w:val="5"/>
        </w:numPr>
        <w:spacing w:after="0" w:line="240" w:lineRule="auto"/>
        <w:jc w:val="both"/>
      </w:pPr>
      <w:r>
        <w:t xml:space="preserve">nastavení mechanismů pro synergie mezi evropskými a národními prostředky na podporu </w:t>
      </w:r>
      <w:proofErr w:type="spellStart"/>
      <w:r>
        <w:t>VaVaI</w:t>
      </w:r>
      <w:proofErr w:type="spellEnd"/>
      <w:r>
        <w:t>;</w:t>
      </w:r>
    </w:p>
    <w:p w14:paraId="40DBFC3B" w14:textId="77777777" w:rsidR="00104BDD" w:rsidRDefault="00104BDD">
      <w:pPr>
        <w:spacing w:after="0" w:line="240" w:lineRule="auto"/>
        <w:ind w:left="360"/>
        <w:jc w:val="both"/>
      </w:pPr>
    </w:p>
    <w:p w14:paraId="526845F7" w14:textId="77777777" w:rsidR="00104BDD" w:rsidRDefault="00BD5DD5">
      <w:pPr>
        <w:numPr>
          <w:ilvl w:val="0"/>
          <w:numId w:val="5"/>
        </w:numPr>
        <w:spacing w:after="0" w:line="240" w:lineRule="auto"/>
        <w:jc w:val="both"/>
      </w:pPr>
      <w:r>
        <w:t xml:space="preserve">nastavení organizačních a motivačních mechanismů pro zvýšení kvality přípravy a rozvoje potenciálu mladých odborníků pro kariéru ve </w:t>
      </w:r>
      <w:proofErr w:type="spellStart"/>
      <w:r>
        <w:t>VaVaI</w:t>
      </w:r>
      <w:proofErr w:type="spellEnd"/>
      <w:r>
        <w:t>.</w:t>
      </w:r>
    </w:p>
    <w:p w14:paraId="0550E91B" w14:textId="77777777" w:rsidR="00104BDD" w:rsidRDefault="00BD5DD5">
      <w:pPr>
        <w:pStyle w:val="Nadpis1"/>
        <w:numPr>
          <w:ilvl w:val="0"/>
          <w:numId w:val="2"/>
        </w:numPr>
        <w:spacing w:before="240" w:after="0" w:line="240" w:lineRule="auto"/>
        <w:ind w:left="431" w:hanging="431"/>
        <w:jc w:val="both"/>
      </w:pPr>
      <w:bookmarkStart w:id="22" w:name="_Toc40123737"/>
      <w:bookmarkStart w:id="23" w:name="_Toc67906057"/>
      <w:r>
        <w:t>REALIZACE</w:t>
      </w:r>
      <w:bookmarkEnd w:id="22"/>
      <w:bookmarkEnd w:id="23"/>
    </w:p>
    <w:p w14:paraId="0C0B5228" w14:textId="77777777" w:rsidR="00104BDD" w:rsidRDefault="00BD5DD5">
      <w:pPr>
        <w:pStyle w:val="Nadpis2"/>
      </w:pPr>
      <w:r>
        <w:t xml:space="preserve"> </w:t>
      </w:r>
      <w:bookmarkStart w:id="24" w:name="_Toc67906058"/>
      <w:r>
        <w:t>Popis projektových aktivit</w:t>
      </w:r>
      <w:bookmarkEnd w:id="24"/>
    </w:p>
    <w:p w14:paraId="295B757D" w14:textId="77777777" w:rsidR="00104BDD" w:rsidRDefault="00BD5DD5">
      <w:pPr>
        <w:spacing w:after="0" w:line="240" w:lineRule="auto"/>
        <w:jc w:val="both"/>
      </w:pPr>
      <w:r>
        <w:t xml:space="preserve">Projekt sdílených činností je strukturován do následujících modulů, jež rozvíjejí strategickou inteligenci v konkrétních segmentech politiky </w:t>
      </w:r>
      <w:proofErr w:type="spellStart"/>
      <w:r>
        <w:t>VaVaI</w:t>
      </w:r>
      <w:proofErr w:type="spellEnd"/>
      <w:r>
        <w:t>.</w:t>
      </w:r>
    </w:p>
    <w:p w14:paraId="34B715A7" w14:textId="77777777" w:rsidR="00104BDD" w:rsidRDefault="00104BDD">
      <w:pPr>
        <w:spacing w:after="0" w:line="240" w:lineRule="auto"/>
        <w:jc w:val="both"/>
      </w:pPr>
    </w:p>
    <w:p w14:paraId="6EC667F4" w14:textId="77777777" w:rsidR="00104BDD" w:rsidRDefault="00BD5DD5">
      <w:pPr>
        <w:spacing w:after="0" w:line="240" w:lineRule="auto"/>
        <w:jc w:val="both"/>
      </w:pPr>
      <w:r>
        <w:t>Modul 1 – Výzkumné a inovační systémy</w:t>
      </w:r>
    </w:p>
    <w:p w14:paraId="4C8EF600" w14:textId="77777777" w:rsidR="00104BDD" w:rsidRDefault="00104BDD">
      <w:pPr>
        <w:spacing w:after="0" w:line="240" w:lineRule="auto"/>
        <w:jc w:val="both"/>
      </w:pPr>
    </w:p>
    <w:p w14:paraId="2380294E" w14:textId="77777777" w:rsidR="00104BDD" w:rsidRDefault="00BD5DD5">
      <w:pPr>
        <w:spacing w:after="0" w:line="240" w:lineRule="auto"/>
        <w:jc w:val="both"/>
      </w:pPr>
      <w:r>
        <w:t xml:space="preserve">Modul 2 – </w:t>
      </w:r>
      <w:proofErr w:type="spellStart"/>
      <w:r>
        <w:t>Horizon</w:t>
      </w:r>
      <w:proofErr w:type="spellEnd"/>
      <w:r>
        <w:t xml:space="preserve"> </w:t>
      </w:r>
      <w:proofErr w:type="spellStart"/>
      <w:r>
        <w:t>scanning</w:t>
      </w:r>
      <w:proofErr w:type="spellEnd"/>
      <w:r>
        <w:t xml:space="preserve"> a strategický </w:t>
      </w:r>
      <w:proofErr w:type="spellStart"/>
      <w:r>
        <w:t>foresight</w:t>
      </w:r>
      <w:proofErr w:type="spellEnd"/>
      <w:r>
        <w:t xml:space="preserve"> </w:t>
      </w:r>
    </w:p>
    <w:p w14:paraId="06BD5DDF" w14:textId="77777777" w:rsidR="00104BDD" w:rsidRDefault="00104BDD">
      <w:pPr>
        <w:spacing w:after="0" w:line="240" w:lineRule="auto"/>
        <w:jc w:val="both"/>
      </w:pPr>
    </w:p>
    <w:p w14:paraId="29C6E0E5" w14:textId="77777777" w:rsidR="00104BDD" w:rsidRDefault="00BD5DD5">
      <w:pPr>
        <w:spacing w:after="0" w:line="240" w:lineRule="auto"/>
        <w:jc w:val="both"/>
      </w:pPr>
      <w:r>
        <w:t>Modul 3 – Věda, vzdělávání a trh práce</w:t>
      </w:r>
    </w:p>
    <w:p w14:paraId="4DAE8376" w14:textId="77777777" w:rsidR="00104BDD" w:rsidRDefault="00104BDD">
      <w:pPr>
        <w:spacing w:after="0" w:line="240" w:lineRule="auto"/>
        <w:jc w:val="both"/>
      </w:pPr>
    </w:p>
    <w:p w14:paraId="3AF630A4" w14:textId="77777777" w:rsidR="00104BDD" w:rsidRDefault="00BD5DD5">
      <w:pPr>
        <w:spacing w:after="0" w:line="240" w:lineRule="auto"/>
        <w:jc w:val="both"/>
      </w:pPr>
      <w:r>
        <w:t>Modul 4 – Gender a věda</w:t>
      </w:r>
    </w:p>
    <w:p w14:paraId="11B4D734" w14:textId="77777777" w:rsidR="00104BDD" w:rsidRDefault="00104BDD">
      <w:pPr>
        <w:spacing w:after="0" w:line="240" w:lineRule="auto"/>
        <w:jc w:val="both"/>
      </w:pPr>
    </w:p>
    <w:p w14:paraId="61B08E46" w14:textId="77777777" w:rsidR="00104BDD" w:rsidRDefault="00BD5DD5">
      <w:pPr>
        <w:spacing w:after="0" w:line="240" w:lineRule="auto"/>
        <w:jc w:val="both"/>
      </w:pPr>
      <w:r>
        <w:t>Modul 5 – Věda, technologie a společnost</w:t>
      </w:r>
    </w:p>
    <w:p w14:paraId="4D4F0FF6" w14:textId="77777777" w:rsidR="00104BDD" w:rsidRDefault="00104BDD">
      <w:pPr>
        <w:spacing w:after="0" w:line="240" w:lineRule="auto"/>
        <w:jc w:val="both"/>
      </w:pPr>
    </w:p>
    <w:p w14:paraId="6D2425DC" w14:textId="77777777" w:rsidR="00104BDD" w:rsidRDefault="00BD5DD5">
      <w:pPr>
        <w:spacing w:after="0" w:line="240" w:lineRule="auto"/>
        <w:jc w:val="both"/>
      </w:pPr>
      <w:r>
        <w:t xml:space="preserve">Modul 6 – Odborná komunita pro </w:t>
      </w:r>
      <w:proofErr w:type="spellStart"/>
      <w:r>
        <w:t>VaVaI</w:t>
      </w:r>
      <w:proofErr w:type="spellEnd"/>
    </w:p>
    <w:p w14:paraId="1ECD4C6E" w14:textId="77777777" w:rsidR="00104BDD" w:rsidRDefault="00BD5DD5">
      <w:pPr>
        <w:pStyle w:val="Nadpis2"/>
      </w:pPr>
      <w:r>
        <w:lastRenderedPageBreak/>
        <w:t xml:space="preserve"> </w:t>
      </w:r>
      <w:bookmarkStart w:id="25" w:name="_Toc67906059"/>
      <w:r>
        <w:t>Modul 1 – Výzkumné a inovační systémy</w:t>
      </w:r>
      <w:bookmarkEnd w:id="25"/>
    </w:p>
    <w:p w14:paraId="44F9D3D4" w14:textId="065C35B7" w:rsidR="00104BDD" w:rsidRDefault="00BD5DD5">
      <w:pPr>
        <w:spacing w:line="240" w:lineRule="auto"/>
        <w:jc w:val="both"/>
      </w:pPr>
      <w:r>
        <w:t xml:space="preserve">Kvalitní strategické rozhodování v oblasti výzkumu a inovací vyžaduje mj. širokou informační základnu obsahující důkladné rozbory jednotlivých aspektů systému </w:t>
      </w:r>
      <w:proofErr w:type="spellStart"/>
      <w:r>
        <w:t>VaVaI</w:t>
      </w:r>
      <w:proofErr w:type="spellEnd"/>
      <w:r>
        <w:t>, jakož i komplexní posouzení vazeb uvnitř systému a identifikaci faktorů bránících jeho efektivnímu rozvoji. Předmětem projektu sdílených činností bude zpracování kvalitních analytických studií, strategicko-koncepčních dokumentů, jako i dalších podkladových materiálů pro strategické rozhodování ve výzkumu a inovacích</w:t>
      </w:r>
      <w:r w:rsidR="00273CA3">
        <w:t xml:space="preserve"> </w:t>
      </w:r>
      <w:r w:rsidR="00273CA3">
        <w:rPr>
          <w:b/>
        </w:rPr>
        <w:t xml:space="preserve">v oblastech </w:t>
      </w:r>
      <w:r w:rsidR="00D62C59">
        <w:t xml:space="preserve">internacionalizace </w:t>
      </w:r>
      <w:proofErr w:type="spellStart"/>
      <w:r w:rsidR="00D62C59">
        <w:t>VaVaI</w:t>
      </w:r>
      <w:proofErr w:type="spellEnd"/>
      <w:r w:rsidR="00D62C59">
        <w:t>, rozvoje velkých výzkumných infrastruktur, rozvoje lidských zdrojů, výzkumné, inovační a technologické specializace ČR, rozvoje lidských zdrojů a kapacit pro výzkum a inovace, otázek genderu a</w:t>
      </w:r>
      <w:r w:rsidR="00CF3E0D">
        <w:t> </w:t>
      </w:r>
      <w:r w:rsidR="00D62C59">
        <w:t>podmínek pro uplatnění žen ve vědě,</w:t>
      </w:r>
      <w:r w:rsidR="0052382D">
        <w:t xml:space="preserve"> </w:t>
      </w:r>
      <w:r w:rsidR="00273CA3">
        <w:rPr>
          <w:b/>
        </w:rPr>
        <w:t>uvedených v kapitole 1.2</w:t>
      </w:r>
      <w:r>
        <w:t xml:space="preserve">, které budou odpovídat potřebám MŠMT, MPO, případně dalších ústředních a jiných správních úřadů odpovědných za </w:t>
      </w:r>
      <w:proofErr w:type="spellStart"/>
      <w:r>
        <w:t>VaVaI</w:t>
      </w:r>
      <w:proofErr w:type="spellEnd"/>
      <w:r>
        <w:t xml:space="preserve"> v oblasti jejich působností. Tematicky budou tyto analýzy sloužit k implementaci Inovační strategie ČR pro léta 2019 až 2030, relevantních částí Národní politiky </w:t>
      </w:r>
      <w:proofErr w:type="spellStart"/>
      <w:r>
        <w:t>VaVaI</w:t>
      </w:r>
      <w:proofErr w:type="spellEnd"/>
      <w:r>
        <w:t xml:space="preserve"> ČR pro léta 2021+ v působnosti MŠMT a MPO, Operačních programů implementovaných v oblasti </w:t>
      </w:r>
      <w:proofErr w:type="spellStart"/>
      <w:r>
        <w:t>VaVaI</w:t>
      </w:r>
      <w:proofErr w:type="spellEnd"/>
      <w:r>
        <w:t xml:space="preserve"> a dalších strategií a politik v oblasti </w:t>
      </w:r>
      <w:proofErr w:type="spellStart"/>
      <w:r>
        <w:t>VaVaI</w:t>
      </w:r>
      <w:proofErr w:type="spellEnd"/>
      <w:r>
        <w:t>, a to včetně např. Hospodářské strategie ČR.</w:t>
      </w:r>
    </w:p>
    <w:p w14:paraId="20854B91" w14:textId="7680F9C5" w:rsidR="00104BDD" w:rsidRDefault="00BD5DD5">
      <w:pPr>
        <w:spacing w:line="240" w:lineRule="auto"/>
        <w:jc w:val="both"/>
      </w:pPr>
      <w:r>
        <w:t xml:space="preserve">V rámci této aktivity budou vytvářeny dynamické vizualizace, jež budou umožňovat interaktivní formou a přitažlivým způsobem prezentovat výsledky a závěry vybraných analýz realizovaných v rámci projektu sdílených činností podle potřeb uživatelů. Zároveň budou podle potřeb ostatních modulů projektu a požadavků uživatelů vytvářeny dynamické vizualizace s interaktivním výběrem indikátorů a parametrů. </w:t>
      </w:r>
    </w:p>
    <w:p w14:paraId="34B0CB80" w14:textId="0A6C829A" w:rsidR="00104BDD" w:rsidRDefault="00BD5DD5">
      <w:pPr>
        <w:spacing w:line="240" w:lineRule="auto"/>
        <w:jc w:val="both"/>
      </w:pPr>
      <w:r>
        <w:t>V úzké spolupráci s aktivitami projektu MPO „Systémová podpora implementace a řízení Národní RIS3“ budou aktivity projektu sdílených činností přispívat k integraci datové základny pro implementaci Národní RIS3 a k vytvoření uživatelsky přívětivého rozhraní, jež bude umožňovat bez nutnosti znalosti programovacích nástrojů realizaci vlastních analýz, a to včetně propojení dat z více databází. V rámci této aktivity bude rovněž rozšiřována a</w:t>
      </w:r>
      <w:r w:rsidR="00CF3E0D">
        <w:t> </w:t>
      </w:r>
      <w:r>
        <w:t xml:space="preserve">aktualizována dynamická databáze informací o systémech </w:t>
      </w:r>
      <w:proofErr w:type="spellStart"/>
      <w:r>
        <w:t>VaVaI</w:t>
      </w:r>
      <w:proofErr w:type="spellEnd"/>
      <w:r>
        <w:t xml:space="preserve"> ve vybraných zahraničních zemích využívaná především MŠMT při navazování, resp. při rozvoji mezinárodní spolupráce ČR ve </w:t>
      </w:r>
      <w:proofErr w:type="spellStart"/>
      <w:r>
        <w:t>VaVaI</w:t>
      </w:r>
      <w:proofErr w:type="spellEnd"/>
      <w:r>
        <w:t xml:space="preserve">. </w:t>
      </w:r>
    </w:p>
    <w:p w14:paraId="61EB9300" w14:textId="77777777" w:rsidR="00104BDD" w:rsidRDefault="00BD5DD5">
      <w:pPr>
        <w:pStyle w:val="Nadpis3"/>
        <w:spacing w:before="240" w:after="240" w:line="240" w:lineRule="auto"/>
      </w:pPr>
      <w:bookmarkStart w:id="26" w:name="_Toc67906060"/>
      <w:r>
        <w:t xml:space="preserve">Okruh aktivit 1.2 – Analytická podpora politik na podporu internacionalizace </w:t>
      </w:r>
      <w:proofErr w:type="spellStart"/>
      <w:r>
        <w:t>VaVaI</w:t>
      </w:r>
      <w:proofErr w:type="spellEnd"/>
      <w:r>
        <w:t xml:space="preserve"> v ČR</w:t>
      </w:r>
      <w:bookmarkEnd w:id="26"/>
    </w:p>
    <w:p w14:paraId="25734004" w14:textId="77777777" w:rsidR="00104BDD" w:rsidRDefault="00BD5DD5">
      <w:pPr>
        <w:spacing w:line="240" w:lineRule="auto"/>
        <w:jc w:val="both"/>
      </w:pPr>
      <w:r>
        <w:t xml:space="preserve">Okruh bude zaměřen na poskytování odborné analytické podpory veřejné správě při realizaci politik na podporu mezinárodní spolupráce ve </w:t>
      </w:r>
      <w:proofErr w:type="spellStart"/>
      <w:r>
        <w:t>VaVaI</w:t>
      </w:r>
      <w:proofErr w:type="spellEnd"/>
      <w:r>
        <w:t xml:space="preserve"> a internacionalizace národního systému </w:t>
      </w:r>
      <w:proofErr w:type="spellStart"/>
      <w:r>
        <w:t>VaVaI</w:t>
      </w:r>
      <w:proofErr w:type="spellEnd"/>
      <w:r>
        <w:t xml:space="preserve"> ČR. Snahou bude například komplexně zhodnotit příčiny nízké účasti českých subjektů v rámcových programech EU pro výzkum a inovace, a to jak z hlediska motivačních faktorů (pro podávání projektů), jakožto i kvalitativních faktorů (pro úspěšnost projektů). Dále budou zpracovány cílené tematické analytické podklady podle požadavků MŠMT reagujících na aktuální potřeby řízení politiky mezinárodní spolupráce ve </w:t>
      </w:r>
      <w:proofErr w:type="spellStart"/>
      <w:r>
        <w:t>VaVaI</w:t>
      </w:r>
      <w:proofErr w:type="spellEnd"/>
      <w:r>
        <w:t xml:space="preserve">. Součástí analytické podpory bude i vyhodnocení přínosů podpory mezinárodní spolupráce ve </w:t>
      </w:r>
      <w:proofErr w:type="spellStart"/>
      <w:r>
        <w:t>VaVaI</w:t>
      </w:r>
      <w:proofErr w:type="spellEnd"/>
      <w:r>
        <w:t xml:space="preserve"> a dopadů na prostředí </w:t>
      </w:r>
      <w:proofErr w:type="spellStart"/>
      <w:r>
        <w:t>VaVaI</w:t>
      </w:r>
      <w:proofErr w:type="spellEnd"/>
      <w:r>
        <w:t xml:space="preserve"> v ČR.</w:t>
      </w:r>
    </w:p>
    <w:p w14:paraId="516BAB33" w14:textId="77777777" w:rsidR="00104BDD" w:rsidRDefault="00BD5DD5">
      <w:pPr>
        <w:pStyle w:val="Nadpis3"/>
        <w:spacing w:before="240" w:after="240" w:line="240" w:lineRule="auto"/>
        <w:jc w:val="both"/>
      </w:pPr>
      <w:bookmarkStart w:id="27" w:name="_Toc67906061"/>
      <w:r>
        <w:t>Okruh aktivit 1.3 – Analytická podpora řízení a aktualizace Národní RIS3</w:t>
      </w:r>
      <w:bookmarkEnd w:id="27"/>
    </w:p>
    <w:p w14:paraId="2A93A3E3" w14:textId="7F340CB1" w:rsidR="00104BDD" w:rsidRDefault="00BD5DD5">
      <w:pPr>
        <w:spacing w:after="0" w:line="240" w:lineRule="auto"/>
        <w:jc w:val="both"/>
      </w:pPr>
      <w:r>
        <w:t>V tomto okruhu aktivit bude poskytována odborná analytická podpora k řízení a implementaci Národní RIS3. Aktivity se zaměří na přípravu analytických podkladů pro účely průběžného monitorování a aktualizace Národní RIS3. Součástí bude zpracování odvětvové analýzy výzkumu, vývoje a inovací zaměřené na zpřesňování domén specializace RIS3, analýzy pozice ČR v </w:t>
      </w:r>
      <w:proofErr w:type="spellStart"/>
      <w:r>
        <w:t>Key</w:t>
      </w:r>
      <w:proofErr w:type="spellEnd"/>
      <w:r>
        <w:t xml:space="preserve"> </w:t>
      </w:r>
      <w:proofErr w:type="spellStart"/>
      <w:r>
        <w:t>Enabling</w:t>
      </w:r>
      <w:proofErr w:type="spellEnd"/>
      <w:r>
        <w:t xml:space="preserve"> Technologies a pravidelně aktualizované SWOT analýzy, které umožní včas reagovat na dynamicky se měnící podmínky v prostředí </w:t>
      </w:r>
      <w:proofErr w:type="spellStart"/>
      <w:r>
        <w:t>VaVaI</w:t>
      </w:r>
      <w:proofErr w:type="spellEnd"/>
      <w:r>
        <w:t xml:space="preserve">. Vedle analýz v klíčových oblastech změn Národní RIS3 budou průběžně sledovány, resp. mapovány i relevantní výzkumné a inovační subjekty v ČR zaměřující se na vertikální priority a domény </w:t>
      </w:r>
      <w:r>
        <w:lastRenderedPageBreak/>
        <w:t>výzkumné a inovační specializace ČR.</w:t>
      </w:r>
      <w:r w:rsidR="001F28D0" w:rsidRPr="001F28D0">
        <w:t xml:space="preserve"> </w:t>
      </w:r>
      <w:r w:rsidR="001F28D0" w:rsidRPr="004663F1">
        <w:t>Detailní zaměření těchto analýz bude upřesněno s MPO a se zohledněním výstupů existujících šetření zaměřených na mapování inovačních kapacit v ČR (např. INKA, cílených šetření v regionech či šetřeních podnikatelských svazů).</w:t>
      </w:r>
      <w:r w:rsidRPr="001C5ECE">
        <w:t xml:space="preserve"> Aktivity v tomto okruhu budou koordinovány</w:t>
      </w:r>
      <w:r w:rsidR="00164271" w:rsidRPr="004663F1">
        <w:t xml:space="preserve"> prostřednictvím Výkonného a Řídicího výboru projektu </w:t>
      </w:r>
      <w:r w:rsidRPr="001C5ECE">
        <w:t>s projektem MPO „</w:t>
      </w:r>
      <w:r w:rsidRPr="001C5ECE">
        <w:rPr>
          <w:i/>
        </w:rPr>
        <w:t>Systémová podpora implementace a řízení Národní RIS3</w:t>
      </w:r>
      <w:r w:rsidRPr="001C5ECE">
        <w:t xml:space="preserve">“. </w:t>
      </w:r>
      <w:r>
        <w:t xml:space="preserve">V souladu s tímto projektem bude součástí těchto aktivit rozvoj datových zdrojů pro efektivní řízení Národní RIS3 založený na konsolidaci a propojení dat z řady databází, zejména IS </w:t>
      </w:r>
      <w:proofErr w:type="spellStart"/>
      <w:r>
        <w:t>VaVaI</w:t>
      </w:r>
      <w:proofErr w:type="spellEnd"/>
      <w:r>
        <w:t xml:space="preserve">, patentové databáze Evropského patentového úřadu PATSTAT (včetně doplňujících souborů dat OECD), databáze o účasti v rámcových programech EU E-Corda a databáze publikací Web </w:t>
      </w:r>
      <w:proofErr w:type="spellStart"/>
      <w:r>
        <w:t>of</w:t>
      </w:r>
      <w:proofErr w:type="spellEnd"/>
      <w:r>
        <w:t xml:space="preserve"> Science, data ze šetření o </w:t>
      </w:r>
      <w:proofErr w:type="spellStart"/>
      <w:r>
        <w:t>VaVaI</w:t>
      </w:r>
      <w:proofErr w:type="spellEnd"/>
      <w:r>
        <w:t xml:space="preserve"> prováděná Český statistickým úřadem a</w:t>
      </w:r>
      <w:r w:rsidR="0081088A">
        <w:t> </w:t>
      </w:r>
      <w:r>
        <w:t xml:space="preserve">dalších. </w:t>
      </w:r>
    </w:p>
    <w:p w14:paraId="7D030591" w14:textId="77777777" w:rsidR="00104BDD" w:rsidRDefault="00104BDD">
      <w:pPr>
        <w:spacing w:after="0" w:line="240" w:lineRule="auto"/>
        <w:jc w:val="both"/>
      </w:pPr>
    </w:p>
    <w:p w14:paraId="77F97E2A" w14:textId="0AD7D8B1" w:rsidR="00104BDD" w:rsidRDefault="00BD5DD5" w:rsidP="001F28D0">
      <w:pPr>
        <w:spacing w:after="0" w:line="240" w:lineRule="auto"/>
        <w:jc w:val="both"/>
      </w:pPr>
      <w:r>
        <w:t xml:space="preserve">Součástí aktivity bude dále vytváření sestav specifických datových podkladů o </w:t>
      </w:r>
      <w:proofErr w:type="spellStart"/>
      <w:r>
        <w:t>VaVaI</w:t>
      </w:r>
      <w:proofErr w:type="spellEnd"/>
      <w:r>
        <w:t xml:space="preserve"> v regionech, které budou sloužit regionálním autoritám při zpracovávání analýz pro řízení a implementaci regionálních strategií inteligentní specializace (RIS3). Je neúčelné, aby každý jednotlivý region ČR zpracovával pro účely monitoringu regionálních strategií inteligentní specializace identické analýzy. Tato datová infrastruktura, která bude </w:t>
      </w:r>
      <w:r w:rsidR="001F28D0" w:rsidRPr="004663F1">
        <w:t>ve spolupráci s MPO a</w:t>
      </w:r>
      <w:r w:rsidR="002B1791">
        <w:t> </w:t>
      </w:r>
      <w:r w:rsidR="001F28D0" w:rsidRPr="004663F1">
        <w:t>dalšími partnery projektu Systémová podpora implementace a řízení Národní RIS3</w:t>
      </w:r>
      <w:r w:rsidR="001F28D0" w:rsidRPr="004663F1">
        <w:rPr>
          <w:i/>
        </w:rPr>
        <w:t xml:space="preserve"> </w:t>
      </w:r>
      <w:r>
        <w:t xml:space="preserve">integrována do Portálu pro řízení Národní RIS3 (tzv. „EDP portál“), umožní vytvářet specializované datové sestavy na základě potřeb regionů a porovnávat stav a dynamiku regionálního vývoje </w:t>
      </w:r>
      <w:proofErr w:type="spellStart"/>
      <w:r>
        <w:t>VaVaI</w:t>
      </w:r>
      <w:proofErr w:type="spellEnd"/>
      <w:r>
        <w:t xml:space="preserve"> s dalšími kraji podle indikátorů.</w:t>
      </w:r>
    </w:p>
    <w:p w14:paraId="396A0014" w14:textId="77777777" w:rsidR="00104BDD" w:rsidRDefault="00BD5DD5">
      <w:pPr>
        <w:pStyle w:val="Nadpis3"/>
        <w:spacing w:before="240" w:after="240" w:line="240" w:lineRule="auto"/>
      </w:pPr>
      <w:bookmarkStart w:id="28" w:name="_Toc67906062"/>
      <w:r>
        <w:t>Okruh aktivit 1.4 – Evaluace průběhu, výsledků a přínosů Národní RIS3 a souvisejících strategií</w:t>
      </w:r>
      <w:bookmarkEnd w:id="28"/>
    </w:p>
    <w:p w14:paraId="3291CB9E" w14:textId="419F658F" w:rsidR="00104BDD" w:rsidRPr="002E1DE9" w:rsidRDefault="00BD5DD5" w:rsidP="005B6113">
      <w:pPr>
        <w:pStyle w:val="Odstavecseseznamem"/>
        <w:numPr>
          <w:ilvl w:val="0"/>
          <w:numId w:val="0"/>
        </w:numPr>
        <w:spacing w:before="120" w:line="240" w:lineRule="auto"/>
        <w:jc w:val="both"/>
      </w:pPr>
      <w:r>
        <w:t>Tento okruh aktivit bude metodologicky vycházet z prvního okruhu aktivit tohoto modulu. Cílí na evaluaci končící Národní RIS3 pro léta 2014–2020 a nové Národní RIS3 pro léta 2021+. Pozornost bude také věnována evaluaci souvisejících strategií, zejména Inovační strategie ČR pro léta 2019 až 2030. Evaluace těchto strategií bude realizována v úzké součinnosti s příslušnými orgány státní správy ČR, zejména s MŠMT, MPO a TAČR. Předmětem evaluace končící Národní RIS3 pro léta 2014–2020 bude zhodnocení dosažených výstupů, výsledků a</w:t>
      </w:r>
      <w:r w:rsidR="00FB74F9">
        <w:t> </w:t>
      </w:r>
      <w:r>
        <w:t xml:space="preserve">dopadů. </w:t>
      </w:r>
      <w:r w:rsidR="002E1DE9" w:rsidRPr="002E1DE9">
        <w:t>Evaluace nové Národní RIS3 strategie pro léta 2021+ se zaměří na dílčí evaluace dle potřeb implementace RIS3</w:t>
      </w:r>
      <w:r w:rsidR="002E1DE9">
        <w:rPr>
          <w:i/>
        </w:rPr>
        <w:t xml:space="preserve">. </w:t>
      </w:r>
      <w:r>
        <w:t>V případě Inovační strategie ČR pro léta 2019 až 2030 bude věnována pozornost zejména jejich realizaci, výsledkům a přínosům. Pro evaluaci budou využity poznatky z Modulu 1. Strategie budou evaluovány v širokém kontextu technologických změn identifikovaných v rámci Modulu 2 a společenských změn, které budou detailněji analyzovány v Modulech 3, 4 a 5. Aktivity v tomto okruhu činností projektu budou koordinovány s projektem MPO „</w:t>
      </w:r>
      <w:r w:rsidRPr="002E1DE9">
        <w:rPr>
          <w:i/>
        </w:rPr>
        <w:t>Systémová podpora implementace a řízení Národní RIS3</w:t>
      </w:r>
      <w:r>
        <w:t>“.</w:t>
      </w:r>
    </w:p>
    <w:p w14:paraId="1E3D49C3" w14:textId="77777777" w:rsidR="00104BDD" w:rsidRDefault="00BD5DD5">
      <w:pPr>
        <w:pStyle w:val="Nadpis3"/>
        <w:spacing w:before="240" w:after="240" w:line="240" w:lineRule="auto"/>
      </w:pPr>
      <w:bookmarkStart w:id="29" w:name="_Toc67906063"/>
      <w:r>
        <w:t>Okruh aktivit 1.5 – Analýza socioekonomických přínosů a dopadů velkých výzkumných infrastruktur</w:t>
      </w:r>
      <w:bookmarkEnd w:id="29"/>
    </w:p>
    <w:p w14:paraId="30437DC1" w14:textId="14136E90" w:rsidR="00104BDD" w:rsidRDefault="00BD5DD5">
      <w:pPr>
        <w:spacing w:line="240" w:lineRule="auto"/>
        <w:jc w:val="both"/>
      </w:pPr>
      <w:r>
        <w:t>Na základě referenčního rámce OECD (</w:t>
      </w:r>
      <w:r>
        <w:rPr>
          <w:i/>
        </w:rPr>
        <w:t xml:space="preserve">Reference Framework </w:t>
      </w:r>
      <w:proofErr w:type="spellStart"/>
      <w:r>
        <w:rPr>
          <w:i/>
        </w:rPr>
        <w:t>for</w:t>
      </w:r>
      <w:proofErr w:type="spellEnd"/>
      <w:r>
        <w:rPr>
          <w:i/>
        </w:rPr>
        <w:t xml:space="preserve"> </w:t>
      </w:r>
      <w:proofErr w:type="spellStart"/>
      <w:r>
        <w:rPr>
          <w:i/>
        </w:rPr>
        <w:t>Assessing</w:t>
      </w:r>
      <w:proofErr w:type="spellEnd"/>
      <w:r>
        <w:rPr>
          <w:i/>
        </w:rPr>
        <w:t xml:space="preserve"> </w:t>
      </w:r>
      <w:proofErr w:type="spellStart"/>
      <w:r>
        <w:rPr>
          <w:i/>
        </w:rPr>
        <w:t>the</w:t>
      </w:r>
      <w:proofErr w:type="spellEnd"/>
      <w:r>
        <w:rPr>
          <w:i/>
        </w:rPr>
        <w:t xml:space="preserve"> </w:t>
      </w:r>
      <w:proofErr w:type="spellStart"/>
      <w:r>
        <w:rPr>
          <w:i/>
        </w:rPr>
        <w:t>Scientific</w:t>
      </w:r>
      <w:proofErr w:type="spellEnd"/>
      <w:r>
        <w:rPr>
          <w:i/>
        </w:rPr>
        <w:t xml:space="preserve"> and </w:t>
      </w:r>
      <w:proofErr w:type="spellStart"/>
      <w:r>
        <w:rPr>
          <w:i/>
        </w:rPr>
        <w:t>Socio-economic</w:t>
      </w:r>
      <w:proofErr w:type="spellEnd"/>
      <w:r>
        <w:rPr>
          <w:i/>
        </w:rPr>
        <w:t xml:space="preserve"> </w:t>
      </w:r>
      <w:proofErr w:type="spellStart"/>
      <w:r>
        <w:rPr>
          <w:i/>
        </w:rPr>
        <w:t>Impact</w:t>
      </w:r>
      <w:proofErr w:type="spellEnd"/>
      <w:r>
        <w:rPr>
          <w:i/>
        </w:rPr>
        <w:t xml:space="preserve"> </w:t>
      </w:r>
      <w:proofErr w:type="spellStart"/>
      <w:r>
        <w:rPr>
          <w:i/>
        </w:rPr>
        <w:t>of</w:t>
      </w:r>
      <w:proofErr w:type="spellEnd"/>
      <w:r>
        <w:rPr>
          <w:i/>
        </w:rPr>
        <w:t xml:space="preserve"> </w:t>
      </w:r>
      <w:proofErr w:type="spellStart"/>
      <w:r>
        <w:rPr>
          <w:i/>
        </w:rPr>
        <w:t>Research</w:t>
      </w:r>
      <w:proofErr w:type="spellEnd"/>
      <w:r>
        <w:rPr>
          <w:i/>
        </w:rPr>
        <w:t xml:space="preserve"> </w:t>
      </w:r>
      <w:proofErr w:type="spellStart"/>
      <w:r>
        <w:rPr>
          <w:i/>
        </w:rPr>
        <w:t>Infrastructures</w:t>
      </w:r>
      <w:proofErr w:type="spellEnd"/>
      <w:r>
        <w:t>), metodologických postupů Evropského strategického fóra pro výzkumné infrastruktury (</w:t>
      </w:r>
      <w:r>
        <w:rPr>
          <w:i/>
        </w:rPr>
        <w:t xml:space="preserve">Report </w:t>
      </w:r>
      <w:proofErr w:type="spellStart"/>
      <w:r>
        <w:rPr>
          <w:i/>
        </w:rPr>
        <w:t>of</w:t>
      </w:r>
      <w:proofErr w:type="spellEnd"/>
      <w:r>
        <w:rPr>
          <w:i/>
        </w:rPr>
        <w:t xml:space="preserve"> </w:t>
      </w:r>
      <w:proofErr w:type="spellStart"/>
      <w:r>
        <w:rPr>
          <w:i/>
        </w:rPr>
        <w:t>the</w:t>
      </w:r>
      <w:proofErr w:type="spellEnd"/>
      <w:r>
        <w:rPr>
          <w:i/>
        </w:rPr>
        <w:t xml:space="preserve"> ESFRI </w:t>
      </w:r>
      <w:proofErr w:type="spellStart"/>
      <w:r>
        <w:rPr>
          <w:i/>
        </w:rPr>
        <w:t>Working</w:t>
      </w:r>
      <w:proofErr w:type="spellEnd"/>
      <w:r>
        <w:rPr>
          <w:i/>
        </w:rPr>
        <w:t xml:space="preserve"> Group on Monitoring </w:t>
      </w:r>
      <w:proofErr w:type="spellStart"/>
      <w:r>
        <w:rPr>
          <w:i/>
        </w:rPr>
        <w:t>of</w:t>
      </w:r>
      <w:proofErr w:type="spellEnd"/>
      <w:r>
        <w:rPr>
          <w:i/>
        </w:rPr>
        <w:t xml:space="preserve"> </w:t>
      </w:r>
      <w:proofErr w:type="spellStart"/>
      <w:r>
        <w:rPr>
          <w:i/>
        </w:rPr>
        <w:t>Research</w:t>
      </w:r>
      <w:proofErr w:type="spellEnd"/>
      <w:r>
        <w:rPr>
          <w:i/>
        </w:rPr>
        <w:t xml:space="preserve"> </w:t>
      </w:r>
      <w:proofErr w:type="spellStart"/>
      <w:r>
        <w:rPr>
          <w:i/>
        </w:rPr>
        <w:t>Infrastructures</w:t>
      </w:r>
      <w:proofErr w:type="spellEnd"/>
      <w:r>
        <w:rPr>
          <w:i/>
        </w:rPr>
        <w:t xml:space="preserve"> Performance</w:t>
      </w:r>
      <w:r>
        <w:t>) a dále metodiky mezinárodního peer-</w:t>
      </w:r>
      <w:proofErr w:type="spellStart"/>
      <w:r>
        <w:t>review</w:t>
      </w:r>
      <w:proofErr w:type="spellEnd"/>
      <w:r>
        <w:t xml:space="preserve"> hodnocení velkých výzkumných infrastruktur ČR užívané MŠMT bude v rámci okruhu aktivit zpracována analýza socioekonomických přínosů velkých výzkumných infrastruktur, jež tvoří významnou součást prostředí </w:t>
      </w:r>
      <w:proofErr w:type="spellStart"/>
      <w:r>
        <w:t>VaVaI</w:t>
      </w:r>
      <w:proofErr w:type="spellEnd"/>
      <w:r>
        <w:t xml:space="preserve"> v ČR. Analýza se zaměří na posouzení vědeckých, technologických, ekonomických a společenských dopadů </w:t>
      </w:r>
      <w:r w:rsidR="000F36FF">
        <w:t xml:space="preserve">všech </w:t>
      </w:r>
      <w:r w:rsidR="00811BC7">
        <w:t xml:space="preserve">stávajících a financovaných </w:t>
      </w:r>
      <w:r>
        <w:t>velkých výzkumných infrastruktur provozovaných v ČR.</w:t>
      </w:r>
    </w:p>
    <w:p w14:paraId="283C2CA2" w14:textId="05A4BA89" w:rsidR="00104BDD" w:rsidRDefault="0095172A">
      <w:pPr>
        <w:pStyle w:val="Nadpis2"/>
      </w:pPr>
      <w:r>
        <w:lastRenderedPageBreak/>
        <w:t xml:space="preserve"> </w:t>
      </w:r>
      <w:bookmarkStart w:id="30" w:name="_Toc67906064"/>
      <w:r w:rsidR="00BD5DD5">
        <w:t xml:space="preserve">Modul 2 – </w:t>
      </w:r>
      <w:proofErr w:type="spellStart"/>
      <w:r w:rsidR="00BD5DD5">
        <w:t>Horizon</w:t>
      </w:r>
      <w:proofErr w:type="spellEnd"/>
      <w:r w:rsidR="00BD5DD5">
        <w:t xml:space="preserve"> </w:t>
      </w:r>
      <w:proofErr w:type="spellStart"/>
      <w:r w:rsidR="00BD5DD5">
        <w:t>scanning</w:t>
      </w:r>
      <w:proofErr w:type="spellEnd"/>
      <w:r w:rsidR="00BD5DD5">
        <w:t xml:space="preserve"> a strategický </w:t>
      </w:r>
      <w:proofErr w:type="spellStart"/>
      <w:r w:rsidR="00BD5DD5">
        <w:t>foresight</w:t>
      </w:r>
      <w:bookmarkEnd w:id="30"/>
      <w:proofErr w:type="spellEnd"/>
      <w:r w:rsidR="00BD5DD5">
        <w:t xml:space="preserve"> </w:t>
      </w:r>
    </w:p>
    <w:p w14:paraId="60E71014" w14:textId="4B2D2B35" w:rsidR="00104BDD" w:rsidRDefault="00BD5DD5">
      <w:pPr>
        <w:spacing w:line="240" w:lineRule="auto"/>
        <w:jc w:val="both"/>
      </w:pPr>
      <w:r>
        <w:t xml:space="preserve">Aktivity projektu sdílených činností se zaměří na rozvoj systému pro </w:t>
      </w:r>
      <w:proofErr w:type="spellStart"/>
      <w:r>
        <w:rPr>
          <w:i/>
        </w:rPr>
        <w:t>horizon</w:t>
      </w:r>
      <w:proofErr w:type="spellEnd"/>
      <w:r>
        <w:rPr>
          <w:i/>
        </w:rPr>
        <w:t xml:space="preserve"> </w:t>
      </w:r>
      <w:proofErr w:type="spellStart"/>
      <w:r>
        <w:rPr>
          <w:i/>
        </w:rPr>
        <w:t>scanning</w:t>
      </w:r>
      <w:proofErr w:type="spellEnd"/>
      <w:r>
        <w:t xml:space="preserve"> a uplatnění jeho výsledků ve strategickém rozhodování v oblastech internacionalizace </w:t>
      </w:r>
      <w:proofErr w:type="spellStart"/>
      <w:r>
        <w:t>VaVaI</w:t>
      </w:r>
      <w:proofErr w:type="spellEnd"/>
      <w:r>
        <w:t>, výzkumné a inovační specializace, technologického rozvoje a souvisejících oblastech výzkumné a inovační politiky realizované MŠMT, MPO</w:t>
      </w:r>
      <w:r w:rsidR="004A5E48">
        <w:t>.</w:t>
      </w:r>
      <w:r>
        <w:t xml:space="preserve"> Tento systém bude možné využívat jak obecně pro sledování technologického vývoje, tak i cíleně pro identifikaci nově vznikajících technologií v konkrétních technologických segmentech. V návaznosti na výsledky </w:t>
      </w:r>
      <w:proofErr w:type="spellStart"/>
      <w:r>
        <w:rPr>
          <w:i/>
        </w:rPr>
        <w:t>horizon</w:t>
      </w:r>
      <w:proofErr w:type="spellEnd"/>
      <w:r>
        <w:rPr>
          <w:i/>
        </w:rPr>
        <w:t xml:space="preserve"> </w:t>
      </w:r>
      <w:proofErr w:type="spellStart"/>
      <w:r>
        <w:rPr>
          <w:i/>
        </w:rPr>
        <w:t>scanningu</w:t>
      </w:r>
      <w:proofErr w:type="spellEnd"/>
      <w:r>
        <w:t xml:space="preserve"> budou realizovány i výhledové studie – se zapojením expertů a zaměřené na modelování možných budoucích scénářů dynamických změn, resp. posouzení klíčových faktorů těchto změn. Výstupy budou sloužit jako podklad pro výzkumnou specializaci ČR, zacílení podpory na </w:t>
      </w:r>
      <w:proofErr w:type="spellStart"/>
      <w:r>
        <w:t>VaVaI</w:t>
      </w:r>
      <w:proofErr w:type="spellEnd"/>
      <w:r>
        <w:t xml:space="preserve"> a strategický rozvoj mezinárodní výzkumné a inovační spolupráce.</w:t>
      </w:r>
    </w:p>
    <w:p w14:paraId="1B60BB77" w14:textId="77777777" w:rsidR="00104BDD" w:rsidRDefault="00BD5DD5">
      <w:pPr>
        <w:pStyle w:val="Nadpis3"/>
        <w:spacing w:before="240" w:after="240" w:line="240" w:lineRule="auto"/>
        <w:jc w:val="both"/>
      </w:pPr>
      <w:bookmarkStart w:id="31" w:name="_Toc67906065"/>
      <w:r>
        <w:t xml:space="preserve">Okruh aktivit 2.1 – Technology </w:t>
      </w:r>
      <w:proofErr w:type="spellStart"/>
      <w:r>
        <w:t>scanning</w:t>
      </w:r>
      <w:proofErr w:type="spellEnd"/>
      <w:r>
        <w:t xml:space="preserve"> – identifikace a posuzování nových technologií</w:t>
      </w:r>
      <w:bookmarkEnd w:id="31"/>
    </w:p>
    <w:p w14:paraId="690482CB" w14:textId="74C5BD55" w:rsidR="00104BDD" w:rsidRDefault="00BD5DD5">
      <w:pPr>
        <w:spacing w:line="240" w:lineRule="auto"/>
        <w:jc w:val="both"/>
      </w:pPr>
      <w:r>
        <w:t xml:space="preserve">Aktivity projektu sdílených činností v tomto okruhu se zaměří na sledování vývoje a dynamiky ve vybraných technologických oblastech. Výběr těchto oblastí bude reflektovat strategické cíle politiky </w:t>
      </w:r>
      <w:proofErr w:type="spellStart"/>
      <w:r>
        <w:t>VaVaI</w:t>
      </w:r>
      <w:proofErr w:type="spellEnd"/>
      <w:r>
        <w:t xml:space="preserve"> vymezené v hlavních strategických dokumentech (zejm. </w:t>
      </w:r>
      <w:r w:rsidRPr="002B1791">
        <w:t>Národní RIS3). Ke sledování technologického vývoje bude využíván systémový nástroj TC AV ČR</w:t>
      </w:r>
      <w:r w:rsidR="00072D4D" w:rsidRPr="002B1791">
        <w:t xml:space="preserve"> vkládaný do projektu jako „background</w:t>
      </w:r>
      <w:r w:rsidR="008F2BE8">
        <w:t>“</w:t>
      </w:r>
      <w:r w:rsidRPr="002B1791">
        <w:t xml:space="preserve">, umožňující v rozsáhlých informačních zdrojích identifikovat jak </w:t>
      </w:r>
      <w:r>
        <w:t xml:space="preserve">rozvíjející se technologické trendy, tak i zárodky nově vznikajících technologií. Výstupy budou využitelné pro strategické řízení Národní RIS3, zacílení programů účelové podpory </w:t>
      </w:r>
      <w:proofErr w:type="spellStart"/>
      <w:r>
        <w:t>VaVaI</w:t>
      </w:r>
      <w:proofErr w:type="spellEnd"/>
      <w:r>
        <w:t xml:space="preserve">, cílený rozvoj mezinárodní spolupráce ve </w:t>
      </w:r>
      <w:proofErr w:type="spellStart"/>
      <w:r>
        <w:t>VaVaI</w:t>
      </w:r>
      <w:proofErr w:type="spellEnd"/>
      <w:r>
        <w:t xml:space="preserve"> i dalších nástrojů politiky </w:t>
      </w:r>
      <w:proofErr w:type="spellStart"/>
      <w:r>
        <w:t>VaVaI</w:t>
      </w:r>
      <w:proofErr w:type="spellEnd"/>
      <w:r>
        <w:t xml:space="preserve"> zaměřených na rozvoj perspektivních oblastí technologií. Dále budou výstupy </w:t>
      </w:r>
      <w:r>
        <w:rPr>
          <w:i/>
        </w:rPr>
        <w:t xml:space="preserve">technology </w:t>
      </w:r>
      <w:proofErr w:type="spellStart"/>
      <w:r>
        <w:rPr>
          <w:i/>
        </w:rPr>
        <w:t>scanningu</w:t>
      </w:r>
      <w:proofErr w:type="spellEnd"/>
      <w:r>
        <w:t xml:space="preserve"> využívány i v navazujících aktivitách </w:t>
      </w:r>
      <w:proofErr w:type="spellStart"/>
      <w:r>
        <w:rPr>
          <w:i/>
        </w:rPr>
        <w:t>foresightu</w:t>
      </w:r>
      <w:proofErr w:type="spellEnd"/>
      <w:r>
        <w:t xml:space="preserve"> a během vyhodnocování dopadů nových technologií na společnost (Modul 5).</w:t>
      </w:r>
    </w:p>
    <w:p w14:paraId="6D1A9948" w14:textId="77777777" w:rsidR="00104BDD" w:rsidRDefault="00BD5DD5">
      <w:pPr>
        <w:spacing w:line="240" w:lineRule="auto"/>
        <w:jc w:val="both"/>
      </w:pPr>
      <w:r>
        <w:t>Aktivity a výstupy v tomto okruhu budou dále poskytovat odbornou analytickou podporu pro činnost Rady pro strategické technologie.</w:t>
      </w:r>
    </w:p>
    <w:p w14:paraId="307762CE" w14:textId="77777777" w:rsidR="00104BDD" w:rsidRDefault="00BD5DD5">
      <w:pPr>
        <w:pStyle w:val="Nadpis3"/>
        <w:spacing w:before="240" w:after="240" w:line="240" w:lineRule="auto"/>
        <w:jc w:val="both"/>
      </w:pPr>
      <w:bookmarkStart w:id="32" w:name="_Toc67906066"/>
      <w:r>
        <w:t xml:space="preserve">Okruh aktivit 2.2 – Strategický </w:t>
      </w:r>
      <w:proofErr w:type="spellStart"/>
      <w:r>
        <w:t>foresight</w:t>
      </w:r>
      <w:proofErr w:type="spellEnd"/>
      <w:r>
        <w:t xml:space="preserve"> pro internacionalizaci </w:t>
      </w:r>
      <w:proofErr w:type="spellStart"/>
      <w:r>
        <w:t>VaVaI</w:t>
      </w:r>
      <w:bookmarkEnd w:id="32"/>
      <w:proofErr w:type="spellEnd"/>
    </w:p>
    <w:p w14:paraId="6F165838" w14:textId="77777777" w:rsidR="00104BDD" w:rsidRDefault="00BD5DD5">
      <w:pPr>
        <w:spacing w:line="240" w:lineRule="auto"/>
        <w:jc w:val="both"/>
      </w:pPr>
      <w:r>
        <w:t xml:space="preserve">V tomto okruhu aktivit budou realizovány aktivity směřující k vylepšení a úpravě systému pro </w:t>
      </w:r>
      <w:proofErr w:type="spellStart"/>
      <w:r>
        <w:t>horizon</w:t>
      </w:r>
      <w:proofErr w:type="spellEnd"/>
      <w:r>
        <w:t xml:space="preserve"> </w:t>
      </w:r>
      <w:proofErr w:type="spellStart"/>
      <w:r>
        <w:t>scanning</w:t>
      </w:r>
      <w:proofErr w:type="spellEnd"/>
      <w:r>
        <w:t xml:space="preserve"> se zaměřením na poskytování strategických informací pro rozvoj mezinárodní spolupráce ve </w:t>
      </w:r>
      <w:proofErr w:type="spellStart"/>
      <w:r>
        <w:t>VaVaI</w:t>
      </w:r>
      <w:proofErr w:type="spellEnd"/>
      <w:r>
        <w:t xml:space="preserve">. Existující systém pro </w:t>
      </w:r>
      <w:proofErr w:type="spellStart"/>
      <w:r>
        <w:t>horizon</w:t>
      </w:r>
      <w:proofErr w:type="spellEnd"/>
      <w:r>
        <w:t xml:space="preserve"> </w:t>
      </w:r>
      <w:proofErr w:type="spellStart"/>
      <w:r>
        <w:t>scanning</w:t>
      </w:r>
      <w:proofErr w:type="spellEnd"/>
      <w:r>
        <w:t xml:space="preserve"> bude rozšířen o specifické datové zdroje a upraveny výpočetní algoritmy. Upravený systém pro </w:t>
      </w:r>
      <w:proofErr w:type="spellStart"/>
      <w:r>
        <w:t>horizon</w:t>
      </w:r>
      <w:proofErr w:type="spellEnd"/>
      <w:r>
        <w:t xml:space="preserve"> </w:t>
      </w:r>
      <w:proofErr w:type="spellStart"/>
      <w:r>
        <w:t>scanning</w:t>
      </w:r>
      <w:proofErr w:type="spellEnd"/>
      <w:r>
        <w:t xml:space="preserve"> bude sloužit ke zpracování odborných podkladů pro MŠMT a další ústřední orgány státní správy odpovědné za rozvoj mezinárodní spolupráce ve </w:t>
      </w:r>
      <w:proofErr w:type="spellStart"/>
      <w:r>
        <w:t>VaVaI</w:t>
      </w:r>
      <w:proofErr w:type="spellEnd"/>
      <w:r>
        <w:t xml:space="preserve">. Tyto odborné podklady budou zpracovány ve formě analytických zpráv o nových technologických trendech a společenských procesech, kterým je potřeba věnovat pozornost při realizaci strategických opatření v oblasti mezinárodní výzkumné spolupráce. V návaznosti na </w:t>
      </w:r>
      <w:proofErr w:type="spellStart"/>
      <w:r>
        <w:t>horizon</w:t>
      </w:r>
      <w:proofErr w:type="spellEnd"/>
      <w:r>
        <w:t xml:space="preserve"> </w:t>
      </w:r>
      <w:proofErr w:type="spellStart"/>
      <w:r>
        <w:t>scanning</w:t>
      </w:r>
      <w:proofErr w:type="spellEnd"/>
      <w:r>
        <w:t xml:space="preserve"> bude realizováno expertní hodnocení identifikovaných technologických trendů a nových společensky relevantních témat s cílem posoudit dopady těchto fenoménů na podmínky a prostředí pro mezinárodní spolupráci ve </w:t>
      </w:r>
      <w:proofErr w:type="spellStart"/>
      <w:r>
        <w:t>VaVaI</w:t>
      </w:r>
      <w:proofErr w:type="spellEnd"/>
      <w:r>
        <w:t xml:space="preserve">. Snahou bude objasnit možné důsledky nových technologických a společenských trendů, identifikovat strategická výzkumná témata pro mezinárodní výzkumnou spolupráci, iniciovat diskusi o možné reflexi nových technologických a společenských trendů ve stávajících opatřeních podpory mezinárodní výzkumné spolupráce. </w:t>
      </w:r>
    </w:p>
    <w:p w14:paraId="47433EF3" w14:textId="77777777" w:rsidR="00104BDD" w:rsidRDefault="00BD5DD5">
      <w:pPr>
        <w:pStyle w:val="Nadpis3"/>
        <w:spacing w:before="240" w:after="240" w:line="240" w:lineRule="auto"/>
        <w:jc w:val="both"/>
      </w:pPr>
      <w:bookmarkStart w:id="33" w:name="_Toc67906067"/>
      <w:r>
        <w:t xml:space="preserve">Okruh aktivit 2.3 – Strategický </w:t>
      </w:r>
      <w:proofErr w:type="spellStart"/>
      <w:r>
        <w:t>foresight</w:t>
      </w:r>
      <w:proofErr w:type="spellEnd"/>
      <w:r>
        <w:t xml:space="preserve"> pro inteligentní specializaci</w:t>
      </w:r>
      <w:bookmarkEnd w:id="33"/>
    </w:p>
    <w:p w14:paraId="79D2CB9D" w14:textId="1B07EBAE" w:rsidR="00104BDD" w:rsidRDefault="00BD5DD5">
      <w:pPr>
        <w:spacing w:line="240" w:lineRule="auto"/>
        <w:jc w:val="both"/>
      </w:pPr>
      <w:r>
        <w:t xml:space="preserve">V návaznosti na existující aktivity </w:t>
      </w:r>
      <w:proofErr w:type="spellStart"/>
      <w:r>
        <w:t>foresightu</w:t>
      </w:r>
      <w:proofErr w:type="spellEnd"/>
      <w:r>
        <w:t xml:space="preserve"> zaměřené na identifikaci </w:t>
      </w:r>
      <w:proofErr w:type="spellStart"/>
      <w:r>
        <w:t>megatrendů</w:t>
      </w:r>
      <w:proofErr w:type="spellEnd"/>
      <w:r>
        <w:t xml:space="preserve"> a velkých společenských výzev realizované v ČR bude navržen systém pro formulaci misí Národní RIS3 zaměřených na řešení těchto společenských výzev prostřednictvím </w:t>
      </w:r>
      <w:proofErr w:type="spellStart"/>
      <w:r>
        <w:t>VaVaI</w:t>
      </w:r>
      <w:proofErr w:type="spellEnd"/>
      <w:r>
        <w:t xml:space="preserve">. Návazně budou </w:t>
      </w:r>
      <w:r>
        <w:lastRenderedPageBreak/>
        <w:t>vytvořeny souhrnné analytické podklady pro definici misí a pro stanovení cílových stavů. Ve</w:t>
      </w:r>
      <w:r w:rsidR="002B1791">
        <w:t> </w:t>
      </w:r>
      <w:r>
        <w:t xml:space="preserve">spolupráci s Národním RIS3 týmem budou aktivity v tomto okruhu sloužit k vytvoření pracovních programů (akčních plánů) pro naplňování stanovených misí prostřednictvím výzkumných a inovačních aktivit realizovaných v rámci implementace Národní RIS3. Součástí bude i vytvoření systému pro monitoring a vyhodnocování pokroku při naplňování misí Národní RIS3. </w:t>
      </w:r>
    </w:p>
    <w:p w14:paraId="26DA2FFC" w14:textId="77777777" w:rsidR="00104BDD" w:rsidRDefault="00BD5DD5">
      <w:pPr>
        <w:pStyle w:val="Nadpis2"/>
      </w:pPr>
      <w:r>
        <w:t xml:space="preserve"> </w:t>
      </w:r>
      <w:bookmarkStart w:id="34" w:name="_Toc67906068"/>
      <w:r>
        <w:t>Modul 3 – Věda, vzdělávání a trh práce</w:t>
      </w:r>
      <w:bookmarkEnd w:id="34"/>
    </w:p>
    <w:p w14:paraId="1B6FAA65" w14:textId="77777777" w:rsidR="00104BDD" w:rsidRDefault="00BD5DD5">
      <w:pPr>
        <w:spacing w:after="0" w:line="240" w:lineRule="auto"/>
        <w:jc w:val="both"/>
      </w:pPr>
      <w:r>
        <w:t xml:space="preserve">Kvalita výsledků </w:t>
      </w:r>
      <w:proofErr w:type="spellStart"/>
      <w:r>
        <w:t>VaVaI</w:t>
      </w:r>
      <w:proofErr w:type="spellEnd"/>
      <w:r>
        <w:t xml:space="preserve"> se odvíjí zejména od kvality odborníků působících v této oblasti. Modul 3 projektu sdílených činností se i proto soustředí na rozvoj strategické inteligence systematicky se věnující vyhodnocování přípravy lidských kapacit nejen pro </w:t>
      </w:r>
      <w:proofErr w:type="spellStart"/>
      <w:r>
        <w:t>VaVaI</w:t>
      </w:r>
      <w:proofErr w:type="spellEnd"/>
      <w:r>
        <w:t xml:space="preserve">, nicméně i pro přenos vědeckých poznatků do podnikatelské praxe, vyhodnocování atraktivity podmínek pro spojení profesní kariéry s aktivitami </w:t>
      </w:r>
      <w:proofErr w:type="spellStart"/>
      <w:r>
        <w:t>VaVaI</w:t>
      </w:r>
      <w:proofErr w:type="spellEnd"/>
      <w:r>
        <w:t xml:space="preserve">, změnám v poptávce po znalostech a dovednostech nezbytných pro výkon profesí způsobených zaváděním nových technologií do jednotlivých odvětví ekonomiky a mobilitě pracovníků v oblasti </w:t>
      </w:r>
      <w:proofErr w:type="spellStart"/>
      <w:r>
        <w:t>VaVaI</w:t>
      </w:r>
      <w:proofErr w:type="spellEnd"/>
      <w:r>
        <w:t>.</w:t>
      </w:r>
    </w:p>
    <w:p w14:paraId="25E8A1FC" w14:textId="77777777" w:rsidR="00104BDD" w:rsidRDefault="00104BDD">
      <w:pPr>
        <w:spacing w:after="0" w:line="240" w:lineRule="auto"/>
        <w:jc w:val="both"/>
      </w:pPr>
    </w:p>
    <w:p w14:paraId="689B0A59" w14:textId="77777777" w:rsidR="00104BDD" w:rsidRDefault="00BD5DD5">
      <w:pPr>
        <w:spacing w:line="240" w:lineRule="auto"/>
        <w:jc w:val="both"/>
      </w:pPr>
      <w:r>
        <w:t xml:space="preserve">Pro předjímané analýzy budou užívány nejen dostupné datové a informační zdroje na národní a mezinárodní úrovni, ale i v rámci projektu realizované specifické ankety, dotazníková šetření a expertní rozhovory, </w:t>
      </w:r>
      <w:proofErr w:type="spellStart"/>
      <w:r>
        <w:t>fokusní</w:t>
      </w:r>
      <w:proofErr w:type="spellEnd"/>
      <w:r>
        <w:t xml:space="preserve"> skupiny a workshopy, na jejichž základě budou sbírána primární data a kvalitativní informace. Kvalitativní šetření budou realizována v úzké koordinaci s dalšími relevantními a pravidelně se opakujícími šetřeními mezi firmami a výzkumnými organizacemi (např. se šetřením INKA). V relevantních případech bude jakožto součást celého webového prostředí projektu sdílených činností založen webový nástroj ke sdílení a předávání informací a příkladů dobré praxe v oblasti rozvoje lidských kapacit ve </w:t>
      </w:r>
      <w:proofErr w:type="spellStart"/>
      <w:r>
        <w:t>VaVaI</w:t>
      </w:r>
      <w:proofErr w:type="spellEnd"/>
      <w:r>
        <w:t>.</w:t>
      </w:r>
    </w:p>
    <w:p w14:paraId="1EE8F551" w14:textId="77777777" w:rsidR="00104BDD" w:rsidRDefault="00BD5DD5">
      <w:pPr>
        <w:pStyle w:val="Nadpis3"/>
        <w:spacing w:before="240" w:after="240" w:line="240" w:lineRule="auto"/>
        <w:jc w:val="both"/>
      </w:pPr>
      <w:bookmarkStart w:id="35" w:name="_Toc67906069"/>
      <w:r>
        <w:t xml:space="preserve">Okruh aktivit 3.1 – Analýzy přípravy odborníků pro uplatnění ve </w:t>
      </w:r>
      <w:proofErr w:type="spellStart"/>
      <w:r>
        <w:t>VaVaI</w:t>
      </w:r>
      <w:bookmarkEnd w:id="35"/>
      <w:proofErr w:type="spellEnd"/>
    </w:p>
    <w:p w14:paraId="6A17D700" w14:textId="2FACDC6A" w:rsidR="00104BDD" w:rsidRPr="002B1791" w:rsidRDefault="00BD5DD5">
      <w:pPr>
        <w:spacing w:after="0" w:line="240" w:lineRule="auto"/>
        <w:jc w:val="both"/>
      </w:pPr>
      <w:r>
        <w:t xml:space="preserve">V okruhu aktivit </w:t>
      </w:r>
      <w:r w:rsidRPr="002B1791">
        <w:t>budou připravovány obecněji zaměřené analýzy o zájmu o studium přírodních a technických věd</w:t>
      </w:r>
      <w:r w:rsidR="00072D4D" w:rsidRPr="002B1791">
        <w:t>,</w:t>
      </w:r>
      <w:r w:rsidR="00072D4D" w:rsidRPr="004663F1">
        <w:t xml:space="preserve"> a humanitních a společenských věd</w:t>
      </w:r>
      <w:r w:rsidRPr="002B1791">
        <w:t>, možnostech podpory a zlepšení podmínek pro tyto obory studia na různých stupních vzdělávání, identifikaci příčin bariér, výběru a podpoře talentů a dále i vyhodnocovány zkušenosti z jiných zemí.</w:t>
      </w:r>
      <w:r w:rsidR="00072D4D" w:rsidRPr="004663F1">
        <w:rPr>
          <w:i/>
        </w:rPr>
        <w:t xml:space="preserve"> </w:t>
      </w:r>
      <w:r w:rsidR="00072D4D" w:rsidRPr="004663F1">
        <w:t>Detailní zaměření analýz ve vazbě na dostupnost dat bude upřesněno s MŠMT a MPO</w:t>
      </w:r>
      <w:r w:rsidR="00227184" w:rsidRPr="004663F1">
        <w:t>.</w:t>
      </w:r>
    </w:p>
    <w:p w14:paraId="2FA00C25" w14:textId="77777777" w:rsidR="00104BDD" w:rsidRDefault="00104BDD">
      <w:pPr>
        <w:spacing w:after="0" w:line="240" w:lineRule="auto"/>
        <w:jc w:val="both"/>
      </w:pPr>
    </w:p>
    <w:p w14:paraId="29FEA58F" w14:textId="77777777" w:rsidR="00104BDD" w:rsidRDefault="00BD5DD5">
      <w:pPr>
        <w:spacing w:after="0" w:line="240" w:lineRule="auto"/>
        <w:jc w:val="both"/>
      </w:pPr>
      <w:r>
        <w:t xml:space="preserve">Bezprostřední fází přípravy mladých výzkumných pracovníků, jakož i odborníků pro </w:t>
      </w:r>
      <w:proofErr w:type="spellStart"/>
      <w:r>
        <w:t>VaVaI</w:t>
      </w:r>
      <w:proofErr w:type="spellEnd"/>
      <w:r>
        <w:t xml:space="preserve"> jsou doktorské studijní programy vysokých škol. Budou proto periodicky zpracovávány analytické zprávy zabývající se vyhodnocením zaměření, kapacit a úspěšnosti doktorských studijních programů ve vazbě na potřebu přípravy mladých lidí pro perspektivní, resp. špičkové obory </w:t>
      </w:r>
      <w:proofErr w:type="spellStart"/>
      <w:r>
        <w:t>VaVaI</w:t>
      </w:r>
      <w:proofErr w:type="spellEnd"/>
      <w:r>
        <w:t>. Budou vyhodnocovány trendy, úzká místa, vznikající problémy a možnosti odstranění.</w:t>
      </w:r>
    </w:p>
    <w:p w14:paraId="292228AE" w14:textId="77777777" w:rsidR="00104BDD" w:rsidRDefault="00BD5DD5">
      <w:pPr>
        <w:spacing w:after="0" w:line="240" w:lineRule="auto"/>
        <w:jc w:val="both"/>
      </w:pPr>
      <w:r>
        <w:t>Vzhledem k tomu, že pro spolupráci výzkumníků s praxí je nezbytné utvářet příslušné postoje a dovednosti již v období studia, budou se analýzy a průzkumy věnovat hodnocení přípravy výzkumníků i z tohoto hlediska. Bude vyhodnoceno, zda a v jakém rozsahu a obsahu získávají studenti informace a dovednosti, jež jim usnadní spolupráci s podnikatelskou sférou.</w:t>
      </w:r>
    </w:p>
    <w:p w14:paraId="1E7F6ADD" w14:textId="77777777" w:rsidR="00104BDD" w:rsidRDefault="00104BDD">
      <w:pPr>
        <w:spacing w:after="0" w:line="240" w:lineRule="auto"/>
        <w:jc w:val="both"/>
      </w:pPr>
    </w:p>
    <w:p w14:paraId="193356FC" w14:textId="77777777" w:rsidR="00104BDD" w:rsidRDefault="00BD5DD5">
      <w:pPr>
        <w:spacing w:line="240" w:lineRule="auto"/>
        <w:jc w:val="both"/>
      </w:pPr>
      <w:r>
        <w:t xml:space="preserve">Budou vyhodnocovány rovněž procesy a úloha odborných pracovníků, prostřednictvím kterých je zajišťováno využití výsledků </w:t>
      </w:r>
      <w:proofErr w:type="spellStart"/>
      <w:r>
        <w:t>VaVaI</w:t>
      </w:r>
      <w:proofErr w:type="spellEnd"/>
      <w:r>
        <w:t xml:space="preserve"> v praxi v ČR a ve vybraných evropských zemích. V tomto ohledu bude klíčovou součástí vyhodnocení přípravy odborníků pro transfer know-how a s tím spojené další činnosti a zpracována SWOT analýza pro ČR.</w:t>
      </w:r>
    </w:p>
    <w:p w14:paraId="619CCBF3" w14:textId="77777777" w:rsidR="00104BDD" w:rsidRDefault="00BD5DD5">
      <w:pPr>
        <w:pStyle w:val="Nadpis3"/>
        <w:spacing w:before="240" w:after="240" w:line="240" w:lineRule="auto"/>
        <w:jc w:val="both"/>
      </w:pPr>
      <w:bookmarkStart w:id="36" w:name="_Toc67906070"/>
      <w:r>
        <w:t xml:space="preserve">Okruh aktivit 3.2 – Analýzy podmínek pro uplatnění ve </w:t>
      </w:r>
      <w:proofErr w:type="spellStart"/>
      <w:r>
        <w:t>VaVaI</w:t>
      </w:r>
      <w:bookmarkEnd w:id="36"/>
      <w:proofErr w:type="spellEnd"/>
    </w:p>
    <w:p w14:paraId="57491147" w14:textId="5255AC39" w:rsidR="00104BDD" w:rsidRDefault="00BD5DD5">
      <w:pPr>
        <w:spacing w:after="0" w:line="240" w:lineRule="auto"/>
        <w:jc w:val="both"/>
      </w:pPr>
      <w:r>
        <w:t xml:space="preserve">Instituce </w:t>
      </w:r>
      <w:proofErr w:type="spellStart"/>
      <w:r>
        <w:t>VaVaI</w:t>
      </w:r>
      <w:proofErr w:type="spellEnd"/>
      <w:r>
        <w:t xml:space="preserve"> soutěží o kvalitní pracovníky jak s ostatními odvětvími ekonomiky, tak také se zahraničím. Analýzy se proto zaměří na identifikaci aspektů ovlivňujících atraktivitu profesního uplatnění ve </w:t>
      </w:r>
      <w:proofErr w:type="spellStart"/>
      <w:r>
        <w:t>VaVaI</w:t>
      </w:r>
      <w:proofErr w:type="spellEnd"/>
      <w:r>
        <w:t xml:space="preserve"> v rozlišení podle jednotlivých fází profesního a osobního života. Zkoumány budou podmínky pro kariérní růst a jejich specifika v </w:t>
      </w:r>
      <w:r w:rsidRPr="002B1791">
        <w:t xml:space="preserve">prostředí </w:t>
      </w:r>
      <w:r w:rsidR="00FF0D98" w:rsidRPr="004663F1">
        <w:t xml:space="preserve">výzkumných institucí </w:t>
      </w:r>
      <w:r w:rsidR="00FF0D98" w:rsidRPr="004663F1">
        <w:lastRenderedPageBreak/>
        <w:t>spadajících zejména do vládního a vysokoškolského sektoru, ale i do sektoru podnikatelského</w:t>
      </w:r>
      <w:r w:rsidR="00FF0D98" w:rsidRPr="004663F1">
        <w:rPr>
          <w:i/>
          <w:u w:val="single"/>
        </w:rPr>
        <w:t>,</w:t>
      </w:r>
      <w:r w:rsidR="00FF0D98" w:rsidRPr="002B1791">
        <w:t xml:space="preserve"> </w:t>
      </w:r>
      <w:r w:rsidRPr="002B1791">
        <w:t>vysokých škol a Akademie věd ČR (dále jen „AV</w:t>
      </w:r>
      <w:r w:rsidR="00BD7B6A" w:rsidRPr="002B1791">
        <w:t xml:space="preserve"> </w:t>
      </w:r>
      <w:r w:rsidRPr="002B1791">
        <w:t xml:space="preserve">ČR“), formy hodnocení výzkumných pracovníků i celých </w:t>
      </w:r>
      <w:r>
        <w:t xml:space="preserve">výzkumných týmů a nástroje odměňování ve vazbě na výsledky dosažené ve výzkumu a praxi. Hodnoceny však budou také podmínky širšího zázemí pro práci ve </w:t>
      </w:r>
      <w:proofErr w:type="spellStart"/>
      <w:r>
        <w:t>VaVaI</w:t>
      </w:r>
      <w:proofErr w:type="spellEnd"/>
      <w:r>
        <w:t>, jako je přístup k informacím z oboru, možnosti sladění výuky a výzkumu apod.</w:t>
      </w:r>
    </w:p>
    <w:p w14:paraId="2928AF21" w14:textId="77777777" w:rsidR="00104BDD" w:rsidRDefault="00104BDD">
      <w:pPr>
        <w:spacing w:after="0" w:line="240" w:lineRule="auto"/>
        <w:jc w:val="both"/>
      </w:pPr>
    </w:p>
    <w:p w14:paraId="18D352C4" w14:textId="77777777" w:rsidR="00104BDD" w:rsidRDefault="00BD5DD5">
      <w:pPr>
        <w:spacing w:after="0" w:line="240" w:lineRule="auto"/>
        <w:jc w:val="both"/>
      </w:pPr>
      <w:r>
        <w:t xml:space="preserve">Vyhodnocovány budou rovněž podmínky pro zapojení špičkových zahraničních odborníků do výzkumných týmů v ČR. Součástí bude i analýza rozsahu </w:t>
      </w:r>
      <w:proofErr w:type="spellStart"/>
      <w:r>
        <w:rPr>
          <w:i/>
        </w:rPr>
        <w:t>inbreedingu</w:t>
      </w:r>
      <w:proofErr w:type="spellEnd"/>
      <w:r>
        <w:t xml:space="preserve"> na veřejných vysokých školách ve srovnání se situací ve vybraných evropských zemích, postižení příčin tohoto jevu a vyhodnocení dopadu na kvalitu výzkumných týmů.</w:t>
      </w:r>
    </w:p>
    <w:p w14:paraId="7E1AF181" w14:textId="77777777" w:rsidR="00104BDD" w:rsidRDefault="00104BDD">
      <w:pPr>
        <w:spacing w:after="0" w:line="240" w:lineRule="auto"/>
        <w:jc w:val="both"/>
      </w:pPr>
    </w:p>
    <w:p w14:paraId="6AAFECEE" w14:textId="77777777" w:rsidR="00104BDD" w:rsidRDefault="00BD5DD5">
      <w:pPr>
        <w:spacing w:after="0" w:line="240" w:lineRule="auto"/>
        <w:jc w:val="both"/>
      </w:pPr>
      <w:r>
        <w:t>Zkoumány budou dále taktéž příčiny slabého zájmu o spolupráci s praxí ze strany výzkumných pracovníků, faktory a možnosti, které by mohly zlepšit tuto situaci, a to včetně odměňování a organizace řízení lidských zdrojů. Sledovány budou i postoje akademiků k zakládání start-</w:t>
      </w:r>
      <w:proofErr w:type="spellStart"/>
      <w:r>
        <w:t>upů</w:t>
      </w:r>
      <w:proofErr w:type="spellEnd"/>
      <w:r>
        <w:t xml:space="preserve"> a spin-</w:t>
      </w:r>
      <w:proofErr w:type="spellStart"/>
      <w:r>
        <w:t>off</w:t>
      </w:r>
      <w:proofErr w:type="spellEnd"/>
      <w:r>
        <w:t xml:space="preserve"> firem.</w:t>
      </w:r>
    </w:p>
    <w:p w14:paraId="7A214518" w14:textId="77777777" w:rsidR="00104BDD" w:rsidRDefault="00104BDD">
      <w:pPr>
        <w:spacing w:after="0" w:line="240" w:lineRule="auto"/>
        <w:jc w:val="both"/>
      </w:pPr>
    </w:p>
    <w:p w14:paraId="6964935E" w14:textId="77777777" w:rsidR="00104BDD" w:rsidRDefault="00BD5DD5">
      <w:pPr>
        <w:spacing w:line="240" w:lineRule="auto"/>
        <w:jc w:val="both"/>
      </w:pPr>
      <w:r>
        <w:t>Součástí aktivit bude v neposlední řadě taktéž zprostředkování příkladů dobré praxe, vytváření podmínek na úspěšných pracovištích a vytvoření sítě pro sdílení zkušeností.</w:t>
      </w:r>
    </w:p>
    <w:p w14:paraId="52765B7B" w14:textId="77777777" w:rsidR="00104BDD" w:rsidRDefault="00BD5DD5">
      <w:pPr>
        <w:pStyle w:val="Nadpis3"/>
        <w:spacing w:before="240" w:after="240" w:line="240" w:lineRule="auto"/>
      </w:pPr>
      <w:bookmarkStart w:id="37" w:name="_Toc67906071"/>
      <w:r>
        <w:t xml:space="preserve">Okruh aktivit 3.3 – Analýzy vybavenosti podniků odborníky v oblasti </w:t>
      </w:r>
      <w:proofErr w:type="spellStart"/>
      <w:r>
        <w:t>VaVaI</w:t>
      </w:r>
      <w:proofErr w:type="spellEnd"/>
      <w:r>
        <w:t xml:space="preserve"> a jejich připravenosti pro spolupráci s výzkumnou sférou</w:t>
      </w:r>
      <w:bookmarkEnd w:id="37"/>
    </w:p>
    <w:p w14:paraId="21A071D3" w14:textId="5D06140F" w:rsidR="00104BDD" w:rsidRDefault="00BD5DD5">
      <w:pPr>
        <w:spacing w:line="240" w:lineRule="auto"/>
        <w:jc w:val="both"/>
      </w:pPr>
      <w:r>
        <w:t>Pro přenos poznatků z výzkumu do praxe je důležitá nejen připravenost na straně výzkumných organizací, ale i připravenost pracovníků v podnikové sféře sledovat, vyhodnocovat příležitosti a spolupracovat s výzkumem při realizaci vlastního vývoje a inovací</w:t>
      </w:r>
      <w:r w:rsidRPr="002B1791">
        <w:t xml:space="preserve">. </w:t>
      </w:r>
      <w:r w:rsidR="006F52F0" w:rsidRPr="004663F1">
        <w:t xml:space="preserve">Nad rámec výsledků šetření INKA se tak </w:t>
      </w:r>
      <w:r w:rsidR="006F52F0" w:rsidRPr="002B1791">
        <w:t xml:space="preserve">analýzy </w:t>
      </w:r>
      <w:r w:rsidRPr="002B1791">
        <w:t xml:space="preserve">zaměří na rozsah a trendy vybavenosti podnikatelské </w:t>
      </w:r>
      <w:r>
        <w:t xml:space="preserve">sféry pracovníky </w:t>
      </w:r>
      <w:proofErr w:type="spellStart"/>
      <w:r>
        <w:t>VaVaI</w:t>
      </w:r>
      <w:proofErr w:type="spellEnd"/>
      <w:r>
        <w:t xml:space="preserve"> s využitím statistických dat.  Prostřednictvím strukturovaných rozhovorů budou zjišťovány rozhodující způsoby získávání informací o výsledcích </w:t>
      </w:r>
      <w:proofErr w:type="spellStart"/>
      <w:r>
        <w:t>VaVaI</w:t>
      </w:r>
      <w:proofErr w:type="spellEnd"/>
      <w:r>
        <w:t xml:space="preserve"> realizovaných výzkumnými organizacemi, postoje a připravenost pracovníků v podnicích vyhodnocovat aplikační potenciál těchto výsledků a realizovat kroky k jejich reálnému využití, popř.</w:t>
      </w:r>
      <w:r w:rsidR="002B1791">
        <w:t> </w:t>
      </w:r>
      <w:r>
        <w:t xml:space="preserve">identifikovat možné bariéry. Součástí analýz bude i zjišťování postojů odborníků z praxe ke </w:t>
      </w:r>
      <w:proofErr w:type="spellStart"/>
      <w:r>
        <w:t>kolaborativnímu</w:t>
      </w:r>
      <w:proofErr w:type="spellEnd"/>
      <w:r>
        <w:t xml:space="preserve"> výzkumu a dlouhodobé systematické spolupráci s výzkumnou sférou v ČR.</w:t>
      </w:r>
    </w:p>
    <w:p w14:paraId="233B73F6" w14:textId="77777777" w:rsidR="00104BDD" w:rsidRDefault="00BD5DD5">
      <w:pPr>
        <w:pStyle w:val="Nadpis3"/>
        <w:spacing w:before="240" w:after="240" w:line="240" w:lineRule="auto"/>
      </w:pPr>
      <w:bookmarkStart w:id="38" w:name="_Toc67906072"/>
      <w:r>
        <w:t xml:space="preserve">Okruh aktivit 3.4 – Analýzy změn trhu práce vlivem využívání výsledků </w:t>
      </w:r>
      <w:proofErr w:type="spellStart"/>
      <w:r>
        <w:t>VaVaI</w:t>
      </w:r>
      <w:proofErr w:type="spellEnd"/>
      <w:r>
        <w:t xml:space="preserve"> v praxi</w:t>
      </w:r>
      <w:bookmarkEnd w:id="38"/>
      <w:r>
        <w:t xml:space="preserve"> </w:t>
      </w:r>
    </w:p>
    <w:p w14:paraId="3ADC62B5" w14:textId="77777777" w:rsidR="00104BDD" w:rsidRDefault="00BD5DD5">
      <w:pPr>
        <w:spacing w:line="240" w:lineRule="auto"/>
        <w:jc w:val="both"/>
      </w:pPr>
      <w:r>
        <w:t>Na základě dostupných informačních zdrojů a rozhovorů s představiteli podniků působících v jednotlivých ekonomických odvětvích a představiteli akademické sféry budou monitorovány a vyhodnocovány změny v nárocích na pracovníky v důsledku zavádění a využívání nových technologií, tzn., změny v nárocích na počty pracovníků nezbytných pro zajištění jednotlivých činností podniků, změny v požadavcích na znalosti a dovednosti pro výkon profesí, a i vznik nových profesí.</w:t>
      </w:r>
    </w:p>
    <w:p w14:paraId="33C39864" w14:textId="77777777" w:rsidR="00104BDD" w:rsidRDefault="00BD5DD5">
      <w:pPr>
        <w:pStyle w:val="Nadpis3"/>
        <w:spacing w:line="240" w:lineRule="auto"/>
      </w:pPr>
      <w:bookmarkStart w:id="39" w:name="_Toc67906073"/>
      <w:r>
        <w:t>Okruh aktivit 3.5 – Analýzy stavu a dynamiky mezinárodní vědecko-výzkumné mobility</w:t>
      </w:r>
      <w:bookmarkEnd w:id="39"/>
    </w:p>
    <w:p w14:paraId="71B9F79C" w14:textId="77777777" w:rsidR="00104BDD" w:rsidRDefault="00BD5DD5">
      <w:pPr>
        <w:spacing w:line="240" w:lineRule="auto"/>
        <w:jc w:val="both"/>
      </w:pPr>
      <w:r>
        <w:t xml:space="preserve">V ČR není dosud zaveden centrální nástroj pro sběr dat o mobilitě příchozích a odchozích vědců. Pokud se totiž jedná o vědce – občana členského státu EU, je jeho pohyb na trhu práce volný a nepotřebuje pro svůj pobyt v ČR žádná speciální povolení. Naopak občané zemí mimo EU jsou nuceni projít poměrně náročným administrativním procesem a prostřednictvím dobře ukotveného modelu spolupráce mezi EURAXESS ČR a Ministerstvem vnitra se stane pouze velmi výjimečně, že příchozí zahraniční vědec nežádá o povolení k pobytu v součinnosti právě s EURAXESS ČR a jeho příchod není podchycen. EURAXESS ČR tedy disponuje unikátním souborem statistických dat týkajících se příchozích vědecko-výzkumných pracovníků ze zemí mimo EU na pracoviště v ČR. Na základě tohoto souboru dat EURAXESS ČR vytváří analýzy </w:t>
      </w:r>
      <w:r>
        <w:lastRenderedPageBreak/>
        <w:t>stavu a dynamiky mezinárodní vědecko-výzkumné mobility, ve kterých pracuje s řadou kritérií – např. celkové počty příchozích zahraničních vědců, země jejich původu, věková struktura, poměr žen a mužů, jejich nejčastější oblast působení, doba jejich setrvání v ČR a další.</w:t>
      </w:r>
    </w:p>
    <w:p w14:paraId="065D2039" w14:textId="77777777" w:rsidR="00104BDD" w:rsidRDefault="00BD5DD5">
      <w:pPr>
        <w:pStyle w:val="Nadpis3"/>
        <w:spacing w:before="240" w:after="240" w:line="240" w:lineRule="auto"/>
        <w:jc w:val="both"/>
      </w:pPr>
      <w:bookmarkStart w:id="40" w:name="_Toc67906074"/>
      <w:r>
        <w:t>Okruh aktivit 3.6 – Monitorování administrativních bariér mezinárodní mobility</w:t>
      </w:r>
      <w:bookmarkEnd w:id="40"/>
    </w:p>
    <w:p w14:paraId="3DA9EA9F" w14:textId="77777777" w:rsidR="00104BDD" w:rsidRDefault="00BD5DD5">
      <w:pPr>
        <w:spacing w:line="240" w:lineRule="auto"/>
        <w:jc w:val="both"/>
      </w:pPr>
      <w:r>
        <w:t>Vzhledem ke každodennímu kontaktu se zahraničními vědci EURAXESS ČR rovněž průběžně monitoruje administrativní a sociokulturní překážky mezinárodní mobility, které provází jejich příchod i následný pracovní pobyt v ČR. Tento monitoring se odehrává zejména méně formální cestou, a to prostřednictvím rozhovorů s aktéry z rozdílných zemí původu, dosavadní profesní historie i rozdílného vědeckého zaměření. Zároveň EURAXESS ČR vždy v odstupu 2 až 3 let provádí dotazníkové šetření zaměřené na tuto problematiku a následnou analýzu zjištěných dat, na jejímž základě vstupuje do jednání s ministerstvy a dalšími institucemi zabývajícími se mezinárodní vědecko-výzkumnou mobilitou.</w:t>
      </w:r>
    </w:p>
    <w:p w14:paraId="3A9AAD47" w14:textId="77777777" w:rsidR="00104BDD" w:rsidRDefault="00BD5DD5">
      <w:pPr>
        <w:pStyle w:val="Nadpis2"/>
      </w:pPr>
      <w:r>
        <w:t xml:space="preserve"> </w:t>
      </w:r>
      <w:bookmarkStart w:id="41" w:name="_Toc67906075"/>
      <w:r>
        <w:t>Modul 4 – Gender a věda</w:t>
      </w:r>
      <w:bookmarkEnd w:id="41"/>
    </w:p>
    <w:p w14:paraId="5AF65CA0" w14:textId="4E172A09" w:rsidR="00104BDD" w:rsidRDefault="00BD5DD5">
      <w:pPr>
        <w:spacing w:line="240" w:lineRule="auto"/>
        <w:jc w:val="both"/>
      </w:pPr>
      <w:r>
        <w:t xml:space="preserve">Aktivity v tomto modulu projektu sdílených činností se zaměří na zvýšení úspěšnosti ČR při naplňování strategických dokumentů v oblastech </w:t>
      </w:r>
      <w:proofErr w:type="spellStart"/>
      <w:r>
        <w:t>VaVaI</w:t>
      </w:r>
      <w:proofErr w:type="spellEnd"/>
      <w:r>
        <w:t xml:space="preserve"> na národní i mezinárodní úrovni, a to v průřezové oblasti genderová rovnost. Předmětem bude spolupráce na přípravě strategických dokumentů a připomínkování vznikajících strategických dokumentů s působností v oblastech </w:t>
      </w:r>
      <w:proofErr w:type="spellStart"/>
      <w:r>
        <w:t>VaVaI</w:t>
      </w:r>
      <w:proofErr w:type="spellEnd"/>
      <w:r>
        <w:t xml:space="preserve"> a vytváření podnětů pro instituce </w:t>
      </w:r>
      <w:proofErr w:type="spellStart"/>
      <w:r>
        <w:t>VaVaI</w:t>
      </w:r>
      <w:proofErr w:type="spellEnd"/>
      <w:r>
        <w:t xml:space="preserve"> a orgány státní správy ČR směřující k lepšímu naplňování úkolů strategických dokumentů, a prostředí, které umožní implementaci opatření na podporu genderové rovnosti ve </w:t>
      </w:r>
      <w:proofErr w:type="spellStart"/>
      <w:r>
        <w:t>VaVaI</w:t>
      </w:r>
      <w:proofErr w:type="spellEnd"/>
      <w:r>
        <w:t>. Navržené aktivity naváží na dosavadní spolupráci Národního kontaktního centra – gender a věda (dále jen „NKC“) s klíčovými aktéry státní správy ČR (Úřad vlády ČR, MŠMT, AV</w:t>
      </w:r>
      <w:r w:rsidR="00BD7B6A">
        <w:t xml:space="preserve"> </w:t>
      </w:r>
      <w:r>
        <w:t xml:space="preserve">ČR) a dalšími </w:t>
      </w:r>
      <w:proofErr w:type="spellStart"/>
      <w:r>
        <w:t>stakeholdery</w:t>
      </w:r>
      <w:proofErr w:type="spellEnd"/>
      <w:r>
        <w:t xml:space="preserve"> </w:t>
      </w:r>
      <w:proofErr w:type="spellStart"/>
      <w:r>
        <w:t>VaVaI</w:t>
      </w:r>
      <w:proofErr w:type="spellEnd"/>
      <w:r>
        <w:t xml:space="preserve"> ČR při formulaci cílů veřejných politik a při vzniku těchto dokumentů. Mezi další rozvojové aktivity patří analýzy dopadů a rizik nových technologií na rovnost žen a mužů. Tato problematika je zcela zásadní pro budoucí demokratický a inovační rozvoj v ČR v globálním kontextu v návaznosti na plnění Cílů udržitelného rozvoje OSN a digitalizaci.</w:t>
      </w:r>
    </w:p>
    <w:p w14:paraId="384C4C2E" w14:textId="77777777" w:rsidR="00104BDD" w:rsidRDefault="00BD5DD5">
      <w:pPr>
        <w:pStyle w:val="Nadpis3"/>
        <w:spacing w:before="240" w:after="240" w:line="240" w:lineRule="auto"/>
      </w:pPr>
      <w:bookmarkStart w:id="42" w:name="_Toc67906076"/>
      <w:r>
        <w:t xml:space="preserve">Okruh aktivit 4.1 – Monitoring a evaluace plnění strategických cílů a politik genderové rovnosti ve </w:t>
      </w:r>
      <w:proofErr w:type="spellStart"/>
      <w:r>
        <w:t>VaVaI</w:t>
      </w:r>
      <w:proofErr w:type="spellEnd"/>
      <w:r>
        <w:t xml:space="preserve"> a návrhy strategických řešení</w:t>
      </w:r>
      <w:bookmarkEnd w:id="42"/>
    </w:p>
    <w:p w14:paraId="62134352" w14:textId="77777777" w:rsidR="00104BDD" w:rsidRDefault="00BD5DD5">
      <w:pPr>
        <w:spacing w:line="240" w:lineRule="auto"/>
        <w:jc w:val="both"/>
      </w:pPr>
      <w:r>
        <w:t xml:space="preserve">V současnosti dochází k rychlému rozvoji v oblasti zavádění politik genderové rovnosti obecně a politik genderové rovnosti specificky v oblasti </w:t>
      </w:r>
      <w:proofErr w:type="spellStart"/>
      <w:r>
        <w:t>VaVaI</w:t>
      </w:r>
      <w:proofErr w:type="spellEnd"/>
      <w:r>
        <w:t>, a to jak na úrovni EU (nová strategie genderové rovnosti Evropské komise), tak na úrovni jednotlivých členských států, včetně ČR. Tento okruh aktivit bude zahrnovat monitoring a evaluace zaváděných politik a opatření a jejich využití pro další design strategických řešení vhodných pro kontext ČR. Zároveň bude sledován vývoj v zahraničí za účelem přenosu dobré praxe v rámci EU, a to s cílem přispět ke koordinaci politik v této oblasti.</w:t>
      </w:r>
    </w:p>
    <w:p w14:paraId="180A8CFD" w14:textId="77777777" w:rsidR="00104BDD" w:rsidRDefault="00BD5DD5">
      <w:pPr>
        <w:pStyle w:val="Nadpis3"/>
        <w:spacing w:before="240" w:after="240" w:line="240" w:lineRule="auto"/>
      </w:pPr>
      <w:bookmarkStart w:id="43" w:name="_Toc67906077"/>
      <w:r>
        <w:t>Okruh aktivit 4.2 – Tvorba a implementace metodiky hodnocení dopadu aktivit na podporu genderové rovnosti</w:t>
      </w:r>
      <w:bookmarkEnd w:id="43"/>
      <w:r>
        <w:t xml:space="preserve"> </w:t>
      </w:r>
    </w:p>
    <w:p w14:paraId="67CF8479" w14:textId="77777777" w:rsidR="00104BDD" w:rsidRDefault="00BD5DD5">
      <w:pPr>
        <w:spacing w:line="240" w:lineRule="auto"/>
        <w:jc w:val="both"/>
      </w:pPr>
      <w:r>
        <w:t xml:space="preserve">V současné době jsou v ČR a dalších zemích EU zaváděny různé systémy podpory genderové rovnosti, doposud ovšem často chybí hodnocení jejich dopadu. V rámci tohoto okruhu aktivit bude proto vypracována metodika a bude navázána mezinárodní spolupráce se zeměmi EU (předběžně je dohodnuta spolupráce s Irskem) na vývoji metodiky a výměny zkušeností. Cílem této aktivity je analyzovat účinnost zaváděných opatření, jejich dopad na rozvoj uplatnění žen v systému </w:t>
      </w:r>
      <w:proofErr w:type="spellStart"/>
      <w:r>
        <w:t>VaVaI</w:t>
      </w:r>
      <w:proofErr w:type="spellEnd"/>
      <w:r>
        <w:t xml:space="preserve"> a na systém </w:t>
      </w:r>
      <w:proofErr w:type="spellStart"/>
      <w:r>
        <w:t>VaVaI</w:t>
      </w:r>
      <w:proofErr w:type="spellEnd"/>
      <w:r>
        <w:t xml:space="preserve"> jako celek.</w:t>
      </w:r>
    </w:p>
    <w:p w14:paraId="17CAE792" w14:textId="40872D5F" w:rsidR="0031401E" w:rsidRDefault="00651789">
      <w:pPr>
        <w:pStyle w:val="Nadpis3"/>
        <w:spacing w:before="240" w:after="240" w:line="240" w:lineRule="auto"/>
        <w:jc w:val="both"/>
      </w:pPr>
      <w:bookmarkStart w:id="44" w:name="_Toc67906078"/>
      <w:r>
        <w:lastRenderedPageBreak/>
        <w:t xml:space="preserve">Okruh aktivit 4.3 -– </w:t>
      </w:r>
      <w:r w:rsidR="002A3FC8">
        <w:t>O</w:t>
      </w:r>
      <w:r>
        <w:t xml:space="preserve">dborná podpora veřejné správy při implementaci pravidel pro vyrovnávání příležitostí ve </w:t>
      </w:r>
      <w:proofErr w:type="spellStart"/>
      <w:r>
        <w:t>VaVaI</w:t>
      </w:r>
      <w:bookmarkEnd w:id="44"/>
      <w:proofErr w:type="spellEnd"/>
    </w:p>
    <w:p w14:paraId="013A90C3" w14:textId="3AA9BD04" w:rsidR="0041488E" w:rsidRPr="00DD37EE" w:rsidRDefault="0041488E" w:rsidP="00BE325A">
      <w:pPr>
        <w:spacing w:line="240" w:lineRule="auto"/>
        <w:jc w:val="both"/>
      </w:pPr>
      <w:r>
        <w:t xml:space="preserve">V roce 2020 byla přijata aktualizovaná </w:t>
      </w:r>
      <w:r w:rsidR="00BE325A">
        <w:t xml:space="preserve">Národní politika </w:t>
      </w:r>
      <w:proofErr w:type="spellStart"/>
      <w:r w:rsidR="00BE325A">
        <w:t>VaVaI</w:t>
      </w:r>
      <w:proofErr w:type="spellEnd"/>
      <w:r w:rsidR="00BE325A">
        <w:t xml:space="preserve"> ČR pro léta 2021+</w:t>
      </w:r>
      <w:r>
        <w:t xml:space="preserve"> a v roce 2021 Strategie rovnosti žen a mužů 2021+. Oba dokumenty obsahují úkoly týkající se agendy vyrovnávání příležitosti ve </w:t>
      </w:r>
      <w:proofErr w:type="spellStart"/>
      <w:r>
        <w:t>VaVaI</w:t>
      </w:r>
      <w:proofErr w:type="spellEnd"/>
      <w:r>
        <w:t>. Činnosti v tomto okruhu aktivit budou směřovány na poskytování odborné podpory orgánů státní správy při realizaci těchto úkolů a nově přijímaných opatření a pravidel.</w:t>
      </w:r>
    </w:p>
    <w:p w14:paraId="1F1A0980" w14:textId="3774D2E2" w:rsidR="00104BDD" w:rsidRDefault="00BD5DD5">
      <w:pPr>
        <w:pStyle w:val="Nadpis3"/>
        <w:spacing w:before="240" w:after="240" w:line="240" w:lineRule="auto"/>
        <w:jc w:val="both"/>
      </w:pPr>
      <w:bookmarkStart w:id="45" w:name="_Toc67906079"/>
      <w:r>
        <w:t xml:space="preserve">Okruh aktivit 4.4 – </w:t>
      </w:r>
      <w:proofErr w:type="spellStart"/>
      <w:r>
        <w:t>She</w:t>
      </w:r>
      <w:proofErr w:type="spellEnd"/>
      <w:r>
        <w:t xml:space="preserve"> </w:t>
      </w:r>
      <w:proofErr w:type="spellStart"/>
      <w:r>
        <w:t>Figures</w:t>
      </w:r>
      <w:proofErr w:type="spellEnd"/>
      <w:r>
        <w:t xml:space="preserve"> Czech Republic</w:t>
      </w:r>
      <w:bookmarkEnd w:id="45"/>
    </w:p>
    <w:p w14:paraId="44EB2A6C" w14:textId="18F0A6DF" w:rsidR="00104BDD" w:rsidRDefault="00BD5DD5">
      <w:pPr>
        <w:spacing w:line="240" w:lineRule="auto"/>
        <w:jc w:val="both"/>
      </w:pPr>
      <w:r>
        <w:t xml:space="preserve">Monitorovací zpráva o postavení žen v české vědě, jíž formou statistické ročenky každoročně vydává NKC, bude rozšířena tak, aby byla obdobou evropské publikace </w:t>
      </w:r>
      <w:proofErr w:type="spellStart"/>
      <w:r>
        <w:rPr>
          <w:i/>
        </w:rPr>
        <w:t>She</w:t>
      </w:r>
      <w:proofErr w:type="spellEnd"/>
      <w:r>
        <w:rPr>
          <w:i/>
        </w:rPr>
        <w:t xml:space="preserve"> </w:t>
      </w:r>
      <w:proofErr w:type="spellStart"/>
      <w:r>
        <w:rPr>
          <w:i/>
        </w:rPr>
        <w:t>Figures</w:t>
      </w:r>
      <w:proofErr w:type="spellEnd"/>
      <w:r>
        <w:t xml:space="preserve">, kterou vydává Evropská komise a která pokrývá oblasti: pool talentů, zaměstnanci a zaměstnankyně ve </w:t>
      </w:r>
      <w:proofErr w:type="spellStart"/>
      <w:r>
        <w:t>VaVaI</w:t>
      </w:r>
      <w:proofErr w:type="spellEnd"/>
      <w:r>
        <w:t xml:space="preserve">, výzkumní pracovníci a pracovnice jako součást trhu práce, pracovní podmínky pro výzkumné pracovníky a pracovnice, kariérní růst a účast na rozhodovacích procesech, výstupy výzkumu a inovací. Publikace </w:t>
      </w:r>
      <w:proofErr w:type="spellStart"/>
      <w:r>
        <w:rPr>
          <w:i/>
        </w:rPr>
        <w:t>She</w:t>
      </w:r>
      <w:proofErr w:type="spellEnd"/>
      <w:r>
        <w:rPr>
          <w:i/>
        </w:rPr>
        <w:t xml:space="preserve"> </w:t>
      </w:r>
      <w:proofErr w:type="spellStart"/>
      <w:r>
        <w:rPr>
          <w:i/>
        </w:rPr>
        <w:t>Figures</w:t>
      </w:r>
      <w:proofErr w:type="spellEnd"/>
      <w:r>
        <w:rPr>
          <w:i/>
        </w:rPr>
        <w:t xml:space="preserve"> Czech Republic</w:t>
      </w:r>
      <w:r>
        <w:t xml:space="preserve"> bude obsahovat také srovnání se zahraničím. Vydávána bude v českém a v anglickém jazyce v elektronické podobě. Zároveň budou v tomto okruhu aktivit vytvářeny </w:t>
      </w:r>
      <w:proofErr w:type="spellStart"/>
      <w:r>
        <w:t>infografiky</w:t>
      </w:r>
      <w:proofErr w:type="spellEnd"/>
      <w:r>
        <w:t xml:space="preserve"> pro rychlou a graficky přátelskou komunikaci těchto statistik.</w:t>
      </w:r>
    </w:p>
    <w:p w14:paraId="0CC7508C" w14:textId="77777777" w:rsidR="00104BDD" w:rsidRDefault="00BD5DD5">
      <w:pPr>
        <w:pStyle w:val="Nadpis2"/>
      </w:pPr>
      <w:r>
        <w:t xml:space="preserve"> </w:t>
      </w:r>
      <w:bookmarkStart w:id="46" w:name="_Toc67906080"/>
      <w:r>
        <w:t>Modul 5 – Věda, technologie a společnost</w:t>
      </w:r>
      <w:bookmarkEnd w:id="46"/>
    </w:p>
    <w:p w14:paraId="5569C022" w14:textId="77777777" w:rsidR="00104BDD" w:rsidRDefault="00BD5DD5">
      <w:pPr>
        <w:spacing w:after="0" w:line="240" w:lineRule="auto"/>
        <w:jc w:val="both"/>
      </w:pPr>
      <w:r>
        <w:t>Vzhledem k tomu, že výzkumné a inovační aktivity a jejich výsledky mají bezprostřední anebo přenesený dopad na společnost, je nezbytné posuzovat možné pozitivní a negativní dopady těchto aktivit a jejich výsledků. V této souvislosti je proto účelné zkoumat potenciální zdravotní, environmentální, etická, a i další rizika spojená s aplikacemi nových technologií, jakožto i jejich dopady na různé společenské skupiny (např. věkové skupiny, muže a ženy, sociální skupiny apod.). Aktivity v tomto modulu projektu sdílených činností se proto zaměří na poskytování komplexních služeb pro vyhodnocování dopadů nových technologií na společnost (</w:t>
      </w:r>
      <w:r>
        <w:rPr>
          <w:i/>
        </w:rPr>
        <w:t xml:space="preserve">technology </w:t>
      </w:r>
      <w:proofErr w:type="spellStart"/>
      <w:r>
        <w:rPr>
          <w:i/>
        </w:rPr>
        <w:t>assessment</w:t>
      </w:r>
      <w:proofErr w:type="spellEnd"/>
      <w:r>
        <w:t xml:space="preserve">) s důrazem na technologické oblasti relevantní pro implementaci RIS3. Vedle expertního posouzení rizik a dopadů nových technologií bude v souladu s principy odpovědného výzkumu a inovací ve větší míře konzultována také veřejnost. Výstupy přispějí k většímu zohlednění společenských aspektů aktivit </w:t>
      </w:r>
      <w:proofErr w:type="spellStart"/>
      <w:r>
        <w:t>VaVaI</w:t>
      </w:r>
      <w:proofErr w:type="spellEnd"/>
      <w:r>
        <w:t xml:space="preserve"> a potenciálních (pozitivních i negativních) dopadů jejich výsledků na společnost. Současně tyto aktivity přispějí rovněž ke strategickému zacílení technologicky orientovaných politiky a opatření na témata s vysokou společenskou relevancí.</w:t>
      </w:r>
    </w:p>
    <w:p w14:paraId="54FCB7CF" w14:textId="77777777" w:rsidR="00104BDD" w:rsidRDefault="00104BDD">
      <w:pPr>
        <w:spacing w:after="0" w:line="240" w:lineRule="auto"/>
        <w:jc w:val="both"/>
      </w:pPr>
    </w:p>
    <w:p w14:paraId="7E2469C5" w14:textId="77777777" w:rsidR="00104BDD" w:rsidRDefault="00BD5DD5">
      <w:pPr>
        <w:spacing w:line="240" w:lineRule="auto"/>
        <w:jc w:val="both"/>
      </w:pPr>
      <w:r>
        <w:t xml:space="preserve">Při posuzování dopadů </w:t>
      </w:r>
      <w:proofErr w:type="spellStart"/>
      <w:r>
        <w:t>VaVaI</w:t>
      </w:r>
      <w:proofErr w:type="spellEnd"/>
      <w:r>
        <w:t xml:space="preserve"> a nových technologií na společnost budou využívány klasické (expertní) i modernější (participativní) metody </w:t>
      </w:r>
      <w:r>
        <w:rPr>
          <w:i/>
        </w:rPr>
        <w:t xml:space="preserve">technology </w:t>
      </w:r>
      <w:proofErr w:type="spellStart"/>
      <w:r>
        <w:rPr>
          <w:i/>
        </w:rPr>
        <w:t>assessment</w:t>
      </w:r>
      <w:proofErr w:type="spellEnd"/>
      <w:r>
        <w:t xml:space="preserve"> (občanská konzultace, interdisciplinární expertní skupiny, kulaté stoly, analýza životního cyklu, víceúrovňová rámcová analýza, kognitivní mapování, kvalitativní hodnocení rizik apod.). Tyto přístupy velmi usnadní dosažení konsenzu klíčových aktérů a odborné i širší veřejnosti o zásadních společenských obavách a potřebách, dotýkajících se vědecko-technologických otázek, kterými mohou být např. klimatické změny, demografické změny, resp. stárnutí populace, udržitelná energetika či doprava, bezpečnost potravin apod.</w:t>
      </w:r>
    </w:p>
    <w:p w14:paraId="55FAA825" w14:textId="77777777" w:rsidR="00104BDD" w:rsidRDefault="00BD5DD5">
      <w:pPr>
        <w:pStyle w:val="Nadpis3"/>
        <w:spacing w:before="240" w:after="240" w:line="240" w:lineRule="auto"/>
        <w:jc w:val="both"/>
      </w:pPr>
      <w:bookmarkStart w:id="47" w:name="_Toc67906081"/>
      <w:r>
        <w:t xml:space="preserve">Okruh aktivit 5.1 – Podpora odpovědného </w:t>
      </w:r>
      <w:proofErr w:type="spellStart"/>
      <w:r>
        <w:t>VaVaI</w:t>
      </w:r>
      <w:bookmarkEnd w:id="47"/>
      <w:proofErr w:type="spellEnd"/>
    </w:p>
    <w:p w14:paraId="0C117DC5" w14:textId="77777777" w:rsidR="00104BDD" w:rsidRDefault="00BD5DD5">
      <w:pPr>
        <w:spacing w:line="240" w:lineRule="auto"/>
        <w:jc w:val="both"/>
      </w:pPr>
      <w:r>
        <w:t xml:space="preserve">První oblast aktivit modulu má za cíl podpořit kvalifikované rozhodování v oblasti technologicky orientovaných politik v souladu s principy odpovědného </w:t>
      </w:r>
      <w:proofErr w:type="spellStart"/>
      <w:r>
        <w:t>VaVaI</w:t>
      </w:r>
      <w:proofErr w:type="spellEnd"/>
      <w:r>
        <w:t xml:space="preserve">. Pro kvalifikované rozhodování bude využito komplexního vyhodnocení nových technologií a jejich dopadů na společnost, a to zejména v kontextu celospolečenských potřeb. V souladu s požadavky na společensky odpovědnou implementaci Národní RIS3 bude kladen důraz na technologické oblasti identifikované v procesu tvorby a implementace této strategie. Cílem procesu hodnocení </w:t>
      </w:r>
      <w:r>
        <w:lastRenderedPageBreak/>
        <w:t>dopadů nových technologií na společnost bude vytvoření expertních stanovisek pro strategické řízení nových technologií na různých hierarchických úrovních, které tak bude eliminovat potenciální budoucí společenské konflikty a zároveň posilovat spolupráci a komunikaci mezi výzkumnou sférou, veřejnou správou a širokou veřejností. Výsledky budou využívány především při návrhu opatření pro implementaci Národní RIS3 a souvisejících technologicky orientovaných politik.</w:t>
      </w:r>
    </w:p>
    <w:p w14:paraId="16129861" w14:textId="77777777" w:rsidR="00104BDD" w:rsidRDefault="00BD5DD5">
      <w:pPr>
        <w:pStyle w:val="Nadpis3"/>
        <w:spacing w:before="240" w:after="240" w:line="240" w:lineRule="auto"/>
        <w:jc w:val="both"/>
      </w:pPr>
      <w:bookmarkStart w:id="48" w:name="_Toc67906082"/>
      <w:r>
        <w:t>Okruh aktivit 5.2 – Technologie pro udržitelný rozvoj</w:t>
      </w:r>
      <w:bookmarkEnd w:id="48"/>
    </w:p>
    <w:p w14:paraId="4BB87EAF" w14:textId="77777777" w:rsidR="005F4C43" w:rsidRDefault="00BD5DD5" w:rsidP="004663F1">
      <w:pPr>
        <w:widowControl w:val="0"/>
        <w:autoSpaceDE w:val="0"/>
        <w:autoSpaceDN w:val="0"/>
        <w:adjustRightInd w:val="0"/>
        <w:spacing w:line="240" w:lineRule="auto"/>
        <w:jc w:val="both"/>
        <w:rPr>
          <w:i/>
        </w:rPr>
      </w:pPr>
      <w:r>
        <w:t xml:space="preserve">Aktivity v tomto okruhu se budou soustředit na posuzování nových technologií z hlediska jejich přínosů a potenciálních rizik pro udržitelný rozvoj. </w:t>
      </w:r>
    </w:p>
    <w:p w14:paraId="626C8259" w14:textId="347A47CF" w:rsidR="00104BDD" w:rsidRDefault="005F4C43" w:rsidP="00531CD6">
      <w:pPr>
        <w:widowControl w:val="0"/>
        <w:autoSpaceDE w:val="0"/>
        <w:autoSpaceDN w:val="0"/>
        <w:adjustRightInd w:val="0"/>
        <w:spacing w:line="240" w:lineRule="auto"/>
        <w:jc w:val="both"/>
      </w:pPr>
      <w:r w:rsidRPr="005F4C43">
        <w:t xml:space="preserve">Ve vazbě na Cíle udržitelného rozvoje OSN a z nich vyplývající potřeby uživatelů budou vyhodnocovány dopady </w:t>
      </w:r>
      <w:r w:rsidRPr="005F4C43">
        <w:rPr>
          <w:b/>
        </w:rPr>
        <w:t>a příležitosti</w:t>
      </w:r>
      <w:r w:rsidRPr="005F4C43">
        <w:t xml:space="preserve"> nových technologií </w:t>
      </w:r>
      <w:r w:rsidRPr="005F4C43">
        <w:rPr>
          <w:b/>
        </w:rPr>
        <w:t>z hlediska vývoje</w:t>
      </w:r>
      <w:r w:rsidRPr="005F4C43">
        <w:t xml:space="preserve"> v oblastech týkajících se např. změn klimatu, životního prostředí, cirkulární ekonomiky, udržitelné energetiky, bezpečnosti potravin apod</w:t>
      </w:r>
      <w:r>
        <w:rPr>
          <w:i/>
        </w:rPr>
        <w:t xml:space="preserve">. </w:t>
      </w:r>
      <w:r w:rsidR="00BD5DD5">
        <w:t>Výstupy následně umožní posoudit pozitivní i negativní vlivy nových technologií na vývoj v klíčových oblastech dlouhodobě udržitelného rozvoje společnosti.</w:t>
      </w:r>
    </w:p>
    <w:p w14:paraId="77D18A9D" w14:textId="77777777" w:rsidR="00104BDD" w:rsidRDefault="00BD5DD5">
      <w:pPr>
        <w:pStyle w:val="Nadpis2"/>
      </w:pPr>
      <w:r>
        <w:t xml:space="preserve"> </w:t>
      </w:r>
      <w:bookmarkStart w:id="49" w:name="_Toc67906083"/>
      <w:r>
        <w:t xml:space="preserve">Modul 6 – Odborná komunita pro politiku </w:t>
      </w:r>
      <w:proofErr w:type="spellStart"/>
      <w:r>
        <w:t>VaVaI</w:t>
      </w:r>
      <w:bookmarkEnd w:id="49"/>
      <w:proofErr w:type="spellEnd"/>
    </w:p>
    <w:p w14:paraId="3CBF93A9" w14:textId="1C572E26" w:rsidR="00104BDD" w:rsidRDefault="00BD5DD5">
      <w:pPr>
        <w:spacing w:line="240" w:lineRule="auto"/>
        <w:jc w:val="both"/>
      </w:pPr>
      <w:r>
        <w:t xml:space="preserve">Vytvoření otevřené komunity pro odbornou diskusi aktuálních témat souvisejících s rozvojem výzkumného a inovačního systému je důležitým předpokladem reflexe různých názorů a stanovisek při poskytování strategické inteligence pro tvorbu a implementaci politiky </w:t>
      </w:r>
      <w:proofErr w:type="spellStart"/>
      <w:r>
        <w:t>VaVaI</w:t>
      </w:r>
      <w:proofErr w:type="spellEnd"/>
      <w:r>
        <w:t xml:space="preserve"> na různých úrovních. Projekt sdílených činností je přirozeným nástrojem pro ukotvení odborné komunity pro diskusi relevantních témat výzkumné a inovační politiky a pro realizaci aktivit, které budou napomáhat sdílení znalostí mezi jednotlivými aktéry v systému </w:t>
      </w:r>
      <w:proofErr w:type="spellStart"/>
      <w:r>
        <w:t>VaVaI</w:t>
      </w:r>
      <w:proofErr w:type="spellEnd"/>
      <w:r>
        <w:t xml:space="preserve"> a otevřené diskuzi mezi nimi. Součástí těchto aktivit tedy budou odborné konference, semináře a tematické workshopy, dále odborné stáže pracovníků veřejné správy na analytických pracovištích nebo vydávání odborného periodika o analýzách a trendech ve </w:t>
      </w:r>
      <w:proofErr w:type="spellStart"/>
      <w:r>
        <w:t>VaVaI</w:t>
      </w:r>
      <w:proofErr w:type="spellEnd"/>
      <w:r>
        <w:t xml:space="preserve"> a správa odborného portálu pro politiku </w:t>
      </w:r>
      <w:proofErr w:type="spellStart"/>
      <w:r>
        <w:t>VaVaI</w:t>
      </w:r>
      <w:proofErr w:type="spellEnd"/>
      <w:r w:rsidR="00F040E4" w:rsidRPr="00F040E4">
        <w:rPr>
          <w:b/>
        </w:rPr>
        <w:t xml:space="preserve"> </w:t>
      </w:r>
      <w:r w:rsidR="00F040E4" w:rsidRPr="00593D2E">
        <w:t>v oblastech</w:t>
      </w:r>
      <w:r w:rsidR="00F040E4">
        <w:rPr>
          <w:b/>
        </w:rPr>
        <w:t xml:space="preserve"> </w:t>
      </w:r>
      <w:r w:rsidR="002915A8">
        <w:t xml:space="preserve">internacionalizace </w:t>
      </w:r>
      <w:proofErr w:type="spellStart"/>
      <w:r w:rsidR="002915A8">
        <w:t>VaVaI</w:t>
      </w:r>
      <w:proofErr w:type="spellEnd"/>
      <w:r w:rsidR="002915A8">
        <w:t>, rozvoje velkých výzkumných infrastruktur, rozvoje lidských zdrojů, výzkumné, inovační a technologické specializace ČR, rozvoje lidských zdrojů a kapacit pro výzkum a inovace, otázek genderu a</w:t>
      </w:r>
      <w:r w:rsidR="004F03A3">
        <w:t> </w:t>
      </w:r>
      <w:r w:rsidR="002915A8">
        <w:t>podmínek pro uplatnění žen ve vědě</w:t>
      </w:r>
      <w:r w:rsidR="002915A8" w:rsidRPr="00593D2E">
        <w:t xml:space="preserve">, </w:t>
      </w:r>
      <w:r w:rsidR="00F040E4" w:rsidRPr="00593D2E">
        <w:t>uvedených v kapitole 1.2</w:t>
      </w:r>
      <w:r>
        <w:t xml:space="preserve">. </w:t>
      </w:r>
    </w:p>
    <w:p w14:paraId="1C908028" w14:textId="77777777" w:rsidR="00104BDD" w:rsidRDefault="00BD5DD5">
      <w:pPr>
        <w:pStyle w:val="Nadpis3"/>
        <w:spacing w:before="240" w:after="240" w:line="240" w:lineRule="auto"/>
        <w:jc w:val="both"/>
      </w:pPr>
      <w:bookmarkStart w:id="50" w:name="_Toc67906084"/>
      <w:r>
        <w:t>Okruh aktivit 6.1 – Odborné semináře a workshopy</w:t>
      </w:r>
      <w:bookmarkEnd w:id="50"/>
    </w:p>
    <w:p w14:paraId="6E913620" w14:textId="77777777" w:rsidR="00104BDD" w:rsidRDefault="00BD5DD5">
      <w:pPr>
        <w:spacing w:line="240" w:lineRule="auto"/>
        <w:jc w:val="both"/>
      </w:pPr>
      <w:r>
        <w:t xml:space="preserve">Projekt sdílených činností vytvoří platformu pro sdílení zkušeností z akademických pracovišť a analytických / odborných pracovišť státní správy o metodách, přístupech a výsledcích analýz a evaluací v oblastech </w:t>
      </w:r>
      <w:proofErr w:type="spellStart"/>
      <w:r>
        <w:t>VaVaI</w:t>
      </w:r>
      <w:proofErr w:type="spellEnd"/>
      <w:r>
        <w:t xml:space="preserve">. Součástí této platformy bude organizace pravidelných seminářů a workshopů; jejich prostřednictvím budou prezentovány, resp. diskutovány výsledky výzkumu realizovaného v relevantních oblastech politiky </w:t>
      </w:r>
      <w:proofErr w:type="spellStart"/>
      <w:r>
        <w:t>VaVaI</w:t>
      </w:r>
      <w:proofErr w:type="spellEnd"/>
      <w:r>
        <w:t>, jakož i aplikovaných analýz.</w:t>
      </w:r>
    </w:p>
    <w:p w14:paraId="53D66149" w14:textId="77777777" w:rsidR="00104BDD" w:rsidRDefault="00BD5DD5">
      <w:pPr>
        <w:pStyle w:val="Nadpis3"/>
        <w:spacing w:before="240" w:after="240" w:line="240" w:lineRule="auto"/>
        <w:jc w:val="both"/>
      </w:pPr>
      <w:bookmarkStart w:id="51" w:name="_Toc67906085"/>
      <w:r>
        <w:t>Okruh aktivit 6.2 – Krátkodobé stáže pracovníků veřejné správy</w:t>
      </w:r>
      <w:bookmarkEnd w:id="51"/>
    </w:p>
    <w:p w14:paraId="65D9476A" w14:textId="5221A29F" w:rsidR="000C05E6" w:rsidRPr="004663F1" w:rsidRDefault="00BD5DD5" w:rsidP="000C05E6">
      <w:pPr>
        <w:spacing w:before="120" w:after="120" w:line="240" w:lineRule="auto"/>
        <w:jc w:val="both"/>
        <w:rPr>
          <w:highlight w:val="yellow"/>
        </w:rPr>
      </w:pPr>
      <w:r w:rsidRPr="002B1791">
        <w:t>Projekt sdílených činností umožní krátkodobé stáže</w:t>
      </w:r>
      <w:r w:rsidR="00176996" w:rsidRPr="002B1791">
        <w:t xml:space="preserve"> (1 – 2 týdenní) </w:t>
      </w:r>
      <w:proofErr w:type="spellStart"/>
      <w:r w:rsidRPr="002B1791">
        <w:t>seniorních</w:t>
      </w:r>
      <w:proofErr w:type="spellEnd"/>
      <w:r w:rsidRPr="002B1791">
        <w:t xml:space="preserve"> pracovníků veřejné správy</w:t>
      </w:r>
      <w:r w:rsidR="00176996" w:rsidRPr="002B1791">
        <w:t xml:space="preserve"> ČR</w:t>
      </w:r>
      <w:r w:rsidRPr="002B1791">
        <w:t xml:space="preserve"> na odborných analytických pracovištích </w:t>
      </w:r>
      <w:r w:rsidR="00176996" w:rsidRPr="004663F1">
        <w:t xml:space="preserve">příjemce a dalších účastníků projektu </w:t>
      </w:r>
      <w:r w:rsidRPr="002B1791">
        <w:t xml:space="preserve">(např. </w:t>
      </w:r>
      <w:proofErr w:type="spellStart"/>
      <w:r w:rsidRPr="002B1791">
        <w:rPr>
          <w:i/>
        </w:rPr>
        <w:t>Policy</w:t>
      </w:r>
      <w:proofErr w:type="spellEnd"/>
      <w:r w:rsidRPr="002B1791">
        <w:rPr>
          <w:i/>
        </w:rPr>
        <w:t xml:space="preserve"> </w:t>
      </w:r>
      <w:proofErr w:type="spellStart"/>
      <w:r w:rsidRPr="002B1791">
        <w:rPr>
          <w:i/>
        </w:rPr>
        <w:t>Fellowships</w:t>
      </w:r>
      <w:proofErr w:type="spellEnd"/>
      <w:r w:rsidRPr="002B1791">
        <w:rPr>
          <w:i/>
        </w:rPr>
        <w:t xml:space="preserve"> </w:t>
      </w:r>
      <w:proofErr w:type="spellStart"/>
      <w:r w:rsidRPr="002B1791">
        <w:rPr>
          <w:i/>
        </w:rPr>
        <w:t>Programme</w:t>
      </w:r>
      <w:proofErr w:type="spellEnd"/>
      <w:r w:rsidRPr="002B1791">
        <w:t xml:space="preserve">). </w:t>
      </w:r>
      <w:r w:rsidR="000C05E6" w:rsidRPr="004663F1">
        <w:t xml:space="preserve">Tyto stáže napomohou na jedné straně lepšímu porozumění zástupců veřejné správy analýzám a procesu tvorby odborných podkladů v oblasti </w:t>
      </w:r>
      <w:proofErr w:type="spellStart"/>
      <w:r w:rsidR="000C05E6" w:rsidRPr="004663F1">
        <w:t>VaVaI</w:t>
      </w:r>
      <w:proofErr w:type="spellEnd"/>
      <w:r w:rsidR="000C05E6" w:rsidRPr="004663F1">
        <w:t xml:space="preserve"> a na straně druhé, lepšímu porozumění analytiků, jaké jsou potřeby tvůrců politik </w:t>
      </w:r>
      <w:proofErr w:type="spellStart"/>
      <w:r w:rsidR="000C05E6" w:rsidRPr="004663F1">
        <w:t>VaVaI</w:t>
      </w:r>
      <w:proofErr w:type="spellEnd"/>
      <w:r w:rsidR="000C05E6" w:rsidRPr="004663F1">
        <w:t>.“</w:t>
      </w:r>
    </w:p>
    <w:p w14:paraId="7322E0A9" w14:textId="77777777" w:rsidR="00104BDD" w:rsidRDefault="00BD5DD5">
      <w:pPr>
        <w:pStyle w:val="Nadpis3"/>
        <w:spacing w:before="240" w:after="240" w:line="240" w:lineRule="auto"/>
        <w:jc w:val="both"/>
      </w:pPr>
      <w:bookmarkStart w:id="52" w:name="_Toc67906086"/>
      <w:r>
        <w:lastRenderedPageBreak/>
        <w:t>Okruh aktivit 6.3 – Vydávání periodika Ergo</w:t>
      </w:r>
      <w:bookmarkEnd w:id="52"/>
    </w:p>
    <w:p w14:paraId="1C119F85" w14:textId="77777777" w:rsidR="00104BDD" w:rsidRDefault="00BD5DD5">
      <w:pPr>
        <w:spacing w:line="240" w:lineRule="auto"/>
        <w:jc w:val="both"/>
      </w:pPr>
      <w:r>
        <w:t xml:space="preserve">Prostředkem pro sdílení výsledků analýz bude nadále odborné recenzované periodikum Ergo, zaměřené na trendy a analýzy ve výzkumu, technologiích a inovacích. Cílovou skupinou tohoto periodika jsou tvůrci politiky </w:t>
      </w:r>
      <w:proofErr w:type="spellStart"/>
      <w:r>
        <w:t>VaVaI</w:t>
      </w:r>
      <w:proofErr w:type="spellEnd"/>
      <w:r>
        <w:t xml:space="preserve"> a odborná veřejnost. Časopis Ergo bude vycházet nejméně dvakrát ročně.</w:t>
      </w:r>
    </w:p>
    <w:p w14:paraId="6452B949" w14:textId="297D8339" w:rsidR="00104BDD" w:rsidRDefault="00BD5DD5">
      <w:pPr>
        <w:pStyle w:val="Nadpis2"/>
      </w:pPr>
      <w:r>
        <w:t xml:space="preserve"> </w:t>
      </w:r>
      <w:bookmarkStart w:id="53" w:name="_Toc67906087"/>
      <w:r>
        <w:t>Řešitel a další účastníci projektu</w:t>
      </w:r>
      <w:bookmarkEnd w:id="53"/>
    </w:p>
    <w:p w14:paraId="549B16BC" w14:textId="1EF9C3F1" w:rsidR="00104BDD" w:rsidRDefault="00BD5DD5">
      <w:pPr>
        <w:spacing w:before="120" w:after="240" w:line="240" w:lineRule="auto"/>
        <w:jc w:val="both"/>
      </w:pPr>
      <w:r>
        <w:t>Projekt sdílených činností bude realizován TC AV ČR v roli příjemce ve spolupráci s Národním vzdělávacím fondem (dále jen „NVF“), Sociologickým ústavem AV ČR, v.</w:t>
      </w:r>
      <w:r w:rsidR="00BD7B6A">
        <w:t xml:space="preserve"> </w:t>
      </w:r>
      <w:r>
        <w:t>v.</w:t>
      </w:r>
      <w:r w:rsidR="00BD7B6A">
        <w:t xml:space="preserve"> </w:t>
      </w:r>
      <w:r>
        <w:t>i. (dále jen „SOÚ AV</w:t>
      </w:r>
      <w:r w:rsidR="00F96D97">
        <w:t xml:space="preserve"> </w:t>
      </w:r>
      <w:r>
        <w:t>ČR“) a Střediskem společných činností AV ČR, v.</w:t>
      </w:r>
      <w:r w:rsidR="00BD7B6A">
        <w:t xml:space="preserve"> </w:t>
      </w:r>
      <w:r>
        <w:t>v.</w:t>
      </w:r>
      <w:r w:rsidR="00BD7B6A">
        <w:t xml:space="preserve"> </w:t>
      </w:r>
      <w:r>
        <w:t>i. (dále jen „SSČ AV</w:t>
      </w:r>
      <w:r w:rsidR="002B1791">
        <w:t xml:space="preserve"> </w:t>
      </w:r>
      <w:r>
        <w:t>ČR“) v rolích dalších účastníků projektu.</w:t>
      </w:r>
    </w:p>
    <w:p w14:paraId="5CC415BE" w14:textId="77777777" w:rsidR="00104BDD" w:rsidRDefault="00BD5DD5">
      <w:pPr>
        <w:spacing w:after="240" w:line="240" w:lineRule="auto"/>
        <w:jc w:val="both"/>
      </w:pPr>
      <w:r>
        <w:rPr>
          <w:noProof/>
        </w:rPr>
        <w:drawing>
          <wp:anchor distT="0" distB="0" distL="252095" distR="252095" simplePos="0" relativeHeight="251656192" behindDoc="1" locked="0" layoutInCell="1" allowOverlap="1" wp14:anchorId="30B30E28" wp14:editId="6032E6CD">
            <wp:simplePos x="0" y="0"/>
            <wp:positionH relativeFrom="column">
              <wp:posOffset>-4445</wp:posOffset>
            </wp:positionH>
            <wp:positionV relativeFrom="paragraph">
              <wp:posOffset>3810</wp:posOffset>
            </wp:positionV>
            <wp:extent cx="1454150" cy="838835"/>
            <wp:effectExtent l="0" t="0" r="0" b="0"/>
            <wp:wrapTight wrapText="bothSides">
              <wp:wrapPolygon edited="0">
                <wp:start x="0" y="0"/>
                <wp:lineTo x="0" y="21093"/>
                <wp:lineTo x="21223" y="21093"/>
                <wp:lineTo x="21223" y="0"/>
                <wp:lineTo x="0"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454150" cy="838835"/>
                    </a:xfrm>
                    <a:prstGeom prst="rect">
                      <a:avLst/>
                    </a:prstGeom>
                    <a:noFill/>
                  </pic:spPr>
                </pic:pic>
              </a:graphicData>
            </a:graphic>
          </wp:anchor>
        </w:drawing>
      </w:r>
      <w:r>
        <w:rPr>
          <w:b/>
        </w:rPr>
        <w:t>TC AV ČR</w:t>
      </w:r>
      <w:r>
        <w:t xml:space="preserve"> je unikátním českým pracovištěm, jež poskytuje široké spektrum služeb pro politiku </w:t>
      </w:r>
      <w:proofErr w:type="spellStart"/>
      <w:r>
        <w:t>VaVaI</w:t>
      </w:r>
      <w:proofErr w:type="spellEnd"/>
      <w:r>
        <w:t xml:space="preserve">, rozvoj mezinárodní spolupráce v těchto oblastech, transfer technologií a taktéž rozvoj inovačního podnikání. Odborné analyticko-koncepční služby pro strategické rozhodování orgánů veřejné správy ČR v oblastech výzkumných a inovačních politik poskytuje TC AV ČR nepřetržitě od roku 2000. V průběhu let TC AV ČR prokázalo schopnost poskytovat kvalitní nezávislé informace pro tvorbu a implementaci politiky </w:t>
      </w:r>
      <w:proofErr w:type="spellStart"/>
      <w:r>
        <w:t>VaVaI</w:t>
      </w:r>
      <w:proofErr w:type="spellEnd"/>
      <w:r>
        <w:t xml:space="preserve"> na národní a regionální úrovni ČR, jakožto i mezinárodní úrovni. Příkladem z posledních let jsou mj. i souhrnné podklady pro přípravu Národních politik </w:t>
      </w:r>
      <w:proofErr w:type="spellStart"/>
      <w:r>
        <w:t>VaVaI</w:t>
      </w:r>
      <w:proofErr w:type="spellEnd"/>
      <w:r>
        <w:t xml:space="preserve"> ČR, komplexní metodicko-analyticky-organizační podpora formulace Národních priorit orientovaného </w:t>
      </w:r>
      <w:proofErr w:type="spellStart"/>
      <w:r>
        <w:t>VaVaI</w:t>
      </w:r>
      <w:proofErr w:type="spellEnd"/>
      <w:r>
        <w:t xml:space="preserve"> ČR anebo komplexní vyhodnocení překážek účasti „nových“ členských států EU v rámcových programech EU vypracované pro Evropský parlament. TC AV ČR je vysoce specializovaným pracovištěm, které systematicky rozvíjí nové přístupy pro </w:t>
      </w:r>
      <w:proofErr w:type="spellStart"/>
      <w:r>
        <w:rPr>
          <w:i/>
        </w:rPr>
        <w:t>foresight</w:t>
      </w:r>
      <w:proofErr w:type="spellEnd"/>
      <w:r>
        <w:t xml:space="preserve"> a </w:t>
      </w:r>
      <w:r>
        <w:rPr>
          <w:i/>
        </w:rPr>
        <w:t xml:space="preserve">technology </w:t>
      </w:r>
      <w:proofErr w:type="spellStart"/>
      <w:r>
        <w:rPr>
          <w:i/>
        </w:rPr>
        <w:t>assessment</w:t>
      </w:r>
      <w:proofErr w:type="spellEnd"/>
      <w:r>
        <w:t xml:space="preserve"> v rámci politiky </w:t>
      </w:r>
      <w:proofErr w:type="spellStart"/>
      <w:r>
        <w:t>VaVaI</w:t>
      </w:r>
      <w:proofErr w:type="spellEnd"/>
      <w:r>
        <w:t xml:space="preserve">. Taktéž díky tomu se stalo TC AV ČR vysoce respektovaným a zároveň i vyhledávaným partnerem pro zahraniční spolupráci v oblastech socioekonomických souvislostí technologického rozvoje a politiky </w:t>
      </w:r>
      <w:proofErr w:type="spellStart"/>
      <w:r>
        <w:t>VaVaI</w:t>
      </w:r>
      <w:proofErr w:type="spellEnd"/>
      <w:r>
        <w:t>.</w:t>
      </w:r>
    </w:p>
    <w:p w14:paraId="698305FE" w14:textId="77777777" w:rsidR="00104BDD" w:rsidRDefault="00104BDD">
      <w:pPr>
        <w:spacing w:after="0" w:line="240" w:lineRule="auto"/>
        <w:jc w:val="both"/>
      </w:pPr>
    </w:p>
    <w:p w14:paraId="6289D7A9" w14:textId="5F4C9D12" w:rsidR="00104BDD" w:rsidRDefault="00BD5DD5">
      <w:pPr>
        <w:spacing w:after="240" w:line="240" w:lineRule="auto"/>
        <w:jc w:val="both"/>
      </w:pPr>
      <w:r>
        <w:rPr>
          <w:noProof/>
        </w:rPr>
        <w:drawing>
          <wp:anchor distT="0" distB="36195" distL="252095" distR="252095" simplePos="0" relativeHeight="251657216" behindDoc="0" locked="0" layoutInCell="1" allowOverlap="1" wp14:anchorId="1BCD313F" wp14:editId="29E71182">
            <wp:simplePos x="0" y="0"/>
            <wp:positionH relativeFrom="column">
              <wp:posOffset>-4445</wp:posOffset>
            </wp:positionH>
            <wp:positionV relativeFrom="paragraph">
              <wp:posOffset>0</wp:posOffset>
            </wp:positionV>
            <wp:extent cx="1353820" cy="914400"/>
            <wp:effectExtent l="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353820" cy="914400"/>
                    </a:xfrm>
                    <a:prstGeom prst="rect">
                      <a:avLst/>
                    </a:prstGeom>
                    <a:noFill/>
                  </pic:spPr>
                </pic:pic>
              </a:graphicData>
            </a:graphic>
          </wp:anchor>
        </w:drawing>
      </w:r>
      <w:r>
        <w:t xml:space="preserve">Národní kontaktní centrum – gender a věda (NKC), jakožto součást </w:t>
      </w:r>
      <w:r>
        <w:rPr>
          <w:b/>
        </w:rPr>
        <w:t>SOÚ AV</w:t>
      </w:r>
      <w:r w:rsidR="00F96D97">
        <w:rPr>
          <w:b/>
        </w:rPr>
        <w:t xml:space="preserve"> </w:t>
      </w:r>
      <w:r>
        <w:rPr>
          <w:b/>
        </w:rPr>
        <w:t>ČR</w:t>
      </w:r>
      <w:r>
        <w:t xml:space="preserve">, je unikátním specializovaným pracovištěm zaměřeným na problematiku genderových otázek ve </w:t>
      </w:r>
      <w:proofErr w:type="spellStart"/>
      <w:r>
        <w:t>VaVaI</w:t>
      </w:r>
      <w:proofErr w:type="spellEnd"/>
      <w:r>
        <w:t xml:space="preserve"> v ČR a v regionu střední a východní Evropy. V této oblasti NKC realizuje evropské a národní studie, jež slouží jako podklad pro zpracovávání expertíz a návrhů opatření pro státní správu, i jako návrh pro institucionální řešení na straně výzkumných organizací v ČR. Výzkum NKC se zaměřuje zejména na evaluaci politik genderové rovnosti na úrovni EU a v ČR, dále na monitoring a evaluaci implementace plánů genderové rovnosti ve výzkumných institucích ČR, jakož i</w:t>
      </w:r>
      <w:r w:rsidR="002B1791">
        <w:t> </w:t>
      </w:r>
      <w:r>
        <w:t>u</w:t>
      </w:r>
      <w:r w:rsidR="002B1791">
        <w:t> </w:t>
      </w:r>
      <w:r>
        <w:t xml:space="preserve">poskytovatelů, zpracovávání statistických analýz vývoje zastoupení žen a mužů ve </w:t>
      </w:r>
      <w:proofErr w:type="spellStart"/>
      <w:r>
        <w:t>VaVaI</w:t>
      </w:r>
      <w:proofErr w:type="spellEnd"/>
      <w:r>
        <w:t xml:space="preserve">, výzkum v oblasti transformace systému </w:t>
      </w:r>
      <w:proofErr w:type="spellStart"/>
      <w:r>
        <w:t>VaVaI</w:t>
      </w:r>
      <w:proofErr w:type="spellEnd"/>
      <w:r>
        <w:t>, hodnocení vědecké práce z hlediska genderu, dále na hodnocení vědeckých kariér, akademické mobility, kombinace práce a rodiny a</w:t>
      </w:r>
      <w:r w:rsidR="002B1791">
        <w:t> </w:t>
      </w:r>
      <w:r>
        <w:t xml:space="preserve">uplatnění absolventů doktorského studia v oblastech </w:t>
      </w:r>
      <w:proofErr w:type="spellStart"/>
      <w:r>
        <w:t>VaVaI</w:t>
      </w:r>
      <w:proofErr w:type="spellEnd"/>
      <w:r>
        <w:t xml:space="preserve"> a na trhu práce, a v neposlední řadě také na </w:t>
      </w:r>
      <w:proofErr w:type="spellStart"/>
      <w:r>
        <w:t>genderově</w:t>
      </w:r>
      <w:proofErr w:type="spellEnd"/>
      <w:r>
        <w:t xml:space="preserve"> podmíněné násilí v akademickém prostředí.</w:t>
      </w:r>
    </w:p>
    <w:p w14:paraId="5D2347EF" w14:textId="77777777" w:rsidR="00104BDD" w:rsidRDefault="00B73D47">
      <w:pPr>
        <w:spacing w:after="0" w:line="240" w:lineRule="auto"/>
        <w:jc w:val="both"/>
        <w:rPr>
          <w:b/>
        </w:rPr>
      </w:pPr>
      <w:r>
        <w:object w:dxaOrig="1440" w:dyaOrig="1440" w14:anchorId="209776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National Training Found" style="position:absolute;left:0;text-align:left;margin-left:-4.3pt;margin-top:18.45pt;width:124.7pt;height:80.8pt;z-index:-251657216;mso-wrap-distance-left:2.85pt;mso-wrap-distance-right:2.85pt;mso-width-relative:page;mso-height-relative:page" wrapcoords="-116 179 -116 21243 21600 21243 21600 179 -116 179">
            <v:imagedata r:id="rId11" o:title=""/>
            <w10:wrap type="tight"/>
          </v:shape>
          <o:OLEObject Type="Embed" ProgID="CorelDRAW.Graphic.9" ShapeID="_x0000_s1029" DrawAspect="Content" ObjectID="_1678717227" r:id="rId12"/>
        </w:object>
      </w:r>
    </w:p>
    <w:p w14:paraId="2D8B77FD" w14:textId="77777777" w:rsidR="00104BDD" w:rsidRDefault="00BD5DD5">
      <w:pPr>
        <w:spacing w:after="240" w:line="240" w:lineRule="auto"/>
        <w:jc w:val="both"/>
      </w:pPr>
      <w:r>
        <w:rPr>
          <w:b/>
        </w:rPr>
        <w:t>NVF</w:t>
      </w:r>
      <w:r>
        <w:t xml:space="preserve"> se dlouhodobě zabývá analýzami trhu práce a vzdělávání v jejich vzájemných souvislostech. V</w:t>
      </w:r>
      <w:r>
        <w:rPr>
          <w:bCs/>
          <w:iCs/>
        </w:rPr>
        <w:t xml:space="preserve">yužívá pro to široké spektrum kvantitativních a kvalitativních analytických metod, realizuje vlastní dotazníková šetření, resp. </w:t>
      </w:r>
      <w:proofErr w:type="spellStart"/>
      <w:r>
        <w:rPr>
          <w:bCs/>
          <w:iCs/>
        </w:rPr>
        <w:t>polostrukturované</w:t>
      </w:r>
      <w:proofErr w:type="spellEnd"/>
      <w:r>
        <w:rPr>
          <w:bCs/>
          <w:iCs/>
        </w:rPr>
        <w:t xml:space="preserve"> rozhovory a </w:t>
      </w:r>
      <w:proofErr w:type="spellStart"/>
      <w:r>
        <w:rPr>
          <w:bCs/>
          <w:iCs/>
        </w:rPr>
        <w:t>fokusní</w:t>
      </w:r>
      <w:proofErr w:type="spellEnd"/>
      <w:r>
        <w:rPr>
          <w:bCs/>
          <w:iCs/>
        </w:rPr>
        <w:t xml:space="preserve"> skupiny. </w:t>
      </w:r>
      <w:r>
        <w:t xml:space="preserve">Jakožto nedílná součást Centra excelence pro výzkum konkurenceschopnosti ČR zpracoval NVF mj. také analýzy přípravy lidských zdrojů pro </w:t>
      </w:r>
      <w:proofErr w:type="spellStart"/>
      <w:r>
        <w:t>VaVaI</w:t>
      </w:r>
      <w:proofErr w:type="spellEnd"/>
      <w:r>
        <w:t xml:space="preserve">, byl zapojen do vyhodnocování politik </w:t>
      </w:r>
      <w:proofErr w:type="spellStart"/>
      <w:r>
        <w:lastRenderedPageBreak/>
        <w:t>VaVaI</w:t>
      </w:r>
      <w:proofErr w:type="spellEnd"/>
      <w:r>
        <w:t xml:space="preserve"> ČR, resp. do aktualizací národních dokumentů ČR v této oblasti; podílel se rovněž na projektu </w:t>
      </w:r>
      <w:r>
        <w:rPr>
          <w:bCs/>
          <w:iCs/>
        </w:rPr>
        <w:t xml:space="preserve">INKA 2014+ (ve spolupráci s Technologickou agenturou ČR), zaměřeného na analýzu a vyhodnocování inovační kapacity ČR, a na mapování vertikálních domén specializace RIS3 strategie Středočeského kraje. Analyzoval připravenost </w:t>
      </w:r>
      <w:r>
        <w:t>podnikového prostředí a vzdělávacích institucí na nové technologické trendy v Ústeckém kraji. Účastnil se taktéž příprav národních strategických dokumentů, a to Strategie rozvoje lidských zdrojů a Strategie celoživotního učení, zpracoval materiál Iniciativa Práce 4.0 a podílel se i na přípravě materiálu Iniciativa Průmysl 4.0. Podrobněji se zabýval analýzou doktorských studijních programů na některých vysokých školách ČR, zejména na Univerzitě Karlově. NVF p</w:t>
      </w:r>
      <w:r>
        <w:rPr>
          <w:bCs/>
          <w:iCs/>
        </w:rPr>
        <w:t xml:space="preserve">ůsobí jakožto </w:t>
      </w:r>
      <w:r>
        <w:t xml:space="preserve">expertní konzultant za ČR při zpracovávání prognóz kvalifikačních potřeb v projektu </w:t>
      </w:r>
      <w:r>
        <w:rPr>
          <w:i/>
        </w:rPr>
        <w:t>Real-</w:t>
      </w:r>
      <w:proofErr w:type="spellStart"/>
      <w:r>
        <w:rPr>
          <w:i/>
        </w:rPr>
        <w:t>Time</w:t>
      </w:r>
      <w:proofErr w:type="spellEnd"/>
      <w:r>
        <w:rPr>
          <w:i/>
        </w:rPr>
        <w:t xml:space="preserve"> </w:t>
      </w:r>
      <w:proofErr w:type="spellStart"/>
      <w:r>
        <w:rPr>
          <w:i/>
        </w:rPr>
        <w:t>Labour</w:t>
      </w:r>
      <w:proofErr w:type="spellEnd"/>
      <w:r>
        <w:rPr>
          <w:i/>
        </w:rPr>
        <w:t xml:space="preserve"> Market </w:t>
      </w:r>
      <w:proofErr w:type="spellStart"/>
      <w:r>
        <w:rPr>
          <w:i/>
        </w:rPr>
        <w:t>Information</w:t>
      </w:r>
      <w:proofErr w:type="spellEnd"/>
      <w:r>
        <w:rPr>
          <w:i/>
        </w:rPr>
        <w:t xml:space="preserve"> on </w:t>
      </w:r>
      <w:proofErr w:type="spellStart"/>
      <w:r>
        <w:rPr>
          <w:i/>
        </w:rPr>
        <w:t>Skill</w:t>
      </w:r>
      <w:proofErr w:type="spellEnd"/>
      <w:r>
        <w:rPr>
          <w:i/>
        </w:rPr>
        <w:t xml:space="preserve"> </w:t>
      </w:r>
      <w:proofErr w:type="spellStart"/>
      <w:r>
        <w:rPr>
          <w:i/>
        </w:rPr>
        <w:t>Requirements</w:t>
      </w:r>
      <w:proofErr w:type="spellEnd"/>
      <w:r>
        <w:rPr>
          <w:i/>
        </w:rPr>
        <w:t xml:space="preserve"> (</w:t>
      </w:r>
      <w:proofErr w:type="spellStart"/>
      <w:r>
        <w:rPr>
          <w:i/>
        </w:rPr>
        <w:t>Cedefop</w:t>
      </w:r>
      <w:proofErr w:type="spellEnd"/>
      <w:r>
        <w:rPr>
          <w:i/>
        </w:rPr>
        <w:t>)</w:t>
      </w:r>
      <w:r>
        <w:t>. V neposlední řadě je rovněž jedním z klíčových partnerů Ministerstva práce a sociálních věcí v projektu Kompas, zaměřeném na vytvoření udržitelného systému monitoringu a predikcí vývoje na trhu práce.</w:t>
      </w:r>
    </w:p>
    <w:p w14:paraId="5A86E86B" w14:textId="77777777" w:rsidR="00104BDD" w:rsidRDefault="00BD5DD5">
      <w:pPr>
        <w:spacing w:after="0" w:line="240" w:lineRule="auto"/>
        <w:jc w:val="both"/>
        <w:rPr>
          <w:b/>
        </w:rPr>
      </w:pPr>
      <w:r>
        <w:rPr>
          <w:noProof/>
        </w:rPr>
        <w:drawing>
          <wp:anchor distT="0" distB="107950" distL="252095" distR="252095" simplePos="0" relativeHeight="251658240" behindDoc="1" locked="0" layoutInCell="1" allowOverlap="1" wp14:anchorId="6DBC2AFC" wp14:editId="66CA0167">
            <wp:simplePos x="0" y="0"/>
            <wp:positionH relativeFrom="column">
              <wp:posOffset>52705</wp:posOffset>
            </wp:positionH>
            <wp:positionV relativeFrom="paragraph">
              <wp:posOffset>267335</wp:posOffset>
            </wp:positionV>
            <wp:extent cx="1295400" cy="876300"/>
            <wp:effectExtent l="0" t="0" r="0" b="0"/>
            <wp:wrapTight wrapText="bothSides">
              <wp:wrapPolygon edited="0">
                <wp:start x="8576" y="0"/>
                <wp:lineTo x="7306" y="1878"/>
                <wp:lineTo x="6988" y="7513"/>
                <wp:lineTo x="0" y="11739"/>
                <wp:lineTo x="0" y="21130"/>
                <wp:lineTo x="21282" y="21130"/>
                <wp:lineTo x="21282" y="12678"/>
                <wp:lineTo x="15882" y="7043"/>
                <wp:lineTo x="12388" y="1878"/>
                <wp:lineTo x="10800" y="0"/>
                <wp:lineTo x="8576" y="0"/>
              </wp:wrapPolygon>
            </wp:wrapTight>
            <wp:docPr id="1" name="Obrázek 1" descr="EURAX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EURAXES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295400" cy="876300"/>
                    </a:xfrm>
                    <a:prstGeom prst="rect">
                      <a:avLst/>
                    </a:prstGeom>
                    <a:noFill/>
                  </pic:spPr>
                </pic:pic>
              </a:graphicData>
            </a:graphic>
          </wp:anchor>
        </w:drawing>
      </w:r>
    </w:p>
    <w:p w14:paraId="048F43F7" w14:textId="0FBACD66" w:rsidR="00104BDD" w:rsidRDefault="00BD5DD5">
      <w:pPr>
        <w:spacing w:after="240" w:line="240" w:lineRule="auto"/>
        <w:jc w:val="both"/>
      </w:pPr>
      <w:r>
        <w:rPr>
          <w:b/>
        </w:rPr>
        <w:t>SSČ AV</w:t>
      </w:r>
      <w:r w:rsidR="00337AA6">
        <w:rPr>
          <w:b/>
        </w:rPr>
        <w:t xml:space="preserve"> </w:t>
      </w:r>
      <w:r>
        <w:rPr>
          <w:b/>
        </w:rPr>
        <w:t>ČR</w:t>
      </w:r>
      <w:r>
        <w:t>,</w:t>
      </w:r>
      <w:r>
        <w:rPr>
          <w:b/>
        </w:rPr>
        <w:t xml:space="preserve"> </w:t>
      </w:r>
      <w:r>
        <w:t xml:space="preserve">jehož činnost spočívá zejména v infrastrukturní podpoře </w:t>
      </w:r>
      <w:proofErr w:type="spellStart"/>
      <w:r>
        <w:t>VaVaI</w:t>
      </w:r>
      <w:proofErr w:type="spellEnd"/>
      <w:r>
        <w:t xml:space="preserve">, bylo MŠMT pověřeno, aby se stalo hlavním koordinátorem EURAXESS v ČR. EURAXESS ČR již 15 let představuje naprosto nepostradatelné pracoviště, na které se spoléhají všechny výzkumné organizace ČR, které se rozhodnou do pracovního poměru přijmout zahraničního pracovníka. Tým EURAXESS ČR disponuje jedinečným know-how, jež od roku 2005 neustále rozvíjí. EURAXESS ČR pracuje s každým příchozím zahraničním výzkumníkem a disponuje tak velmi rozsáhlým a unikátním souborem statistických dat, týkajících se mezinárodní mobility ve </w:t>
      </w:r>
      <w:proofErr w:type="spellStart"/>
      <w:r>
        <w:t>VaVaI</w:t>
      </w:r>
      <w:proofErr w:type="spellEnd"/>
      <w:r>
        <w:t xml:space="preserve"> v ČR. Jako člen mezinárodní sítě EURAXESS poskytuje anonymizovaná data Evropské komisi a může je porovnávat se situací v ostatních evropských zemích, k jejichž údajům má přístup, a sdílet s ostatními evropskými kancelářemi EURAXESS své zkušenosti při pravidelných mezinárodních setkáních.</w:t>
      </w:r>
    </w:p>
    <w:p w14:paraId="072F0E36" w14:textId="77777777" w:rsidR="00104BDD" w:rsidRDefault="00BD5DD5">
      <w:pPr>
        <w:pStyle w:val="Nadpis2"/>
      </w:pPr>
      <w:bookmarkStart w:id="54" w:name="_Toc40123746"/>
      <w:r>
        <w:t xml:space="preserve"> </w:t>
      </w:r>
      <w:bookmarkStart w:id="55" w:name="_Toc67906088"/>
      <w:r>
        <w:t>Časový harmonogram realizace projektu</w:t>
      </w:r>
      <w:bookmarkEnd w:id="54"/>
      <w:bookmarkEnd w:id="55"/>
    </w:p>
    <w:p w14:paraId="3340D8ED" w14:textId="2AF3201B" w:rsidR="00104BDD" w:rsidRDefault="00BD5DD5">
      <w:pPr>
        <w:spacing w:after="0" w:line="240" w:lineRule="auto"/>
        <w:jc w:val="both"/>
      </w:pPr>
      <w:r>
        <w:t xml:space="preserve">Projekt sdílených činností bude realizován </w:t>
      </w:r>
      <w:r>
        <w:rPr>
          <w:b/>
        </w:rPr>
        <w:t xml:space="preserve">ode dne 1. ledna 2021 do dne 31. prosince </w:t>
      </w:r>
      <w:r w:rsidR="00B23521">
        <w:rPr>
          <w:b/>
        </w:rPr>
        <w:t>2024</w:t>
      </w:r>
      <w:r>
        <w:t xml:space="preserve">. Způsobilost výdajů, které budou vynaloženy při implementaci projektu sdílených činností, bude odpovídat stejnému časovému rozpětí. Přípustná tak v tomto ohledu bude eventuálně také retrospektivní </w:t>
      </w:r>
      <w:r>
        <w:rPr>
          <w:b/>
        </w:rPr>
        <w:t>způsobilost výdajů</w:t>
      </w:r>
      <w:r>
        <w:t xml:space="preserve"> vynaložených v rámci projektu sdílených činností, a to ode dne 1. ledna 2021 (tj. pro případ, pokud by projekt sdílených činností nebyl vládou ČR schválen do dne 31. prosince 2020).</w:t>
      </w:r>
    </w:p>
    <w:p w14:paraId="59CED57C" w14:textId="77777777" w:rsidR="00104BDD" w:rsidRDefault="00104BDD">
      <w:pPr>
        <w:spacing w:after="0" w:line="240" w:lineRule="auto"/>
        <w:jc w:val="both"/>
      </w:pPr>
    </w:p>
    <w:p w14:paraId="6EE0EAA2" w14:textId="52083075" w:rsidR="00104BDD" w:rsidRPr="00697B98" w:rsidRDefault="00BD5DD5">
      <w:pPr>
        <w:spacing w:after="0" w:line="240" w:lineRule="auto"/>
        <w:jc w:val="both"/>
      </w:pPr>
      <w:r>
        <w:t xml:space="preserve">Harmonogram realizace programu je navržen tak, aby byla zajištěna </w:t>
      </w:r>
      <w:r>
        <w:rPr>
          <w:b/>
        </w:rPr>
        <w:t xml:space="preserve">kontinuita poskytování služeb strategické inteligence pro politiku </w:t>
      </w:r>
      <w:proofErr w:type="spellStart"/>
      <w:r>
        <w:rPr>
          <w:b/>
        </w:rPr>
        <w:t>VaVaI</w:t>
      </w:r>
      <w:proofErr w:type="spellEnd"/>
      <w:r>
        <w:rPr>
          <w:b/>
        </w:rPr>
        <w:t xml:space="preserve"> </w:t>
      </w:r>
      <w:r w:rsidR="00A51E22" w:rsidRPr="00EA77A5">
        <w:t>v oblastech</w:t>
      </w:r>
      <w:r w:rsidR="00A51E22">
        <w:rPr>
          <w:b/>
        </w:rPr>
        <w:t xml:space="preserve"> </w:t>
      </w:r>
      <w:r w:rsidR="00A51E22">
        <w:t xml:space="preserve">internacionalizace </w:t>
      </w:r>
      <w:proofErr w:type="spellStart"/>
      <w:r w:rsidR="00A51E22">
        <w:t>VaVaI</w:t>
      </w:r>
      <w:proofErr w:type="spellEnd"/>
      <w:r w:rsidR="00A51E22">
        <w:t>, rozvoje velkých výzkumných infrastruktur, rozvoje lidských zdrojů, výzkumné, inovační a</w:t>
      </w:r>
      <w:r w:rsidR="005F1B56">
        <w:t> </w:t>
      </w:r>
      <w:r w:rsidR="00A51E22">
        <w:t xml:space="preserve">technologické specializace ČR, rozvoje lidských zdrojů a kapacit pro výzkum a inovace, otázek genderu a podmínek pro uplatnění žen ve vědě, </w:t>
      </w:r>
      <w:r w:rsidR="00A51E22" w:rsidRPr="00593D2E">
        <w:t>uvedených v kapitole 1.2.</w:t>
      </w:r>
      <w:r w:rsidR="00A51E22">
        <w:t xml:space="preserve"> </w:t>
      </w:r>
      <w:r>
        <w:t xml:space="preserve">S ohledem na časový překryv implementace projektu sdílených činností a projektu </w:t>
      </w:r>
      <w:r>
        <w:rPr>
          <w:i/>
        </w:rPr>
        <w:t>Strategická informace pro mezinárodní výzkum</w:t>
      </w:r>
      <w:r>
        <w:t xml:space="preserve"> STRATIN (LTI20006) realizovaného TC AV ČR do konce roku 2021, se projekt sdílených činností zaměří v roce 2021 především na aktivity v modulech 3 a 4 </w:t>
      </w:r>
      <w:r w:rsidRPr="00697B98">
        <w:t>realizovaných dalšími účastníky projektu: NVF, SOÚ AV</w:t>
      </w:r>
      <w:r w:rsidR="00337AA6">
        <w:t xml:space="preserve"> </w:t>
      </w:r>
      <w:r w:rsidRPr="00697B98">
        <w:t>ČR a SSČ AV</w:t>
      </w:r>
      <w:r w:rsidR="00337AA6">
        <w:t xml:space="preserve"> </w:t>
      </w:r>
      <w:r w:rsidRPr="00697B98">
        <w:t xml:space="preserve">ČR v celkovém objemu 8 FTE úvazků. Vedle těchto aktivit budou v roce 2021 realizovány dílčí aktivity také v ostatních modulech projektu v celkovém objemu 1,5 FTE úvazku, jež budou komplementárně doplňovat činnosti realizované v rámci projektu STRATIN. Jedná se přitom o činnosti směřující ke konsolidaci, aktualizaci a integraci datové základny, zahájení analýzy socioekonomických přínosů a dopadů velkých výzkumných infrastruktur a vytvoření názorově diskusní platformy pro </w:t>
      </w:r>
      <w:r w:rsidR="00593D2E" w:rsidRPr="00697B98">
        <w:t xml:space="preserve">výše uvedené oblasti </w:t>
      </w:r>
      <w:r w:rsidRPr="00697B98">
        <w:t xml:space="preserve">politik </w:t>
      </w:r>
      <w:proofErr w:type="spellStart"/>
      <w:r w:rsidRPr="00697B98">
        <w:t>VaVaI</w:t>
      </w:r>
      <w:proofErr w:type="spellEnd"/>
      <w:r w:rsidRPr="00697B98">
        <w:t>.</w:t>
      </w:r>
    </w:p>
    <w:p w14:paraId="45963AF8" w14:textId="77777777" w:rsidR="00104BDD" w:rsidRPr="00697B98" w:rsidRDefault="00104BDD">
      <w:pPr>
        <w:spacing w:after="0" w:line="240" w:lineRule="auto"/>
        <w:jc w:val="both"/>
      </w:pPr>
    </w:p>
    <w:p w14:paraId="2F610826" w14:textId="7C259B52" w:rsidR="00104BDD" w:rsidRDefault="00BD5DD5">
      <w:pPr>
        <w:spacing w:line="240" w:lineRule="auto"/>
        <w:jc w:val="both"/>
      </w:pPr>
      <w:r w:rsidRPr="00697B98">
        <w:t xml:space="preserve">Od roku 2022 budou realizovány plně všechny aktivity projektu sdílených činností v celkovém objemu </w:t>
      </w:r>
      <w:r w:rsidR="00697B98">
        <w:rPr>
          <w:b/>
        </w:rPr>
        <w:t>19</w:t>
      </w:r>
      <w:r w:rsidRPr="00697B98">
        <w:rPr>
          <w:b/>
        </w:rPr>
        <w:t xml:space="preserve"> FTE úvazků v </w:t>
      </w:r>
      <w:r w:rsidR="00697B98">
        <w:rPr>
          <w:b/>
        </w:rPr>
        <w:t>letech</w:t>
      </w:r>
      <w:r w:rsidR="00697B98" w:rsidRPr="00697B98">
        <w:rPr>
          <w:b/>
        </w:rPr>
        <w:t xml:space="preserve"> </w:t>
      </w:r>
      <w:r w:rsidRPr="00697B98">
        <w:rPr>
          <w:b/>
        </w:rPr>
        <w:t>2022</w:t>
      </w:r>
      <w:r w:rsidR="00697B98">
        <w:t xml:space="preserve"> </w:t>
      </w:r>
      <w:r w:rsidR="00697B98" w:rsidRPr="00697B98">
        <w:rPr>
          <w:b/>
        </w:rPr>
        <w:t>a 2023</w:t>
      </w:r>
      <w:r w:rsidRPr="00697B98">
        <w:t xml:space="preserve"> </w:t>
      </w:r>
      <w:r w:rsidR="008F626A" w:rsidRPr="00697B98">
        <w:t>a</w:t>
      </w:r>
      <w:r w:rsidRPr="00697B98">
        <w:t xml:space="preserve"> </w:t>
      </w:r>
      <w:r w:rsidRPr="00697B98">
        <w:rPr>
          <w:b/>
        </w:rPr>
        <w:t>2</w:t>
      </w:r>
      <w:r w:rsidR="00697B98">
        <w:rPr>
          <w:b/>
        </w:rPr>
        <w:t>0</w:t>
      </w:r>
      <w:r w:rsidRPr="00697B98">
        <w:rPr>
          <w:b/>
        </w:rPr>
        <w:t xml:space="preserve"> FTE úvazků v roce 2024</w:t>
      </w:r>
      <w:r w:rsidR="008F626A" w:rsidRPr="00697B98">
        <w:rPr>
          <w:b/>
        </w:rPr>
        <w:t>.</w:t>
      </w:r>
      <w:r w:rsidRPr="00697B98">
        <w:t xml:space="preserve"> Postupný nárůst </w:t>
      </w:r>
      <w:r w:rsidRPr="00697B98">
        <w:lastRenderedPageBreak/>
        <w:t xml:space="preserve">kapacit strategické inteligence je navržen tak, aby byla personálně zabezpečena odborná analyticko-strategická podpora politiky </w:t>
      </w:r>
      <w:proofErr w:type="spellStart"/>
      <w:r w:rsidRPr="00697B98">
        <w:t>VaVaI</w:t>
      </w:r>
      <w:proofErr w:type="spellEnd"/>
      <w:r w:rsidRPr="00697B98">
        <w:t xml:space="preserve"> při</w:t>
      </w:r>
      <w:r>
        <w:t xml:space="preserve"> očekávaném nárůstu potřeb orgánů veřejné správy ČR v této oblasti souvisejícím s rostoucím významem výzkumné a inovační politiky ve strategickém směřování ČR.</w:t>
      </w:r>
    </w:p>
    <w:p w14:paraId="38825B4B" w14:textId="77777777" w:rsidR="00104BDD" w:rsidRDefault="00BD5DD5">
      <w:pPr>
        <w:pStyle w:val="Nadpis2"/>
      </w:pPr>
      <w:bookmarkStart w:id="56" w:name="_Toc40123738"/>
      <w:bookmarkStart w:id="57" w:name="_Toc67906089"/>
      <w:r>
        <w:t>Očekávané výsledky a výstupy projektu</w:t>
      </w:r>
      <w:bookmarkEnd w:id="56"/>
      <w:bookmarkEnd w:id="57"/>
    </w:p>
    <w:p w14:paraId="7BF51CA4" w14:textId="354B949D" w:rsidR="00104BDD" w:rsidRDefault="00BD5DD5">
      <w:pPr>
        <w:spacing w:after="0" w:line="240" w:lineRule="auto"/>
        <w:jc w:val="both"/>
      </w:pPr>
      <w:r>
        <w:t>Projekt zajistí kontinuální systematickou podporu veřejné správě, výzkumným organizacím a dalším subjektům v získávání strategických informací pro rozhodování ve vybraných oblastech.</w:t>
      </w:r>
    </w:p>
    <w:p w14:paraId="0558BBF7" w14:textId="77777777" w:rsidR="00104BDD" w:rsidRDefault="00104BDD">
      <w:pPr>
        <w:spacing w:after="0" w:line="240" w:lineRule="auto"/>
        <w:jc w:val="both"/>
      </w:pPr>
    </w:p>
    <w:p w14:paraId="60B6F3AE" w14:textId="1932AC4F" w:rsidR="00EE5848" w:rsidRPr="002B1791" w:rsidRDefault="00BD5DD5" w:rsidP="00EE5848">
      <w:pPr>
        <w:spacing w:after="0" w:line="240" w:lineRule="auto"/>
        <w:jc w:val="both"/>
      </w:pPr>
      <w:r>
        <w:t xml:space="preserve">Hlavním předpokládaným výstupem aktivit projektu budou </w:t>
      </w:r>
      <w:r>
        <w:rPr>
          <w:b/>
        </w:rPr>
        <w:t>expertní podkladové studie pro orgány veřejné správy a výzkumné organizace ČR</w:t>
      </w:r>
      <w:r>
        <w:t xml:space="preserve">, </w:t>
      </w:r>
      <w:r w:rsidR="00593D2E">
        <w:t xml:space="preserve">bezplatně dostupné, </w:t>
      </w:r>
      <w:r>
        <w:t>jež přispějí k</w:t>
      </w:r>
      <w:r w:rsidR="002B1791">
        <w:t> </w:t>
      </w:r>
      <w:r>
        <w:t>efektivnímu rozhodování odpovědných subjektů založenému na evidenci (</w:t>
      </w:r>
      <w:r>
        <w:rPr>
          <w:i/>
        </w:rPr>
        <w:t>evidence-</w:t>
      </w:r>
      <w:proofErr w:type="spellStart"/>
      <w:r>
        <w:rPr>
          <w:i/>
        </w:rPr>
        <w:t>based</w:t>
      </w:r>
      <w:proofErr w:type="spellEnd"/>
      <w:r>
        <w:rPr>
          <w:i/>
        </w:rPr>
        <w:t xml:space="preserve"> </w:t>
      </w:r>
      <w:proofErr w:type="spellStart"/>
      <w:r>
        <w:rPr>
          <w:i/>
        </w:rPr>
        <w:t>policy</w:t>
      </w:r>
      <w:proofErr w:type="spellEnd"/>
      <w:r>
        <w:t xml:space="preserve">). Tyto podkladové studie budou zaměřeny na oblast systémových analýz </w:t>
      </w:r>
      <w:r w:rsidR="00195401">
        <w:t xml:space="preserve">stavu </w:t>
      </w:r>
      <w:proofErr w:type="spellStart"/>
      <w:r w:rsidR="00195401">
        <w:t>VaVaI</w:t>
      </w:r>
      <w:proofErr w:type="spellEnd"/>
      <w:r w:rsidR="00195401">
        <w:t xml:space="preserve"> v zahraničí a v ČR</w:t>
      </w:r>
      <w:r>
        <w:t xml:space="preserve">, </w:t>
      </w:r>
      <w:r w:rsidR="00271BD7">
        <w:t xml:space="preserve">ex ante </w:t>
      </w:r>
      <w:r>
        <w:t xml:space="preserve">hodnocení </w:t>
      </w:r>
      <w:r w:rsidR="00195401">
        <w:t xml:space="preserve">rezortních </w:t>
      </w:r>
      <w:r>
        <w:t>programů a politik</w:t>
      </w:r>
      <w:r w:rsidR="00271BD7">
        <w:t xml:space="preserve"> a jejich socioekonomických dopadů</w:t>
      </w:r>
      <w:r>
        <w:t xml:space="preserve"> i výhledových studií (</w:t>
      </w:r>
      <w:proofErr w:type="spellStart"/>
      <w:r w:rsidRPr="002B1791">
        <w:rPr>
          <w:i/>
        </w:rPr>
        <w:t>foresightu</w:t>
      </w:r>
      <w:proofErr w:type="spellEnd"/>
      <w:r w:rsidRPr="002B1791">
        <w:t>)</w:t>
      </w:r>
      <w:r w:rsidR="00C83F55" w:rsidRPr="004663F1">
        <w:rPr>
          <w:b/>
        </w:rPr>
        <w:t xml:space="preserve"> </w:t>
      </w:r>
      <w:r w:rsidR="00C83F55" w:rsidRPr="004663F1">
        <w:t>a budou v rámci řešení projektu zpracované podle zadání kompetenčně příslušných poskytovatelů a ve spolupráci s nimi</w:t>
      </w:r>
      <w:r w:rsidRPr="002B1791">
        <w:t>.</w:t>
      </w:r>
      <w:r w:rsidR="00D84E4C" w:rsidRPr="002B1791">
        <w:t xml:space="preserve"> Konkrétními výstupy projektu reagujícími na existující potřebu veřejné správy budou:</w:t>
      </w:r>
    </w:p>
    <w:p w14:paraId="740FE56B" w14:textId="77777777" w:rsidR="00FA2DBA" w:rsidRDefault="00FA2DBA" w:rsidP="00EE5848">
      <w:pPr>
        <w:spacing w:after="0" w:line="240" w:lineRule="auto"/>
        <w:jc w:val="both"/>
      </w:pPr>
    </w:p>
    <w:p w14:paraId="4729F72E" w14:textId="50033690" w:rsidR="00FA2DBA" w:rsidRDefault="00D84E4C" w:rsidP="00FA2DBA">
      <w:pPr>
        <w:pStyle w:val="Odstavecseseznamem"/>
        <w:numPr>
          <w:ilvl w:val="0"/>
          <w:numId w:val="7"/>
        </w:numPr>
        <w:spacing w:line="240" w:lineRule="auto"/>
        <w:jc w:val="both"/>
      </w:pPr>
      <w:r w:rsidRPr="00EE5848">
        <w:rPr>
          <w:b/>
        </w:rPr>
        <w:t>Analýza socioekonomických přínosů velkých výzkumných infrastruktur v ČR.</w:t>
      </w:r>
      <w:r>
        <w:t xml:space="preserve"> Pro potřeby strategického řízení systému velkých výzkumných infrastruktur v ČR zajišťovaného MŠMT se tato analýza zaměří na posouzení </w:t>
      </w:r>
      <w:r w:rsidRPr="003D5252">
        <w:t>vědeckých, technologických, ekonomických a společenských dopadů všech stávajících a</w:t>
      </w:r>
      <w:r w:rsidR="00C65BBA">
        <w:t> </w:t>
      </w:r>
      <w:r w:rsidRPr="003D5252">
        <w:t>financovaných velkých výzkumných infrastruktur provozovaných v</w:t>
      </w:r>
      <w:r>
        <w:t> </w:t>
      </w:r>
      <w:r w:rsidRPr="003D5252">
        <w:t>ČR</w:t>
      </w:r>
      <w:r>
        <w:t>.</w:t>
      </w:r>
    </w:p>
    <w:p w14:paraId="26510C27" w14:textId="77777777" w:rsidR="00FA2DBA" w:rsidRDefault="00FA2DBA" w:rsidP="00FA2DBA">
      <w:pPr>
        <w:pStyle w:val="Odstavecseseznamem"/>
        <w:numPr>
          <w:ilvl w:val="0"/>
          <w:numId w:val="0"/>
        </w:numPr>
        <w:spacing w:line="240" w:lineRule="auto"/>
        <w:ind w:left="360"/>
        <w:jc w:val="both"/>
      </w:pPr>
    </w:p>
    <w:p w14:paraId="4C3608FA" w14:textId="0E4C05D8" w:rsidR="00FA2DBA" w:rsidRDefault="00D84E4C" w:rsidP="00FA2DBA">
      <w:pPr>
        <w:pStyle w:val="Odstavecseseznamem"/>
        <w:numPr>
          <w:ilvl w:val="0"/>
          <w:numId w:val="7"/>
        </w:numPr>
        <w:spacing w:line="240" w:lineRule="auto"/>
        <w:jc w:val="both"/>
      </w:pPr>
      <w:r w:rsidRPr="00FA2DBA">
        <w:rPr>
          <w:b/>
        </w:rPr>
        <w:t>Analýza technologických a společenských trendů pro řízení a implementaci RIS3.</w:t>
      </w:r>
      <w:r>
        <w:t xml:space="preserve"> Ve vazbě na potřebu strategického zacílení podpory výzkumu a inovací v souvislosti s implementací Národní RIS3 v gesci MPO budou vytvořeny odborné podklady o dynamice v technologických oblastech Národní RIS3 a pro stanovení misí Národní RIS3. Pro analýzu bude využit systém pro </w:t>
      </w:r>
      <w:proofErr w:type="spellStart"/>
      <w:r>
        <w:t>horizon</w:t>
      </w:r>
      <w:proofErr w:type="spellEnd"/>
      <w:r>
        <w:t xml:space="preserve"> </w:t>
      </w:r>
      <w:proofErr w:type="spellStart"/>
      <w:r>
        <w:t>scanning</w:t>
      </w:r>
      <w:proofErr w:type="spellEnd"/>
      <w:r>
        <w:t>.</w:t>
      </w:r>
    </w:p>
    <w:p w14:paraId="3F65F05D" w14:textId="77777777" w:rsidR="00FA2DBA" w:rsidRDefault="00FA2DBA" w:rsidP="00FA2DBA">
      <w:pPr>
        <w:pStyle w:val="Odstavecseseznamem"/>
        <w:numPr>
          <w:ilvl w:val="0"/>
          <w:numId w:val="0"/>
        </w:numPr>
        <w:ind w:left="397"/>
      </w:pPr>
    </w:p>
    <w:p w14:paraId="6CD575C9" w14:textId="4BEB9257" w:rsidR="00C65BBA" w:rsidRPr="00FA2DBA" w:rsidRDefault="00C65BBA" w:rsidP="00FA2DBA">
      <w:pPr>
        <w:pStyle w:val="Odstavecseseznamem"/>
        <w:numPr>
          <w:ilvl w:val="0"/>
          <w:numId w:val="7"/>
        </w:numPr>
        <w:spacing w:line="240" w:lineRule="auto"/>
        <w:jc w:val="both"/>
      </w:pPr>
      <w:r w:rsidRPr="00FA2DBA">
        <w:rPr>
          <w:b/>
          <w:bCs/>
          <w:color w:val="222222"/>
        </w:rPr>
        <w:t xml:space="preserve">Analýza přípravy odborníků a podmínek pro uplatnění ve </w:t>
      </w:r>
      <w:proofErr w:type="spellStart"/>
      <w:r w:rsidRPr="00FA2DBA">
        <w:rPr>
          <w:b/>
          <w:bCs/>
          <w:color w:val="222222"/>
        </w:rPr>
        <w:t>VaVaI</w:t>
      </w:r>
      <w:proofErr w:type="spellEnd"/>
      <w:r w:rsidRPr="00FA2DBA">
        <w:rPr>
          <w:b/>
          <w:bCs/>
          <w:color w:val="222222"/>
        </w:rPr>
        <w:t xml:space="preserve"> v rámci akademické a podnikové sféry a jejich připravenosti ke vzájemné spolupráci. </w:t>
      </w:r>
      <w:r w:rsidRPr="00FA2DBA">
        <w:rPr>
          <w:color w:val="222222"/>
        </w:rPr>
        <w:t xml:space="preserve">Analýza bude založena na dostupných kvantitativních datech a využití provedených kvalitativních sond. Vyhodnocen bude zejména potenciál přílivu mladých talentů do </w:t>
      </w:r>
      <w:proofErr w:type="spellStart"/>
      <w:r w:rsidRPr="00FA2DBA">
        <w:rPr>
          <w:color w:val="222222"/>
        </w:rPr>
        <w:t>VaV</w:t>
      </w:r>
      <w:r w:rsidR="00DB06A7">
        <w:rPr>
          <w:color w:val="222222"/>
        </w:rPr>
        <w:t>aI</w:t>
      </w:r>
      <w:proofErr w:type="spellEnd"/>
      <w:r w:rsidRPr="00FA2DBA">
        <w:rPr>
          <w:color w:val="222222"/>
        </w:rPr>
        <w:t xml:space="preserve"> v současné době a</w:t>
      </w:r>
      <w:r w:rsidR="00C9657C">
        <w:rPr>
          <w:color w:val="222222"/>
        </w:rPr>
        <w:t> </w:t>
      </w:r>
      <w:r w:rsidRPr="00FA2DBA">
        <w:rPr>
          <w:color w:val="222222"/>
        </w:rPr>
        <w:t>ve střednědobém výhledu, dále faktory ovlivňující úspěšnost studia, podmínky nastartování a</w:t>
      </w:r>
      <w:r w:rsidR="00C9657C">
        <w:rPr>
          <w:color w:val="222222"/>
        </w:rPr>
        <w:t> </w:t>
      </w:r>
      <w:r w:rsidRPr="00FA2DBA">
        <w:rPr>
          <w:color w:val="222222"/>
        </w:rPr>
        <w:t xml:space="preserve">rozvoje kariéry ve </w:t>
      </w:r>
      <w:proofErr w:type="spellStart"/>
      <w:r w:rsidRPr="00FA2DBA">
        <w:rPr>
          <w:color w:val="222222"/>
        </w:rPr>
        <w:t>VaV</w:t>
      </w:r>
      <w:r w:rsidR="00DB06A7">
        <w:rPr>
          <w:color w:val="222222"/>
        </w:rPr>
        <w:t>aI</w:t>
      </w:r>
      <w:proofErr w:type="spellEnd"/>
      <w:r w:rsidRPr="00FA2DBA">
        <w:rPr>
          <w:color w:val="222222"/>
        </w:rPr>
        <w:t>. Pozornost bude věnována rovněž internacionalizaci doktorských programů a akademického výzkumného prostředí a</w:t>
      </w:r>
      <w:r w:rsidR="002B1791">
        <w:rPr>
          <w:color w:val="222222"/>
        </w:rPr>
        <w:t> </w:t>
      </w:r>
      <w:r w:rsidRPr="00FA2DBA">
        <w:rPr>
          <w:color w:val="222222"/>
        </w:rPr>
        <w:t xml:space="preserve">problematice </w:t>
      </w:r>
      <w:proofErr w:type="spellStart"/>
      <w:r w:rsidRPr="00FA2DBA">
        <w:rPr>
          <w:color w:val="222222"/>
        </w:rPr>
        <w:t>inbreedingu</w:t>
      </w:r>
      <w:proofErr w:type="spellEnd"/>
      <w:r w:rsidRPr="00FA2DBA">
        <w:rPr>
          <w:color w:val="222222"/>
        </w:rPr>
        <w:t xml:space="preserve">. Důležitou komponentou analýzy bude vyhodnocení podmínek a faktorů ovlivňujících spolupráci výzkumné sféry s praxí, budou analyzovány možnosti zlepšení této spolupráce včetně výchovy mladých odborníků ke spolupráci s business sférou, ke komercializaci výsledků </w:t>
      </w:r>
      <w:proofErr w:type="spellStart"/>
      <w:r w:rsidRPr="00FA2DBA">
        <w:rPr>
          <w:color w:val="222222"/>
        </w:rPr>
        <w:t>VaV</w:t>
      </w:r>
      <w:r w:rsidR="00DB06A7">
        <w:rPr>
          <w:color w:val="222222"/>
        </w:rPr>
        <w:t>aI</w:t>
      </w:r>
      <w:proofErr w:type="spellEnd"/>
      <w:r w:rsidRPr="00FA2DBA">
        <w:rPr>
          <w:color w:val="222222"/>
        </w:rPr>
        <w:t>, k podnikání a zakládání start-</w:t>
      </w:r>
      <w:proofErr w:type="spellStart"/>
      <w:r w:rsidRPr="00FA2DBA">
        <w:rPr>
          <w:color w:val="222222"/>
        </w:rPr>
        <w:t>upů</w:t>
      </w:r>
      <w:proofErr w:type="spellEnd"/>
      <w:r w:rsidRPr="00FA2DBA">
        <w:rPr>
          <w:color w:val="222222"/>
        </w:rPr>
        <w:t xml:space="preserve">. Budou zpracovány komparace jak mezi obory, tak mezi institucemi v ČR, v případě dostupnosti dat i se zahraničím. Výstup bude k dispozici zdarma k využití MŠMT, MPO a dalších zainteresovaných institucí jako podklad pro realizaci politiky a koncipování opatření na vysokých školách, ve výzkumných organizacích a v rozvoji lidských zdrojů ve </w:t>
      </w:r>
      <w:proofErr w:type="spellStart"/>
      <w:r w:rsidRPr="00FA2DBA">
        <w:rPr>
          <w:color w:val="222222"/>
        </w:rPr>
        <w:t>VaV</w:t>
      </w:r>
      <w:r w:rsidR="00DB06A7">
        <w:rPr>
          <w:color w:val="222222"/>
        </w:rPr>
        <w:t>aI</w:t>
      </w:r>
      <w:proofErr w:type="spellEnd"/>
      <w:r w:rsidRPr="00FA2DBA">
        <w:rPr>
          <w:color w:val="222222"/>
        </w:rPr>
        <w:t>.</w:t>
      </w:r>
    </w:p>
    <w:p w14:paraId="144AB07C" w14:textId="77777777" w:rsidR="00104BDD" w:rsidRDefault="00104BDD">
      <w:pPr>
        <w:spacing w:after="0" w:line="240" w:lineRule="auto"/>
        <w:jc w:val="both"/>
      </w:pPr>
    </w:p>
    <w:p w14:paraId="1061402B" w14:textId="77777777" w:rsidR="00104BDD" w:rsidRDefault="00BD5DD5">
      <w:pPr>
        <w:spacing w:after="0" w:line="240" w:lineRule="auto"/>
        <w:jc w:val="both"/>
      </w:pPr>
      <w:r>
        <w:t xml:space="preserve">Dalším výstupem bude </w:t>
      </w:r>
      <w:r>
        <w:rPr>
          <w:b/>
        </w:rPr>
        <w:t>monitoring a vyhodnocování politik</w:t>
      </w:r>
      <w:r>
        <w:t xml:space="preserve">, konkrétně v oblasti genderové rovnosti, a vytvoření metodiky vyhodnocování zaváděných opatření v mezinárodní spolupráci s národními autoritami členských států EU. Zároveň budou připravovány statistické genderové ročenky ve </w:t>
      </w:r>
      <w:proofErr w:type="spellStart"/>
      <w:r>
        <w:t>VaVaI</w:t>
      </w:r>
      <w:proofErr w:type="spellEnd"/>
      <w:r>
        <w:t xml:space="preserve"> navazující na evropské </w:t>
      </w:r>
      <w:proofErr w:type="spellStart"/>
      <w:r>
        <w:rPr>
          <w:i/>
        </w:rPr>
        <w:t>She</w:t>
      </w:r>
      <w:proofErr w:type="spellEnd"/>
      <w:r>
        <w:rPr>
          <w:i/>
        </w:rPr>
        <w:t xml:space="preserve"> </w:t>
      </w:r>
      <w:proofErr w:type="spellStart"/>
      <w:r>
        <w:rPr>
          <w:i/>
        </w:rPr>
        <w:t>Figures</w:t>
      </w:r>
      <w:proofErr w:type="spellEnd"/>
      <w:r>
        <w:t>.</w:t>
      </w:r>
    </w:p>
    <w:p w14:paraId="7DE77128" w14:textId="77777777" w:rsidR="00104BDD" w:rsidRDefault="00104BDD">
      <w:pPr>
        <w:spacing w:after="0" w:line="240" w:lineRule="auto"/>
        <w:jc w:val="both"/>
      </w:pPr>
    </w:p>
    <w:p w14:paraId="32ED0CEF" w14:textId="45DD6C6C" w:rsidR="00104BDD" w:rsidRDefault="00BD5DD5">
      <w:pPr>
        <w:spacing w:after="0" w:line="240" w:lineRule="auto"/>
        <w:jc w:val="both"/>
      </w:pPr>
      <w:r>
        <w:t xml:space="preserve">Kromě odborných podkladových studií budou v projektu připravovány </w:t>
      </w:r>
      <w:r>
        <w:rPr>
          <w:b/>
        </w:rPr>
        <w:t>interaktivní dynamické vizualizace informací</w:t>
      </w:r>
      <w:r>
        <w:t xml:space="preserve"> o stavu a dynamice výzkumného a inovačního systému ČR v porovnání </w:t>
      </w:r>
      <w:r>
        <w:lastRenderedPageBreak/>
        <w:t xml:space="preserve">se zahraničím. Tyto vizualizace poskytnou uživatelům rychlou orientaci v informacích o stavu, vazbách a vývojových trendech v systému </w:t>
      </w:r>
      <w:proofErr w:type="spellStart"/>
      <w:r>
        <w:t>VaVaI</w:t>
      </w:r>
      <w:proofErr w:type="spellEnd"/>
      <w:r>
        <w:t>. Tato forma prezentace složitějších jevů je vhodným doplněním analytických podkladů pro strategické rozhodování ve vybraných oblastech.</w:t>
      </w:r>
    </w:p>
    <w:p w14:paraId="4B15FAF9" w14:textId="77777777" w:rsidR="00104BDD" w:rsidRDefault="00104BDD">
      <w:pPr>
        <w:spacing w:after="0" w:line="240" w:lineRule="auto"/>
        <w:jc w:val="both"/>
      </w:pPr>
    </w:p>
    <w:p w14:paraId="254A0D9B" w14:textId="77777777" w:rsidR="00104BDD" w:rsidRDefault="00BD5DD5">
      <w:pPr>
        <w:spacing w:after="0" w:line="240" w:lineRule="auto"/>
        <w:jc w:val="both"/>
      </w:pPr>
      <w:r>
        <w:t xml:space="preserve">Výstupy projektu budou šířeny mj. také formou </w:t>
      </w:r>
      <w:r>
        <w:rPr>
          <w:b/>
        </w:rPr>
        <w:t>odborných publikací a článků v odborných periodikách</w:t>
      </w:r>
      <w:r>
        <w:t xml:space="preserve">. Jejich cílem bude především seznámit s výsledky projektu odbornou veřejnost a stimulovat odbornou diskuzi o stěžejních tématech politiky </w:t>
      </w:r>
      <w:proofErr w:type="spellStart"/>
      <w:r>
        <w:t>VaVaI</w:t>
      </w:r>
      <w:proofErr w:type="spellEnd"/>
      <w:r>
        <w:t>. Osvědčeným způsobem je šíření těchto informací prostřednictvím periodika Ergo vydávaného od roku 2006, které cílí na odbornou komunitu ČR prezentací výsledků analýz a trendů v oblasti výzkumu, technologií a inovací.</w:t>
      </w:r>
    </w:p>
    <w:p w14:paraId="24F8C369" w14:textId="77777777" w:rsidR="00104BDD" w:rsidRDefault="00104BDD">
      <w:pPr>
        <w:spacing w:after="0" w:line="240" w:lineRule="auto"/>
        <w:jc w:val="both"/>
      </w:pPr>
    </w:p>
    <w:p w14:paraId="766D4D49" w14:textId="5DA6E624" w:rsidR="00104BDD" w:rsidRDefault="00BD5DD5">
      <w:pPr>
        <w:spacing w:after="0" w:line="240" w:lineRule="auto"/>
        <w:jc w:val="both"/>
      </w:pPr>
      <w:r>
        <w:t xml:space="preserve">Dalším informačním kanálem o výsledcích projektu budou </w:t>
      </w:r>
      <w:r>
        <w:rPr>
          <w:b/>
        </w:rPr>
        <w:t>odborné konference a semináře</w:t>
      </w:r>
      <w:r>
        <w:t>. Hlavním přínosem těchto odborných konferencí a seminářů je zvýšení informovanosti veřejné správy a výzkumných organizací ČR o stavu a o vývojových trendech v</w:t>
      </w:r>
      <w:r w:rsidR="00164F54">
        <w:t> definovaných oblastech</w:t>
      </w:r>
      <w:r>
        <w:t xml:space="preserve"> systému </w:t>
      </w:r>
      <w:proofErr w:type="spellStart"/>
      <w:r>
        <w:t>VaVaI</w:t>
      </w:r>
      <w:proofErr w:type="spellEnd"/>
      <w:r>
        <w:t xml:space="preserve"> v ČR v mezinárodním srovnání. Tyto akce zároveň přinášejí užitečnou zpětnou vazbu účastníkům řešitelského týmu o aktuálních potřebách a poptávce uživatelů po odborných podkladových analýzách.</w:t>
      </w:r>
    </w:p>
    <w:p w14:paraId="5A3AE7EC" w14:textId="77777777" w:rsidR="00104BDD" w:rsidRDefault="00104BDD">
      <w:pPr>
        <w:spacing w:after="0" w:line="240" w:lineRule="auto"/>
        <w:jc w:val="both"/>
      </w:pPr>
    </w:p>
    <w:p w14:paraId="20E0330F" w14:textId="52BDC4F5" w:rsidR="00104BDD" w:rsidRDefault="00BD5DD5">
      <w:pPr>
        <w:spacing w:after="0" w:line="240" w:lineRule="auto"/>
        <w:jc w:val="both"/>
      </w:pPr>
      <w:r>
        <w:t xml:space="preserve">Důležitým přínosem je i </w:t>
      </w:r>
      <w:r>
        <w:rPr>
          <w:b/>
        </w:rPr>
        <w:t>rozvoj mezinárodní spolupráce</w:t>
      </w:r>
      <w:r>
        <w:t xml:space="preserve"> v oblasti analýz a studií pro politiku </w:t>
      </w:r>
      <w:proofErr w:type="spellStart"/>
      <w:r>
        <w:t>VaVaI</w:t>
      </w:r>
      <w:proofErr w:type="spellEnd"/>
      <w:r w:rsidR="00A51E22">
        <w:t xml:space="preserve"> </w:t>
      </w:r>
      <w:r w:rsidR="00A51E22" w:rsidRPr="00A51E22">
        <w:t>v oblastech</w:t>
      </w:r>
      <w:r w:rsidR="00A51E22">
        <w:rPr>
          <w:b/>
        </w:rPr>
        <w:t xml:space="preserve"> </w:t>
      </w:r>
      <w:r w:rsidR="00A51E22">
        <w:t xml:space="preserve">internacionalizace </w:t>
      </w:r>
      <w:proofErr w:type="spellStart"/>
      <w:r w:rsidR="00A51E22">
        <w:t>VaVaI</w:t>
      </w:r>
      <w:proofErr w:type="spellEnd"/>
      <w:r w:rsidR="00A51E22">
        <w:t xml:space="preserve">, rozvoje velkých výzkumných infrastruktur, rozvoje lidských zdrojů, výzkumné, inovační a technologické specializace ČR, rozvoje lidských zdrojů a kapacit pro výzkum a inovace, otázek genderu a podmínek pro uplatnění žen ve vědě, </w:t>
      </w:r>
      <w:r w:rsidR="00A51E22" w:rsidRPr="00A51E22">
        <w:t>uvedených</w:t>
      </w:r>
      <w:r w:rsidR="00A51E22">
        <w:rPr>
          <w:b/>
        </w:rPr>
        <w:t xml:space="preserve"> </w:t>
      </w:r>
      <w:r w:rsidR="00A51E22" w:rsidRPr="00A51E22">
        <w:t>v kapitole 1.2</w:t>
      </w:r>
      <w:r>
        <w:t>. Projekt umožní prohloubení a další rozvoj této spolupráce.</w:t>
      </w:r>
    </w:p>
    <w:p w14:paraId="5413969F" w14:textId="77777777" w:rsidR="00104BDD" w:rsidRDefault="00104BDD">
      <w:pPr>
        <w:spacing w:after="0" w:line="240" w:lineRule="auto"/>
        <w:jc w:val="both"/>
      </w:pPr>
    </w:p>
    <w:p w14:paraId="0E86393E" w14:textId="77777777" w:rsidR="00104BDD" w:rsidRDefault="00BD5DD5">
      <w:pPr>
        <w:pStyle w:val="Nadpis1"/>
        <w:numPr>
          <w:ilvl w:val="0"/>
          <w:numId w:val="2"/>
        </w:numPr>
        <w:spacing w:before="240" w:after="240" w:line="240" w:lineRule="auto"/>
        <w:ind w:left="431" w:hanging="431"/>
        <w:jc w:val="both"/>
      </w:pPr>
      <w:bookmarkStart w:id="58" w:name="_Toc40123747"/>
      <w:bookmarkStart w:id="59" w:name="_Toc67906090"/>
      <w:r>
        <w:t>FINANČNÍ NÁKLADY</w:t>
      </w:r>
      <w:bookmarkEnd w:id="58"/>
      <w:bookmarkEnd w:id="59"/>
    </w:p>
    <w:p w14:paraId="4E4EAD14" w14:textId="2E27CB43" w:rsidR="00104BDD" w:rsidRDefault="00BD5DD5">
      <w:pPr>
        <w:spacing w:after="0" w:line="240" w:lineRule="auto"/>
        <w:jc w:val="both"/>
      </w:pPr>
      <w:r>
        <w:t xml:space="preserve">Rozpočet předkládaného návrhu projektu sdílených činností vychází z kalkulací a odborných odhadů podložených údaji o současných nákladech projektů na tvorbu odborných analytických podkladů pro politiku </w:t>
      </w:r>
      <w:proofErr w:type="spellStart"/>
      <w:r>
        <w:t>VaVaI</w:t>
      </w:r>
      <w:proofErr w:type="spellEnd"/>
      <w:r w:rsidR="00EA77A5">
        <w:t xml:space="preserve"> </w:t>
      </w:r>
      <w:r w:rsidR="00EA77A5" w:rsidRPr="00EA77A5">
        <w:t>v oblastech</w:t>
      </w:r>
      <w:r w:rsidR="00EA77A5">
        <w:rPr>
          <w:b/>
        </w:rPr>
        <w:t xml:space="preserve"> </w:t>
      </w:r>
      <w:r w:rsidR="00EA77A5">
        <w:t xml:space="preserve">internacionalizace </w:t>
      </w:r>
      <w:proofErr w:type="spellStart"/>
      <w:r w:rsidR="00EA77A5">
        <w:t>VaVaI</w:t>
      </w:r>
      <w:proofErr w:type="spellEnd"/>
      <w:r w:rsidR="00EA77A5">
        <w:t>, rozvoje velkých výzkumných infrastruktur, rozvoje lidských zdrojů, výzkumné, inovační a technologické specializace ČR, rozvoje lidských zdrojů a kapacit pro výzkum a inovace, otázek genderu a</w:t>
      </w:r>
      <w:r w:rsidR="005F1B56">
        <w:t> </w:t>
      </w:r>
      <w:r w:rsidR="00EA77A5">
        <w:t xml:space="preserve">podmínek pro uplatnění žen ve vědě a pro politiky </w:t>
      </w:r>
      <w:proofErr w:type="spellStart"/>
      <w:r w:rsidR="00EA77A5">
        <w:t>VaVaI</w:t>
      </w:r>
      <w:proofErr w:type="spellEnd"/>
      <w:r w:rsidR="00EA77A5">
        <w:t xml:space="preserve"> v působnosti jednotlivých poskytovatelů</w:t>
      </w:r>
      <w:r>
        <w:t xml:space="preserve">. </w:t>
      </w:r>
    </w:p>
    <w:p w14:paraId="3B52C2E4" w14:textId="77777777" w:rsidR="00104BDD" w:rsidRDefault="00104BDD">
      <w:pPr>
        <w:spacing w:after="0" w:line="240" w:lineRule="auto"/>
        <w:jc w:val="both"/>
      </w:pPr>
    </w:p>
    <w:p w14:paraId="710B6A82" w14:textId="0646B97E" w:rsidR="00104BDD" w:rsidRDefault="00BD5DD5">
      <w:pPr>
        <w:spacing w:after="0" w:line="240" w:lineRule="auto"/>
        <w:jc w:val="both"/>
      </w:pPr>
      <w:r>
        <w:t>Souhrnný rozpočet projektu je složen z dílčích rozpočtů jednotlivých organizací, jež participují na aktivitách projektu, a jejichž aktivity jsou díky projektu účelně integrovány. V další části je tak uveden nejprve souhrnný rozpočet projektu a následně dílčí rozpočty jednotlivých partnerů s popisem jednotlivých druhů nákladů.</w:t>
      </w:r>
    </w:p>
    <w:p w14:paraId="6246BB1D" w14:textId="77777777" w:rsidR="00151755" w:rsidRDefault="00151755">
      <w:pPr>
        <w:spacing w:after="0" w:line="240" w:lineRule="auto"/>
        <w:jc w:val="both"/>
      </w:pPr>
    </w:p>
    <w:p w14:paraId="0177047E" w14:textId="0E5861C6" w:rsidR="00151755" w:rsidRPr="00CB3158" w:rsidRDefault="00151755">
      <w:pPr>
        <w:spacing w:after="0" w:line="240" w:lineRule="auto"/>
        <w:jc w:val="both"/>
      </w:pPr>
      <w:r w:rsidRPr="00CB3158">
        <w:rPr>
          <w:iCs/>
        </w:rPr>
        <w:t xml:space="preserve">Příjemce a další účastníci projektu sdílených činností STRATIN+, tzn., řešitelé, budou projekt sdílených činností STRATIN+ realizovat v kapacitě organizací pro výzkum a šíření znalostí tak, jak jsou definovány Rámcem pro státní podporu </w:t>
      </w:r>
      <w:proofErr w:type="spellStart"/>
      <w:r w:rsidR="001C49E0" w:rsidRPr="00CB3158">
        <w:rPr>
          <w:iCs/>
        </w:rPr>
        <w:t>VaVaI</w:t>
      </w:r>
      <w:proofErr w:type="spellEnd"/>
      <w:r w:rsidRPr="00CB3158">
        <w:rPr>
          <w:iCs/>
        </w:rPr>
        <w:t xml:space="preserve"> (2014/C 198/01). Podpora řešitelů z prostředků účelové podpory MŠMT z výdajů státního rozpočtu ČR na </w:t>
      </w:r>
      <w:proofErr w:type="spellStart"/>
      <w:r w:rsidR="001C49E0" w:rsidRPr="00CB3158">
        <w:rPr>
          <w:iCs/>
        </w:rPr>
        <w:t>VaVaI</w:t>
      </w:r>
      <w:proofErr w:type="spellEnd"/>
      <w:r w:rsidRPr="00CB3158">
        <w:rPr>
          <w:iCs/>
        </w:rPr>
        <w:t xml:space="preserve"> poté nebude zakládat veřejnou podporu ve smyslu čl. 107 odst. 1 Smlouvy o fungování EU. Účelová podpora řešitelů projektu sdílených činností jim bude poskytována v kapacitě organizací pro výzkum a šíření znalostí a finanční prostředky budou směřovány na financování jejich </w:t>
      </w:r>
      <w:proofErr w:type="spellStart"/>
      <w:r w:rsidRPr="00CB3158">
        <w:rPr>
          <w:iCs/>
        </w:rPr>
        <w:t>nehospodářských</w:t>
      </w:r>
      <w:proofErr w:type="spellEnd"/>
      <w:r w:rsidRPr="00CB3158">
        <w:rPr>
          <w:iCs/>
        </w:rPr>
        <w:t xml:space="preserve"> činností podle odst. 19 Rámce pro státní podporu </w:t>
      </w:r>
      <w:proofErr w:type="spellStart"/>
      <w:r w:rsidR="001C49E0" w:rsidRPr="00CB3158">
        <w:rPr>
          <w:iCs/>
        </w:rPr>
        <w:t>VaVaI</w:t>
      </w:r>
      <w:proofErr w:type="spellEnd"/>
      <w:r w:rsidRPr="00CB3158">
        <w:rPr>
          <w:iCs/>
        </w:rPr>
        <w:t xml:space="preserve"> (2014/C 198/01). Pokud budou řešitelé vykonávat hospodářské činnosti, budou tyto hospodářské činnosti pouze vedlejší povahy a budou přitom vykazovat doplňkový charakter k hlavním </w:t>
      </w:r>
      <w:proofErr w:type="spellStart"/>
      <w:r w:rsidRPr="00CB3158">
        <w:rPr>
          <w:iCs/>
        </w:rPr>
        <w:t>nehospodářským</w:t>
      </w:r>
      <w:proofErr w:type="spellEnd"/>
      <w:r w:rsidRPr="00CB3158">
        <w:rPr>
          <w:iCs/>
        </w:rPr>
        <w:t xml:space="preserve"> činnostem rozvíjeným na základě odst. 20 Rámce pro státní podporu </w:t>
      </w:r>
      <w:proofErr w:type="spellStart"/>
      <w:r w:rsidR="001C49E0" w:rsidRPr="00CB3158">
        <w:rPr>
          <w:iCs/>
        </w:rPr>
        <w:t>VaVaI</w:t>
      </w:r>
      <w:proofErr w:type="spellEnd"/>
      <w:r w:rsidRPr="00CB3158">
        <w:rPr>
          <w:iCs/>
        </w:rPr>
        <w:t xml:space="preserve"> (2014/C 198/01). Financování řešitelů projektu sdílených činností STRATIN+ z prostředků účelové podpory MŠMT tak veřejnou podporu ve smyslu čl. 107 odst. 1 Smlouvy o fungování EU zakládat nebude.</w:t>
      </w:r>
    </w:p>
    <w:p w14:paraId="0CF6FBA0" w14:textId="59848B76" w:rsidR="00104BDD" w:rsidRPr="004663F1" w:rsidRDefault="00BD5DD5" w:rsidP="004663F1">
      <w:r>
        <w:rPr>
          <w:b/>
          <w:sz w:val="24"/>
        </w:rPr>
        <w:lastRenderedPageBreak/>
        <w:t>Souhrnný rozpočet</w:t>
      </w:r>
    </w:p>
    <w:p w14:paraId="7A1FE643" w14:textId="77777777" w:rsidR="00104BDD" w:rsidRDefault="00BD5DD5">
      <w:pPr>
        <w:keepNext/>
        <w:spacing w:before="240" w:after="240" w:line="240" w:lineRule="auto"/>
        <w:jc w:val="both"/>
        <w:rPr>
          <w:b/>
          <w:bCs/>
          <w:color w:val="000000"/>
        </w:rPr>
      </w:pPr>
      <w:r>
        <w:rPr>
          <w:b/>
          <w:bCs/>
          <w:color w:val="000000"/>
        </w:rPr>
        <w:t>Náklady / výdaje v jednotlivých letech v Kč</w:t>
      </w:r>
    </w:p>
    <w:tbl>
      <w:tblPr>
        <w:tblW w:w="6755" w:type="dxa"/>
        <w:tblCellMar>
          <w:left w:w="70" w:type="dxa"/>
          <w:right w:w="70" w:type="dxa"/>
        </w:tblCellMar>
        <w:tblLook w:val="04A0" w:firstRow="1" w:lastRow="0" w:firstColumn="1" w:lastColumn="0" w:noHBand="0" w:noVBand="1"/>
      </w:tblPr>
      <w:tblGrid>
        <w:gridCol w:w="1838"/>
        <w:gridCol w:w="992"/>
        <w:gridCol w:w="993"/>
        <w:gridCol w:w="992"/>
        <w:gridCol w:w="970"/>
        <w:gridCol w:w="970"/>
      </w:tblGrid>
      <w:tr w:rsidR="004C5639" w14:paraId="1CC7B398" w14:textId="77777777" w:rsidTr="004C5639">
        <w:trPr>
          <w:trHeight w:val="305"/>
        </w:trPr>
        <w:tc>
          <w:tcPr>
            <w:tcW w:w="1838"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34D1A0EF" w14:textId="77777777" w:rsidR="00B37556" w:rsidRDefault="00B37556">
            <w:pPr>
              <w:spacing w:after="0" w:line="240" w:lineRule="auto"/>
              <w:jc w:val="center"/>
              <w:rPr>
                <w:b/>
                <w:bCs/>
                <w:color w:val="000000"/>
                <w:sz w:val="16"/>
                <w:szCs w:val="16"/>
              </w:rPr>
            </w:pPr>
            <w:r>
              <w:rPr>
                <w:b/>
                <w:bCs/>
                <w:color w:val="000000"/>
                <w:sz w:val="16"/>
                <w:szCs w:val="16"/>
              </w:rPr>
              <w:t>Kategorie / Rok</w:t>
            </w:r>
          </w:p>
        </w:tc>
        <w:tc>
          <w:tcPr>
            <w:tcW w:w="992" w:type="dxa"/>
            <w:tcBorders>
              <w:top w:val="single" w:sz="4" w:space="0" w:color="auto"/>
              <w:left w:val="nil"/>
              <w:bottom w:val="single" w:sz="4" w:space="0" w:color="auto"/>
              <w:right w:val="single" w:sz="4" w:space="0" w:color="auto"/>
            </w:tcBorders>
            <w:shd w:val="clear" w:color="000000" w:fill="F2F2F2"/>
            <w:noWrap/>
            <w:vAlign w:val="center"/>
          </w:tcPr>
          <w:p w14:paraId="6917CFC2" w14:textId="77777777" w:rsidR="00B37556" w:rsidRDefault="00B37556">
            <w:pPr>
              <w:spacing w:after="0" w:line="240" w:lineRule="auto"/>
              <w:jc w:val="center"/>
              <w:rPr>
                <w:b/>
                <w:bCs/>
                <w:color w:val="000000"/>
                <w:sz w:val="16"/>
                <w:szCs w:val="16"/>
              </w:rPr>
            </w:pPr>
            <w:r>
              <w:rPr>
                <w:b/>
                <w:bCs/>
                <w:color w:val="000000"/>
                <w:sz w:val="16"/>
                <w:szCs w:val="16"/>
              </w:rPr>
              <w:t>2021</w:t>
            </w:r>
          </w:p>
        </w:tc>
        <w:tc>
          <w:tcPr>
            <w:tcW w:w="993" w:type="dxa"/>
            <w:tcBorders>
              <w:top w:val="single" w:sz="4" w:space="0" w:color="auto"/>
              <w:left w:val="nil"/>
              <w:bottom w:val="single" w:sz="4" w:space="0" w:color="auto"/>
              <w:right w:val="single" w:sz="4" w:space="0" w:color="auto"/>
            </w:tcBorders>
            <w:shd w:val="clear" w:color="000000" w:fill="F2F2F2"/>
            <w:noWrap/>
            <w:vAlign w:val="center"/>
          </w:tcPr>
          <w:p w14:paraId="518A24A2" w14:textId="77777777" w:rsidR="00B37556" w:rsidRDefault="00B37556">
            <w:pPr>
              <w:spacing w:after="0" w:line="240" w:lineRule="auto"/>
              <w:jc w:val="center"/>
              <w:rPr>
                <w:b/>
                <w:bCs/>
                <w:color w:val="000000"/>
                <w:sz w:val="16"/>
                <w:szCs w:val="16"/>
              </w:rPr>
            </w:pPr>
            <w:r>
              <w:rPr>
                <w:b/>
                <w:bCs/>
                <w:color w:val="000000"/>
                <w:sz w:val="16"/>
                <w:szCs w:val="16"/>
              </w:rPr>
              <w:t>2022</w:t>
            </w:r>
          </w:p>
        </w:tc>
        <w:tc>
          <w:tcPr>
            <w:tcW w:w="992" w:type="dxa"/>
            <w:tcBorders>
              <w:top w:val="single" w:sz="4" w:space="0" w:color="auto"/>
              <w:left w:val="nil"/>
              <w:bottom w:val="single" w:sz="4" w:space="0" w:color="auto"/>
              <w:right w:val="single" w:sz="4" w:space="0" w:color="auto"/>
            </w:tcBorders>
            <w:shd w:val="clear" w:color="000000" w:fill="F2F2F2"/>
            <w:noWrap/>
            <w:vAlign w:val="center"/>
          </w:tcPr>
          <w:p w14:paraId="3BAC4EEB" w14:textId="77777777" w:rsidR="00B37556" w:rsidRDefault="00B37556">
            <w:pPr>
              <w:spacing w:after="0" w:line="240" w:lineRule="auto"/>
              <w:jc w:val="center"/>
              <w:rPr>
                <w:b/>
                <w:bCs/>
                <w:color w:val="000000"/>
                <w:sz w:val="16"/>
                <w:szCs w:val="16"/>
              </w:rPr>
            </w:pPr>
            <w:r>
              <w:rPr>
                <w:b/>
                <w:bCs/>
                <w:color w:val="000000"/>
                <w:sz w:val="16"/>
                <w:szCs w:val="16"/>
              </w:rPr>
              <w:t>2023</w:t>
            </w:r>
          </w:p>
        </w:tc>
        <w:tc>
          <w:tcPr>
            <w:tcW w:w="970" w:type="dxa"/>
            <w:tcBorders>
              <w:top w:val="single" w:sz="4" w:space="0" w:color="auto"/>
              <w:left w:val="nil"/>
              <w:bottom w:val="single" w:sz="4" w:space="0" w:color="auto"/>
              <w:right w:val="single" w:sz="4" w:space="0" w:color="auto"/>
            </w:tcBorders>
            <w:shd w:val="clear" w:color="000000" w:fill="F2F2F2"/>
            <w:noWrap/>
            <w:vAlign w:val="center"/>
          </w:tcPr>
          <w:p w14:paraId="5C5C4EB5" w14:textId="29F03015" w:rsidR="00B37556" w:rsidRDefault="004E0796">
            <w:pPr>
              <w:spacing w:after="0" w:line="240" w:lineRule="auto"/>
              <w:jc w:val="center"/>
              <w:rPr>
                <w:b/>
                <w:bCs/>
                <w:color w:val="000000"/>
                <w:sz w:val="16"/>
                <w:szCs w:val="16"/>
              </w:rPr>
            </w:pPr>
            <w:r>
              <w:rPr>
                <w:b/>
                <w:bCs/>
                <w:color w:val="000000"/>
                <w:sz w:val="16"/>
                <w:szCs w:val="16"/>
              </w:rPr>
              <w:t>2024</w:t>
            </w:r>
          </w:p>
        </w:tc>
        <w:tc>
          <w:tcPr>
            <w:tcW w:w="970" w:type="dxa"/>
            <w:tcBorders>
              <w:top w:val="single" w:sz="4" w:space="0" w:color="auto"/>
              <w:left w:val="nil"/>
              <w:bottom w:val="single" w:sz="4" w:space="0" w:color="auto"/>
              <w:right w:val="single" w:sz="4" w:space="0" w:color="auto"/>
            </w:tcBorders>
            <w:shd w:val="clear" w:color="000000" w:fill="F2F2F2"/>
            <w:noWrap/>
            <w:vAlign w:val="center"/>
          </w:tcPr>
          <w:p w14:paraId="5C445E94" w14:textId="3D678E3E" w:rsidR="00B37556" w:rsidRDefault="00B37556">
            <w:pPr>
              <w:spacing w:after="0" w:line="240" w:lineRule="auto"/>
              <w:jc w:val="center"/>
              <w:rPr>
                <w:b/>
                <w:bCs/>
                <w:color w:val="000000"/>
                <w:sz w:val="16"/>
                <w:szCs w:val="16"/>
              </w:rPr>
            </w:pPr>
            <w:r>
              <w:rPr>
                <w:b/>
                <w:bCs/>
                <w:color w:val="000000"/>
                <w:sz w:val="16"/>
                <w:szCs w:val="16"/>
              </w:rPr>
              <w:t>CELKEM</w:t>
            </w:r>
          </w:p>
        </w:tc>
      </w:tr>
      <w:tr w:rsidR="004C5639" w:rsidRPr="000E4155" w14:paraId="1D90015D" w14:textId="77777777" w:rsidTr="004C5639">
        <w:trPr>
          <w:trHeight w:val="489"/>
        </w:trPr>
        <w:tc>
          <w:tcPr>
            <w:tcW w:w="1838" w:type="dxa"/>
            <w:tcBorders>
              <w:top w:val="nil"/>
              <w:left w:val="single" w:sz="4" w:space="0" w:color="auto"/>
              <w:bottom w:val="single" w:sz="4" w:space="0" w:color="auto"/>
              <w:right w:val="single" w:sz="4" w:space="0" w:color="auto"/>
            </w:tcBorders>
            <w:shd w:val="clear" w:color="000000" w:fill="F2F2F2"/>
            <w:vAlign w:val="center"/>
          </w:tcPr>
          <w:p w14:paraId="34418A03" w14:textId="77777777" w:rsidR="00D815C7" w:rsidRDefault="00D815C7" w:rsidP="00D815C7">
            <w:pPr>
              <w:spacing w:after="0" w:line="240" w:lineRule="auto"/>
              <w:jc w:val="center"/>
              <w:rPr>
                <w:b/>
                <w:bCs/>
                <w:color w:val="000000"/>
                <w:sz w:val="16"/>
                <w:szCs w:val="16"/>
              </w:rPr>
            </w:pPr>
            <w:r>
              <w:rPr>
                <w:b/>
                <w:bCs/>
                <w:color w:val="000000"/>
                <w:sz w:val="16"/>
                <w:szCs w:val="16"/>
              </w:rPr>
              <w:t xml:space="preserve">1. Osobní náklady </w:t>
            </w:r>
            <w:r>
              <w:rPr>
                <w:b/>
                <w:bCs/>
                <w:color w:val="000000"/>
                <w:sz w:val="16"/>
                <w:szCs w:val="16"/>
              </w:rPr>
              <w:br/>
              <w:t>nebo výdaje</w:t>
            </w:r>
          </w:p>
        </w:tc>
        <w:tc>
          <w:tcPr>
            <w:tcW w:w="992" w:type="dxa"/>
            <w:tcBorders>
              <w:top w:val="nil"/>
              <w:left w:val="nil"/>
              <w:bottom w:val="single" w:sz="4" w:space="0" w:color="auto"/>
              <w:right w:val="single" w:sz="4" w:space="0" w:color="auto"/>
            </w:tcBorders>
            <w:shd w:val="clear" w:color="auto" w:fill="auto"/>
            <w:noWrap/>
            <w:vAlign w:val="center"/>
          </w:tcPr>
          <w:p w14:paraId="51586CFB" w14:textId="56C8D840" w:rsidR="00D815C7" w:rsidRDefault="000E4155" w:rsidP="00D815C7">
            <w:pPr>
              <w:spacing w:after="0" w:line="240" w:lineRule="auto"/>
              <w:jc w:val="center"/>
              <w:rPr>
                <w:color w:val="000000"/>
                <w:sz w:val="16"/>
                <w:szCs w:val="16"/>
              </w:rPr>
            </w:pPr>
            <w:r>
              <w:rPr>
                <w:color w:val="000000"/>
                <w:sz w:val="16"/>
                <w:szCs w:val="16"/>
              </w:rPr>
              <w:t>7 571 369</w:t>
            </w:r>
          </w:p>
        </w:tc>
        <w:tc>
          <w:tcPr>
            <w:tcW w:w="993" w:type="dxa"/>
            <w:tcBorders>
              <w:top w:val="nil"/>
              <w:left w:val="nil"/>
              <w:bottom w:val="single" w:sz="4" w:space="0" w:color="auto"/>
              <w:right w:val="single" w:sz="4" w:space="0" w:color="auto"/>
            </w:tcBorders>
            <w:shd w:val="clear" w:color="auto" w:fill="auto"/>
            <w:noWrap/>
            <w:vAlign w:val="center"/>
          </w:tcPr>
          <w:p w14:paraId="4859B57F" w14:textId="51256063" w:rsidR="00D815C7" w:rsidRDefault="000E4155" w:rsidP="00D815C7">
            <w:pPr>
              <w:spacing w:after="0" w:line="240" w:lineRule="auto"/>
              <w:jc w:val="center"/>
              <w:rPr>
                <w:color w:val="000000"/>
                <w:sz w:val="16"/>
                <w:szCs w:val="16"/>
              </w:rPr>
            </w:pPr>
            <w:r>
              <w:rPr>
                <w:color w:val="000000"/>
                <w:sz w:val="16"/>
                <w:szCs w:val="16"/>
              </w:rPr>
              <w:t>18</w:t>
            </w:r>
            <w:r w:rsidR="004C5639">
              <w:rPr>
                <w:color w:val="000000"/>
                <w:sz w:val="16"/>
                <w:szCs w:val="16"/>
              </w:rPr>
              <w:t> </w:t>
            </w:r>
            <w:r>
              <w:rPr>
                <w:color w:val="000000"/>
                <w:sz w:val="16"/>
                <w:szCs w:val="16"/>
              </w:rPr>
              <w:t>931</w:t>
            </w:r>
            <w:r w:rsidR="004C5639">
              <w:rPr>
                <w:color w:val="000000"/>
                <w:sz w:val="16"/>
                <w:szCs w:val="16"/>
              </w:rPr>
              <w:t xml:space="preserve"> </w:t>
            </w:r>
            <w:r>
              <w:rPr>
                <w:color w:val="000000"/>
                <w:sz w:val="16"/>
                <w:szCs w:val="16"/>
              </w:rPr>
              <w:t>458</w:t>
            </w:r>
          </w:p>
        </w:tc>
        <w:tc>
          <w:tcPr>
            <w:tcW w:w="992" w:type="dxa"/>
            <w:tcBorders>
              <w:top w:val="nil"/>
              <w:left w:val="nil"/>
              <w:bottom w:val="single" w:sz="4" w:space="0" w:color="auto"/>
              <w:right w:val="single" w:sz="4" w:space="0" w:color="auto"/>
            </w:tcBorders>
            <w:shd w:val="clear" w:color="auto" w:fill="auto"/>
            <w:noWrap/>
            <w:vAlign w:val="center"/>
          </w:tcPr>
          <w:p w14:paraId="34949A96" w14:textId="0B74A7F2" w:rsidR="00D815C7" w:rsidRDefault="000E4155" w:rsidP="00D815C7">
            <w:pPr>
              <w:spacing w:after="0" w:line="240" w:lineRule="auto"/>
              <w:jc w:val="center"/>
              <w:rPr>
                <w:color w:val="000000"/>
                <w:sz w:val="16"/>
                <w:szCs w:val="16"/>
              </w:rPr>
            </w:pPr>
            <w:r>
              <w:rPr>
                <w:color w:val="000000"/>
                <w:sz w:val="16"/>
                <w:szCs w:val="16"/>
              </w:rPr>
              <w:t>19</w:t>
            </w:r>
            <w:r w:rsidR="004C5639">
              <w:rPr>
                <w:color w:val="000000"/>
                <w:sz w:val="16"/>
                <w:szCs w:val="16"/>
              </w:rPr>
              <w:t> </w:t>
            </w:r>
            <w:r>
              <w:rPr>
                <w:color w:val="000000"/>
                <w:sz w:val="16"/>
                <w:szCs w:val="16"/>
              </w:rPr>
              <w:t>863</w:t>
            </w:r>
            <w:r w:rsidR="004C5639">
              <w:rPr>
                <w:color w:val="000000"/>
                <w:sz w:val="16"/>
                <w:szCs w:val="16"/>
              </w:rPr>
              <w:t xml:space="preserve"> </w:t>
            </w:r>
            <w:r>
              <w:rPr>
                <w:color w:val="000000"/>
                <w:sz w:val="16"/>
                <w:szCs w:val="16"/>
              </w:rPr>
              <w:t>405</w:t>
            </w:r>
          </w:p>
        </w:tc>
        <w:tc>
          <w:tcPr>
            <w:tcW w:w="970" w:type="dxa"/>
            <w:tcBorders>
              <w:top w:val="nil"/>
              <w:left w:val="nil"/>
              <w:bottom w:val="single" w:sz="4" w:space="0" w:color="auto"/>
              <w:right w:val="single" w:sz="4" w:space="0" w:color="auto"/>
            </w:tcBorders>
            <w:shd w:val="clear" w:color="auto" w:fill="auto"/>
            <w:noWrap/>
            <w:vAlign w:val="center"/>
          </w:tcPr>
          <w:p w14:paraId="43FB30FA" w14:textId="192B25D0" w:rsidR="000E4155" w:rsidRDefault="000E4155" w:rsidP="00D815C7">
            <w:pPr>
              <w:spacing w:after="0" w:line="240" w:lineRule="auto"/>
              <w:jc w:val="center"/>
              <w:rPr>
                <w:color w:val="000000"/>
                <w:sz w:val="16"/>
                <w:szCs w:val="16"/>
              </w:rPr>
            </w:pPr>
            <w:r>
              <w:rPr>
                <w:color w:val="000000"/>
                <w:sz w:val="16"/>
                <w:szCs w:val="16"/>
              </w:rPr>
              <w:t>22 485 417</w:t>
            </w:r>
          </w:p>
        </w:tc>
        <w:tc>
          <w:tcPr>
            <w:tcW w:w="970" w:type="dxa"/>
            <w:tcBorders>
              <w:top w:val="nil"/>
              <w:left w:val="nil"/>
              <w:bottom w:val="single" w:sz="4" w:space="0" w:color="auto"/>
              <w:right w:val="single" w:sz="4" w:space="0" w:color="auto"/>
            </w:tcBorders>
            <w:shd w:val="clear" w:color="auto" w:fill="auto"/>
            <w:noWrap/>
            <w:vAlign w:val="center"/>
          </w:tcPr>
          <w:p w14:paraId="1692C169" w14:textId="7CA05070" w:rsidR="000E4155" w:rsidRPr="000E4155" w:rsidRDefault="000E4155" w:rsidP="00A35479">
            <w:pPr>
              <w:spacing w:after="0" w:line="240" w:lineRule="auto"/>
              <w:jc w:val="center"/>
              <w:rPr>
                <w:b/>
                <w:color w:val="000000"/>
                <w:sz w:val="16"/>
                <w:szCs w:val="16"/>
              </w:rPr>
            </w:pPr>
            <w:r w:rsidRPr="000E4155">
              <w:rPr>
                <w:b/>
                <w:color w:val="000000"/>
                <w:sz w:val="16"/>
                <w:szCs w:val="16"/>
              </w:rPr>
              <w:t>68 851 649</w:t>
            </w:r>
          </w:p>
        </w:tc>
      </w:tr>
      <w:tr w:rsidR="004C5639" w14:paraId="35D4AA86" w14:textId="77777777" w:rsidTr="004C5639">
        <w:trPr>
          <w:trHeight w:val="978"/>
        </w:trPr>
        <w:tc>
          <w:tcPr>
            <w:tcW w:w="1838" w:type="dxa"/>
            <w:tcBorders>
              <w:top w:val="nil"/>
              <w:left w:val="single" w:sz="4" w:space="0" w:color="auto"/>
              <w:bottom w:val="single" w:sz="4" w:space="0" w:color="auto"/>
              <w:right w:val="single" w:sz="4" w:space="0" w:color="auto"/>
            </w:tcBorders>
            <w:shd w:val="clear" w:color="000000" w:fill="F2F2F2"/>
            <w:vAlign w:val="center"/>
          </w:tcPr>
          <w:p w14:paraId="38910A87" w14:textId="77777777" w:rsidR="00D815C7" w:rsidRDefault="00D815C7" w:rsidP="00D815C7">
            <w:pPr>
              <w:spacing w:after="0" w:line="240" w:lineRule="auto"/>
              <w:jc w:val="center"/>
              <w:rPr>
                <w:b/>
                <w:bCs/>
                <w:sz w:val="16"/>
                <w:szCs w:val="16"/>
              </w:rPr>
            </w:pPr>
            <w:r>
              <w:rPr>
                <w:b/>
                <w:bCs/>
                <w:sz w:val="16"/>
                <w:szCs w:val="16"/>
              </w:rPr>
              <w:t>2. Náklady nebo výdaje na pořízení hmotného a nehmotného majetku</w:t>
            </w:r>
          </w:p>
        </w:tc>
        <w:tc>
          <w:tcPr>
            <w:tcW w:w="992" w:type="dxa"/>
            <w:tcBorders>
              <w:top w:val="nil"/>
              <w:left w:val="nil"/>
              <w:bottom w:val="single" w:sz="4" w:space="0" w:color="auto"/>
              <w:right w:val="single" w:sz="4" w:space="0" w:color="auto"/>
            </w:tcBorders>
            <w:shd w:val="clear" w:color="auto" w:fill="auto"/>
            <w:noWrap/>
            <w:vAlign w:val="center"/>
          </w:tcPr>
          <w:p w14:paraId="2F4DAA4C" w14:textId="3F8E13CB" w:rsidR="00D815C7" w:rsidRDefault="00D815C7" w:rsidP="00D815C7">
            <w:pPr>
              <w:spacing w:after="0" w:line="240" w:lineRule="auto"/>
              <w:jc w:val="center"/>
              <w:rPr>
                <w:color w:val="000000"/>
                <w:sz w:val="16"/>
                <w:szCs w:val="16"/>
              </w:rPr>
            </w:pPr>
            <w:r>
              <w:rPr>
                <w:color w:val="000000"/>
                <w:sz w:val="16"/>
                <w:szCs w:val="16"/>
              </w:rPr>
              <w:t>0</w:t>
            </w:r>
          </w:p>
        </w:tc>
        <w:tc>
          <w:tcPr>
            <w:tcW w:w="993" w:type="dxa"/>
            <w:tcBorders>
              <w:top w:val="nil"/>
              <w:left w:val="nil"/>
              <w:bottom w:val="single" w:sz="4" w:space="0" w:color="auto"/>
              <w:right w:val="single" w:sz="4" w:space="0" w:color="auto"/>
            </w:tcBorders>
            <w:shd w:val="clear" w:color="auto" w:fill="auto"/>
            <w:noWrap/>
            <w:vAlign w:val="center"/>
          </w:tcPr>
          <w:p w14:paraId="518AE380" w14:textId="5BF85BD2" w:rsidR="00D815C7" w:rsidRDefault="00D815C7" w:rsidP="00D815C7">
            <w:pPr>
              <w:spacing w:after="0" w:line="240" w:lineRule="auto"/>
              <w:jc w:val="center"/>
              <w:rPr>
                <w:color w:val="000000"/>
                <w:sz w:val="16"/>
                <w:szCs w:val="16"/>
              </w:rPr>
            </w:pPr>
            <w:r>
              <w:rPr>
                <w:color w:val="000000"/>
                <w:sz w:val="16"/>
                <w:szCs w:val="16"/>
              </w:rPr>
              <w:t>306 000</w:t>
            </w:r>
          </w:p>
        </w:tc>
        <w:tc>
          <w:tcPr>
            <w:tcW w:w="992" w:type="dxa"/>
            <w:tcBorders>
              <w:top w:val="nil"/>
              <w:left w:val="nil"/>
              <w:bottom w:val="single" w:sz="4" w:space="0" w:color="auto"/>
              <w:right w:val="single" w:sz="4" w:space="0" w:color="auto"/>
            </w:tcBorders>
            <w:shd w:val="clear" w:color="auto" w:fill="auto"/>
            <w:noWrap/>
            <w:vAlign w:val="center"/>
          </w:tcPr>
          <w:p w14:paraId="584680B0" w14:textId="0657ABB7" w:rsidR="00D815C7" w:rsidRDefault="00D815C7" w:rsidP="00D815C7">
            <w:pPr>
              <w:spacing w:after="0" w:line="240" w:lineRule="auto"/>
              <w:jc w:val="center"/>
              <w:rPr>
                <w:color w:val="000000"/>
                <w:sz w:val="16"/>
                <w:szCs w:val="16"/>
              </w:rPr>
            </w:pPr>
            <w:r>
              <w:rPr>
                <w:color w:val="000000"/>
                <w:sz w:val="16"/>
                <w:szCs w:val="16"/>
              </w:rPr>
              <w:t>323 000</w:t>
            </w:r>
          </w:p>
        </w:tc>
        <w:tc>
          <w:tcPr>
            <w:tcW w:w="970" w:type="dxa"/>
            <w:tcBorders>
              <w:top w:val="nil"/>
              <w:left w:val="nil"/>
              <w:bottom w:val="single" w:sz="4" w:space="0" w:color="auto"/>
              <w:right w:val="single" w:sz="4" w:space="0" w:color="auto"/>
            </w:tcBorders>
            <w:shd w:val="clear" w:color="auto" w:fill="auto"/>
            <w:noWrap/>
            <w:vAlign w:val="center"/>
          </w:tcPr>
          <w:p w14:paraId="23C3BBF4" w14:textId="3411AA18" w:rsidR="00D815C7" w:rsidRDefault="00D815C7" w:rsidP="00D815C7">
            <w:pPr>
              <w:spacing w:after="0" w:line="240" w:lineRule="auto"/>
              <w:jc w:val="center"/>
              <w:rPr>
                <w:color w:val="000000"/>
                <w:sz w:val="16"/>
                <w:szCs w:val="16"/>
              </w:rPr>
            </w:pPr>
            <w:r>
              <w:rPr>
                <w:color w:val="000000"/>
                <w:sz w:val="16"/>
                <w:szCs w:val="16"/>
              </w:rPr>
              <w:t>357 000</w:t>
            </w:r>
          </w:p>
        </w:tc>
        <w:tc>
          <w:tcPr>
            <w:tcW w:w="970" w:type="dxa"/>
            <w:tcBorders>
              <w:top w:val="nil"/>
              <w:left w:val="nil"/>
              <w:bottom w:val="single" w:sz="4" w:space="0" w:color="auto"/>
              <w:right w:val="single" w:sz="4" w:space="0" w:color="auto"/>
            </w:tcBorders>
            <w:shd w:val="clear" w:color="auto" w:fill="auto"/>
            <w:noWrap/>
            <w:vAlign w:val="center"/>
          </w:tcPr>
          <w:p w14:paraId="270E3537" w14:textId="220F3324" w:rsidR="00D815C7" w:rsidRDefault="00D815C7" w:rsidP="00D815C7">
            <w:pPr>
              <w:spacing w:after="0" w:line="240" w:lineRule="auto"/>
              <w:jc w:val="center"/>
              <w:rPr>
                <w:color w:val="000000"/>
                <w:sz w:val="16"/>
                <w:szCs w:val="16"/>
              </w:rPr>
            </w:pPr>
            <w:r>
              <w:rPr>
                <w:b/>
                <w:bCs/>
                <w:color w:val="000000"/>
                <w:sz w:val="16"/>
                <w:szCs w:val="16"/>
              </w:rPr>
              <w:t>986 000</w:t>
            </w:r>
          </w:p>
        </w:tc>
      </w:tr>
      <w:tr w:rsidR="004C5639" w14:paraId="74F89733" w14:textId="77777777" w:rsidTr="004C5639">
        <w:trPr>
          <w:trHeight w:val="734"/>
        </w:trPr>
        <w:tc>
          <w:tcPr>
            <w:tcW w:w="1838" w:type="dxa"/>
            <w:tcBorders>
              <w:top w:val="nil"/>
              <w:left w:val="single" w:sz="4" w:space="0" w:color="auto"/>
              <w:bottom w:val="single" w:sz="4" w:space="0" w:color="auto"/>
              <w:right w:val="single" w:sz="4" w:space="0" w:color="auto"/>
            </w:tcBorders>
            <w:shd w:val="clear" w:color="000000" w:fill="F2F2F2"/>
            <w:vAlign w:val="center"/>
          </w:tcPr>
          <w:p w14:paraId="3A9EA129" w14:textId="77777777" w:rsidR="00D815C7" w:rsidRDefault="00D815C7" w:rsidP="00D815C7">
            <w:pPr>
              <w:spacing w:after="0" w:line="240" w:lineRule="auto"/>
              <w:jc w:val="center"/>
              <w:rPr>
                <w:b/>
                <w:bCs/>
                <w:sz w:val="16"/>
                <w:szCs w:val="16"/>
              </w:rPr>
            </w:pPr>
            <w:r>
              <w:rPr>
                <w:b/>
                <w:bCs/>
                <w:sz w:val="16"/>
                <w:szCs w:val="16"/>
              </w:rPr>
              <w:t>3. Provozní náklady nebo výdaje, náklady nebo výdaje na služby</w:t>
            </w:r>
          </w:p>
        </w:tc>
        <w:tc>
          <w:tcPr>
            <w:tcW w:w="992" w:type="dxa"/>
            <w:tcBorders>
              <w:top w:val="nil"/>
              <w:left w:val="nil"/>
              <w:bottom w:val="single" w:sz="4" w:space="0" w:color="auto"/>
              <w:right w:val="single" w:sz="4" w:space="0" w:color="auto"/>
            </w:tcBorders>
            <w:shd w:val="clear" w:color="auto" w:fill="auto"/>
            <w:noWrap/>
            <w:vAlign w:val="center"/>
          </w:tcPr>
          <w:p w14:paraId="72996A7F" w14:textId="28E86210" w:rsidR="00D815C7" w:rsidRDefault="00D815C7" w:rsidP="00D815C7">
            <w:pPr>
              <w:spacing w:after="0" w:line="240" w:lineRule="auto"/>
              <w:jc w:val="center"/>
              <w:rPr>
                <w:color w:val="000000"/>
                <w:sz w:val="16"/>
                <w:szCs w:val="16"/>
              </w:rPr>
            </w:pPr>
            <w:r>
              <w:rPr>
                <w:color w:val="000000"/>
                <w:sz w:val="16"/>
                <w:szCs w:val="16"/>
              </w:rPr>
              <w:t>400 500</w:t>
            </w:r>
          </w:p>
        </w:tc>
        <w:tc>
          <w:tcPr>
            <w:tcW w:w="993" w:type="dxa"/>
            <w:tcBorders>
              <w:top w:val="nil"/>
              <w:left w:val="nil"/>
              <w:bottom w:val="single" w:sz="4" w:space="0" w:color="auto"/>
              <w:right w:val="single" w:sz="4" w:space="0" w:color="auto"/>
            </w:tcBorders>
            <w:shd w:val="clear" w:color="auto" w:fill="auto"/>
            <w:noWrap/>
            <w:vAlign w:val="center"/>
          </w:tcPr>
          <w:p w14:paraId="02978AB8" w14:textId="7DD3449D" w:rsidR="00D815C7" w:rsidRDefault="00D815C7" w:rsidP="00D815C7">
            <w:pPr>
              <w:spacing w:after="0" w:line="240" w:lineRule="auto"/>
              <w:jc w:val="center"/>
              <w:rPr>
                <w:color w:val="000000"/>
                <w:sz w:val="16"/>
                <w:szCs w:val="16"/>
              </w:rPr>
            </w:pPr>
            <w:r>
              <w:rPr>
                <w:color w:val="000000"/>
                <w:sz w:val="16"/>
                <w:szCs w:val="16"/>
              </w:rPr>
              <w:t>1 315 000</w:t>
            </w:r>
          </w:p>
        </w:tc>
        <w:tc>
          <w:tcPr>
            <w:tcW w:w="992" w:type="dxa"/>
            <w:tcBorders>
              <w:top w:val="nil"/>
              <w:left w:val="nil"/>
              <w:bottom w:val="single" w:sz="4" w:space="0" w:color="auto"/>
              <w:right w:val="single" w:sz="4" w:space="0" w:color="auto"/>
            </w:tcBorders>
            <w:shd w:val="clear" w:color="auto" w:fill="auto"/>
            <w:noWrap/>
            <w:vAlign w:val="center"/>
          </w:tcPr>
          <w:p w14:paraId="0AB15CA2" w14:textId="655C4F2E" w:rsidR="00D815C7" w:rsidRDefault="00D815C7" w:rsidP="00D815C7">
            <w:pPr>
              <w:spacing w:after="0" w:line="240" w:lineRule="auto"/>
              <w:jc w:val="center"/>
              <w:rPr>
                <w:color w:val="000000"/>
                <w:sz w:val="16"/>
                <w:szCs w:val="16"/>
              </w:rPr>
            </w:pPr>
            <w:r>
              <w:rPr>
                <w:color w:val="000000"/>
                <w:sz w:val="16"/>
                <w:szCs w:val="16"/>
              </w:rPr>
              <w:t>1 293 500</w:t>
            </w:r>
          </w:p>
        </w:tc>
        <w:tc>
          <w:tcPr>
            <w:tcW w:w="970" w:type="dxa"/>
            <w:tcBorders>
              <w:top w:val="nil"/>
              <w:left w:val="nil"/>
              <w:bottom w:val="single" w:sz="4" w:space="0" w:color="auto"/>
              <w:right w:val="single" w:sz="4" w:space="0" w:color="auto"/>
            </w:tcBorders>
            <w:shd w:val="clear" w:color="auto" w:fill="auto"/>
            <w:noWrap/>
            <w:vAlign w:val="center"/>
          </w:tcPr>
          <w:p w14:paraId="513B77A3" w14:textId="0D0417C0" w:rsidR="00D815C7" w:rsidRDefault="00D815C7" w:rsidP="00D815C7">
            <w:pPr>
              <w:spacing w:after="0" w:line="240" w:lineRule="auto"/>
              <w:jc w:val="center"/>
              <w:rPr>
                <w:color w:val="000000"/>
                <w:sz w:val="16"/>
                <w:szCs w:val="16"/>
              </w:rPr>
            </w:pPr>
            <w:r>
              <w:rPr>
                <w:color w:val="000000"/>
                <w:sz w:val="16"/>
                <w:szCs w:val="16"/>
              </w:rPr>
              <w:t>1 457 500</w:t>
            </w:r>
          </w:p>
        </w:tc>
        <w:tc>
          <w:tcPr>
            <w:tcW w:w="970" w:type="dxa"/>
            <w:tcBorders>
              <w:top w:val="nil"/>
              <w:left w:val="nil"/>
              <w:bottom w:val="single" w:sz="4" w:space="0" w:color="auto"/>
              <w:right w:val="single" w:sz="4" w:space="0" w:color="auto"/>
            </w:tcBorders>
            <w:shd w:val="clear" w:color="auto" w:fill="auto"/>
            <w:noWrap/>
            <w:vAlign w:val="center"/>
          </w:tcPr>
          <w:p w14:paraId="71698F4E" w14:textId="08925822" w:rsidR="00D815C7" w:rsidRDefault="00D815C7" w:rsidP="00D815C7">
            <w:pPr>
              <w:spacing w:after="0" w:line="240" w:lineRule="auto"/>
              <w:jc w:val="center"/>
              <w:rPr>
                <w:color w:val="000000"/>
                <w:sz w:val="16"/>
                <w:szCs w:val="16"/>
              </w:rPr>
            </w:pPr>
            <w:r>
              <w:rPr>
                <w:b/>
                <w:bCs/>
                <w:color w:val="000000"/>
                <w:sz w:val="16"/>
                <w:szCs w:val="16"/>
              </w:rPr>
              <w:t>4 466 500</w:t>
            </w:r>
          </w:p>
        </w:tc>
      </w:tr>
      <w:tr w:rsidR="004C5639" w14:paraId="3295C633" w14:textId="77777777" w:rsidTr="004C5639">
        <w:trPr>
          <w:trHeight w:val="305"/>
        </w:trPr>
        <w:tc>
          <w:tcPr>
            <w:tcW w:w="1838" w:type="dxa"/>
            <w:vMerge w:val="restart"/>
            <w:tcBorders>
              <w:top w:val="nil"/>
              <w:left w:val="single" w:sz="4" w:space="0" w:color="auto"/>
              <w:bottom w:val="single" w:sz="4" w:space="0" w:color="auto"/>
              <w:right w:val="single" w:sz="4" w:space="0" w:color="auto"/>
            </w:tcBorders>
            <w:shd w:val="clear" w:color="000000" w:fill="F2F2F2"/>
            <w:vAlign w:val="center"/>
          </w:tcPr>
          <w:p w14:paraId="7FCD875E" w14:textId="77777777" w:rsidR="00D815C7" w:rsidRDefault="00D815C7" w:rsidP="00D815C7">
            <w:pPr>
              <w:spacing w:after="0" w:line="240" w:lineRule="auto"/>
              <w:jc w:val="center"/>
              <w:rPr>
                <w:b/>
                <w:bCs/>
                <w:color w:val="000000"/>
                <w:sz w:val="16"/>
                <w:szCs w:val="16"/>
              </w:rPr>
            </w:pPr>
            <w:r>
              <w:rPr>
                <w:b/>
                <w:bCs/>
                <w:color w:val="000000"/>
                <w:sz w:val="16"/>
                <w:szCs w:val="16"/>
              </w:rPr>
              <w:t>4. Doplňkové náklady</w:t>
            </w:r>
            <w:r>
              <w:rPr>
                <w:b/>
                <w:bCs/>
                <w:color w:val="000000"/>
                <w:sz w:val="16"/>
                <w:szCs w:val="16"/>
              </w:rPr>
              <w:br/>
              <w:t xml:space="preserve"> nebo výdaje (režie)</w:t>
            </w:r>
          </w:p>
        </w:tc>
        <w:tc>
          <w:tcPr>
            <w:tcW w:w="992" w:type="dxa"/>
            <w:tcBorders>
              <w:top w:val="nil"/>
              <w:left w:val="nil"/>
              <w:bottom w:val="single" w:sz="4" w:space="0" w:color="auto"/>
              <w:right w:val="single" w:sz="4" w:space="0" w:color="auto"/>
            </w:tcBorders>
            <w:shd w:val="clear" w:color="auto" w:fill="auto"/>
            <w:noWrap/>
            <w:vAlign w:val="center"/>
          </w:tcPr>
          <w:p w14:paraId="0ACF2D7E" w14:textId="01C9F785" w:rsidR="00D815C7" w:rsidRDefault="00D815C7" w:rsidP="00D815C7">
            <w:pPr>
              <w:spacing w:after="0" w:line="240" w:lineRule="auto"/>
              <w:jc w:val="center"/>
              <w:rPr>
                <w:color w:val="000000"/>
                <w:sz w:val="16"/>
                <w:szCs w:val="16"/>
              </w:rPr>
            </w:pPr>
            <w:r>
              <w:rPr>
                <w:color w:val="000000"/>
                <w:sz w:val="16"/>
                <w:szCs w:val="16"/>
              </w:rPr>
              <w:t>1 890 967</w:t>
            </w:r>
          </w:p>
        </w:tc>
        <w:tc>
          <w:tcPr>
            <w:tcW w:w="993" w:type="dxa"/>
            <w:tcBorders>
              <w:top w:val="nil"/>
              <w:left w:val="nil"/>
              <w:bottom w:val="single" w:sz="4" w:space="0" w:color="auto"/>
              <w:right w:val="single" w:sz="4" w:space="0" w:color="auto"/>
            </w:tcBorders>
            <w:shd w:val="clear" w:color="auto" w:fill="auto"/>
            <w:noWrap/>
            <w:vAlign w:val="center"/>
          </w:tcPr>
          <w:p w14:paraId="4910F67E" w14:textId="1ABF9F14" w:rsidR="00D815C7" w:rsidRDefault="00D815C7" w:rsidP="00D815C7">
            <w:pPr>
              <w:spacing w:after="0" w:line="240" w:lineRule="auto"/>
              <w:jc w:val="center"/>
              <w:rPr>
                <w:color w:val="000000"/>
                <w:sz w:val="16"/>
                <w:szCs w:val="16"/>
              </w:rPr>
            </w:pPr>
            <w:r>
              <w:rPr>
                <w:color w:val="000000"/>
                <w:sz w:val="16"/>
                <w:szCs w:val="16"/>
              </w:rPr>
              <w:t>4 959 614</w:t>
            </w:r>
          </w:p>
        </w:tc>
        <w:tc>
          <w:tcPr>
            <w:tcW w:w="992" w:type="dxa"/>
            <w:tcBorders>
              <w:top w:val="nil"/>
              <w:left w:val="nil"/>
              <w:bottom w:val="single" w:sz="4" w:space="0" w:color="auto"/>
              <w:right w:val="single" w:sz="4" w:space="0" w:color="auto"/>
            </w:tcBorders>
            <w:shd w:val="clear" w:color="auto" w:fill="auto"/>
            <w:noWrap/>
            <w:vAlign w:val="center"/>
          </w:tcPr>
          <w:p w14:paraId="2ACD10B3" w14:textId="5E172C15" w:rsidR="00D815C7" w:rsidRDefault="00D815C7" w:rsidP="00D815C7">
            <w:pPr>
              <w:spacing w:after="0" w:line="240" w:lineRule="auto"/>
              <w:jc w:val="center"/>
              <w:rPr>
                <w:color w:val="000000"/>
                <w:sz w:val="16"/>
                <w:szCs w:val="16"/>
              </w:rPr>
            </w:pPr>
            <w:r>
              <w:rPr>
                <w:color w:val="000000"/>
                <w:sz w:val="16"/>
                <w:szCs w:val="16"/>
              </w:rPr>
              <w:t>5 187 226</w:t>
            </w:r>
          </w:p>
        </w:tc>
        <w:tc>
          <w:tcPr>
            <w:tcW w:w="970" w:type="dxa"/>
            <w:tcBorders>
              <w:top w:val="nil"/>
              <w:left w:val="nil"/>
              <w:bottom w:val="single" w:sz="4" w:space="0" w:color="auto"/>
              <w:right w:val="single" w:sz="4" w:space="0" w:color="auto"/>
            </w:tcBorders>
            <w:shd w:val="clear" w:color="auto" w:fill="auto"/>
            <w:noWrap/>
            <w:vAlign w:val="center"/>
          </w:tcPr>
          <w:p w14:paraId="18065D19" w14:textId="213F07B4" w:rsidR="00D815C7" w:rsidRDefault="00D815C7" w:rsidP="00D815C7">
            <w:pPr>
              <w:spacing w:after="0" w:line="240" w:lineRule="auto"/>
              <w:jc w:val="center"/>
              <w:rPr>
                <w:color w:val="000000"/>
                <w:sz w:val="16"/>
                <w:szCs w:val="16"/>
              </w:rPr>
            </w:pPr>
            <w:r>
              <w:rPr>
                <w:color w:val="000000"/>
                <w:sz w:val="16"/>
                <w:szCs w:val="16"/>
              </w:rPr>
              <w:t>5 883 729</w:t>
            </w:r>
          </w:p>
        </w:tc>
        <w:tc>
          <w:tcPr>
            <w:tcW w:w="970" w:type="dxa"/>
            <w:tcBorders>
              <w:top w:val="nil"/>
              <w:left w:val="nil"/>
              <w:bottom w:val="single" w:sz="4" w:space="0" w:color="auto"/>
              <w:right w:val="single" w:sz="4" w:space="0" w:color="auto"/>
            </w:tcBorders>
            <w:shd w:val="clear" w:color="auto" w:fill="auto"/>
            <w:noWrap/>
            <w:vAlign w:val="center"/>
          </w:tcPr>
          <w:p w14:paraId="472E5928" w14:textId="0C46A0D6" w:rsidR="00D815C7" w:rsidRDefault="00D815C7" w:rsidP="00D815C7">
            <w:pPr>
              <w:spacing w:after="0" w:line="240" w:lineRule="auto"/>
              <w:jc w:val="center"/>
              <w:rPr>
                <w:color w:val="000000"/>
                <w:sz w:val="16"/>
                <w:szCs w:val="16"/>
              </w:rPr>
            </w:pPr>
            <w:r>
              <w:rPr>
                <w:b/>
                <w:bCs/>
                <w:color w:val="000000"/>
                <w:sz w:val="16"/>
                <w:szCs w:val="16"/>
              </w:rPr>
              <w:t>17 921 53</w:t>
            </w:r>
            <w:r w:rsidR="005F1B56">
              <w:rPr>
                <w:b/>
                <w:bCs/>
                <w:color w:val="000000"/>
                <w:sz w:val="16"/>
                <w:szCs w:val="16"/>
              </w:rPr>
              <w:t>6</w:t>
            </w:r>
          </w:p>
        </w:tc>
      </w:tr>
      <w:tr w:rsidR="004C5639" w14:paraId="1E73E4F1" w14:textId="77777777" w:rsidTr="004C5639">
        <w:trPr>
          <w:trHeight w:val="305"/>
        </w:trPr>
        <w:tc>
          <w:tcPr>
            <w:tcW w:w="1838" w:type="dxa"/>
            <w:vMerge/>
            <w:tcBorders>
              <w:top w:val="nil"/>
              <w:left w:val="single" w:sz="4" w:space="0" w:color="auto"/>
              <w:bottom w:val="single" w:sz="4" w:space="0" w:color="auto"/>
              <w:right w:val="single" w:sz="4" w:space="0" w:color="auto"/>
            </w:tcBorders>
            <w:vAlign w:val="center"/>
          </w:tcPr>
          <w:p w14:paraId="36E15870" w14:textId="77777777" w:rsidR="00D815C7" w:rsidRDefault="00D815C7" w:rsidP="00D815C7">
            <w:pPr>
              <w:spacing w:after="0" w:line="240" w:lineRule="auto"/>
              <w:jc w:val="center"/>
              <w:rPr>
                <w:b/>
                <w:bCs/>
                <w:color w:val="000000"/>
                <w:sz w:val="16"/>
                <w:szCs w:val="16"/>
              </w:rPr>
            </w:pPr>
          </w:p>
        </w:tc>
        <w:tc>
          <w:tcPr>
            <w:tcW w:w="992" w:type="dxa"/>
            <w:tcBorders>
              <w:top w:val="nil"/>
              <w:left w:val="nil"/>
              <w:bottom w:val="single" w:sz="4" w:space="0" w:color="auto"/>
              <w:right w:val="single" w:sz="4" w:space="0" w:color="auto"/>
            </w:tcBorders>
            <w:shd w:val="clear" w:color="000000" w:fill="F2F2F2"/>
            <w:noWrap/>
            <w:vAlign w:val="center"/>
          </w:tcPr>
          <w:p w14:paraId="7E0A8638" w14:textId="1DDE713A" w:rsidR="00D815C7" w:rsidRDefault="00D815C7" w:rsidP="00D815C7">
            <w:pPr>
              <w:spacing w:after="0" w:line="240" w:lineRule="auto"/>
              <w:jc w:val="center"/>
              <w:rPr>
                <w:color w:val="0070C0"/>
                <w:sz w:val="16"/>
                <w:szCs w:val="16"/>
              </w:rPr>
            </w:pPr>
            <w:r>
              <w:rPr>
                <w:color w:val="0070C0"/>
                <w:sz w:val="16"/>
                <w:szCs w:val="16"/>
              </w:rPr>
              <w:t>25,00%</w:t>
            </w:r>
          </w:p>
        </w:tc>
        <w:tc>
          <w:tcPr>
            <w:tcW w:w="993" w:type="dxa"/>
            <w:tcBorders>
              <w:top w:val="nil"/>
              <w:left w:val="nil"/>
              <w:bottom w:val="single" w:sz="4" w:space="0" w:color="auto"/>
              <w:right w:val="single" w:sz="4" w:space="0" w:color="auto"/>
            </w:tcBorders>
            <w:shd w:val="clear" w:color="000000" w:fill="F2F2F2"/>
            <w:noWrap/>
            <w:vAlign w:val="center"/>
          </w:tcPr>
          <w:p w14:paraId="74CC01C2" w14:textId="1A853D07" w:rsidR="00D815C7" w:rsidRDefault="00D815C7" w:rsidP="00D815C7">
            <w:pPr>
              <w:spacing w:after="0" w:line="240" w:lineRule="auto"/>
              <w:jc w:val="center"/>
              <w:rPr>
                <w:color w:val="0070C0"/>
                <w:sz w:val="16"/>
                <w:szCs w:val="16"/>
              </w:rPr>
            </w:pPr>
            <w:r>
              <w:rPr>
                <w:color w:val="0070C0"/>
                <w:sz w:val="16"/>
                <w:szCs w:val="16"/>
              </w:rPr>
              <w:t>25,00%</w:t>
            </w:r>
          </w:p>
        </w:tc>
        <w:tc>
          <w:tcPr>
            <w:tcW w:w="992" w:type="dxa"/>
            <w:tcBorders>
              <w:top w:val="nil"/>
              <w:left w:val="nil"/>
              <w:bottom w:val="single" w:sz="4" w:space="0" w:color="auto"/>
              <w:right w:val="single" w:sz="4" w:space="0" w:color="auto"/>
            </w:tcBorders>
            <w:shd w:val="clear" w:color="000000" w:fill="F2F2F2"/>
            <w:noWrap/>
            <w:vAlign w:val="center"/>
          </w:tcPr>
          <w:p w14:paraId="516C7393" w14:textId="2C913DBB" w:rsidR="00D815C7" w:rsidRDefault="00D815C7" w:rsidP="00D815C7">
            <w:pPr>
              <w:spacing w:after="0" w:line="240" w:lineRule="auto"/>
              <w:jc w:val="center"/>
              <w:rPr>
                <w:color w:val="0070C0"/>
                <w:sz w:val="16"/>
                <w:szCs w:val="16"/>
              </w:rPr>
            </w:pPr>
            <w:r>
              <w:rPr>
                <w:color w:val="0070C0"/>
                <w:sz w:val="16"/>
                <w:szCs w:val="16"/>
              </w:rPr>
              <w:t>25,00%</w:t>
            </w:r>
          </w:p>
        </w:tc>
        <w:tc>
          <w:tcPr>
            <w:tcW w:w="970" w:type="dxa"/>
            <w:tcBorders>
              <w:top w:val="nil"/>
              <w:left w:val="nil"/>
              <w:bottom w:val="single" w:sz="4" w:space="0" w:color="auto"/>
              <w:right w:val="single" w:sz="4" w:space="0" w:color="auto"/>
            </w:tcBorders>
            <w:shd w:val="clear" w:color="000000" w:fill="F2F2F2"/>
            <w:noWrap/>
            <w:vAlign w:val="center"/>
          </w:tcPr>
          <w:p w14:paraId="489AB13C" w14:textId="45352558" w:rsidR="00D815C7" w:rsidRDefault="00D815C7" w:rsidP="00D815C7">
            <w:pPr>
              <w:spacing w:after="0" w:line="240" w:lineRule="auto"/>
              <w:jc w:val="center"/>
              <w:rPr>
                <w:color w:val="0070C0"/>
                <w:sz w:val="16"/>
                <w:szCs w:val="16"/>
              </w:rPr>
            </w:pPr>
            <w:r>
              <w:rPr>
                <w:color w:val="0070C0"/>
                <w:sz w:val="16"/>
                <w:szCs w:val="16"/>
              </w:rPr>
              <w:t>25,00%</w:t>
            </w:r>
          </w:p>
        </w:tc>
        <w:tc>
          <w:tcPr>
            <w:tcW w:w="970" w:type="dxa"/>
            <w:tcBorders>
              <w:top w:val="nil"/>
              <w:left w:val="nil"/>
              <w:bottom w:val="single" w:sz="4" w:space="0" w:color="auto"/>
              <w:right w:val="single" w:sz="4" w:space="0" w:color="auto"/>
            </w:tcBorders>
            <w:shd w:val="clear" w:color="000000" w:fill="F2F2F2"/>
            <w:noWrap/>
            <w:vAlign w:val="center"/>
          </w:tcPr>
          <w:p w14:paraId="718E14AC" w14:textId="7DB4B7DF" w:rsidR="00D815C7" w:rsidRDefault="00D815C7" w:rsidP="00D815C7">
            <w:pPr>
              <w:spacing w:after="0" w:line="240" w:lineRule="auto"/>
              <w:jc w:val="center"/>
              <w:rPr>
                <w:color w:val="0070C0"/>
                <w:sz w:val="16"/>
                <w:szCs w:val="16"/>
              </w:rPr>
            </w:pPr>
            <w:r>
              <w:rPr>
                <w:b/>
                <w:bCs/>
                <w:color w:val="0070C0"/>
                <w:sz w:val="16"/>
                <w:szCs w:val="16"/>
              </w:rPr>
              <w:t>25,00%</w:t>
            </w:r>
          </w:p>
        </w:tc>
      </w:tr>
      <w:tr w:rsidR="004C5639" w14:paraId="3387B3C9" w14:textId="77777777" w:rsidTr="004C5639">
        <w:trPr>
          <w:trHeight w:val="305"/>
        </w:trPr>
        <w:tc>
          <w:tcPr>
            <w:tcW w:w="1838" w:type="dxa"/>
            <w:tcBorders>
              <w:top w:val="nil"/>
              <w:left w:val="single" w:sz="4" w:space="0" w:color="auto"/>
              <w:bottom w:val="single" w:sz="4" w:space="0" w:color="auto"/>
              <w:right w:val="single" w:sz="4" w:space="0" w:color="auto"/>
            </w:tcBorders>
            <w:shd w:val="clear" w:color="000000" w:fill="F2F2F2"/>
            <w:noWrap/>
            <w:vAlign w:val="center"/>
          </w:tcPr>
          <w:p w14:paraId="5F22A2ED" w14:textId="77777777" w:rsidR="00D815C7" w:rsidRDefault="00D815C7" w:rsidP="00D815C7">
            <w:pPr>
              <w:spacing w:after="0" w:line="240" w:lineRule="auto"/>
              <w:jc w:val="center"/>
              <w:rPr>
                <w:b/>
                <w:bCs/>
                <w:color w:val="000000"/>
                <w:sz w:val="16"/>
                <w:szCs w:val="16"/>
              </w:rPr>
            </w:pPr>
            <w:r>
              <w:rPr>
                <w:b/>
                <w:bCs/>
                <w:color w:val="000000"/>
                <w:sz w:val="16"/>
                <w:szCs w:val="16"/>
              </w:rPr>
              <w:t>CELKEM</w:t>
            </w:r>
          </w:p>
        </w:tc>
        <w:tc>
          <w:tcPr>
            <w:tcW w:w="992" w:type="dxa"/>
            <w:tcBorders>
              <w:top w:val="nil"/>
              <w:left w:val="nil"/>
              <w:bottom w:val="single" w:sz="4" w:space="0" w:color="auto"/>
              <w:right w:val="single" w:sz="4" w:space="0" w:color="auto"/>
            </w:tcBorders>
            <w:shd w:val="clear" w:color="000000" w:fill="F2F2F2"/>
            <w:noWrap/>
            <w:vAlign w:val="center"/>
          </w:tcPr>
          <w:p w14:paraId="4ED152D6" w14:textId="187EC418" w:rsidR="000E4155" w:rsidRDefault="000E4155" w:rsidP="00D815C7">
            <w:pPr>
              <w:spacing w:after="0" w:line="240" w:lineRule="auto"/>
              <w:jc w:val="center"/>
              <w:rPr>
                <w:b/>
                <w:bCs/>
                <w:color w:val="000000"/>
                <w:sz w:val="16"/>
                <w:szCs w:val="16"/>
              </w:rPr>
            </w:pPr>
            <w:r>
              <w:rPr>
                <w:b/>
                <w:bCs/>
                <w:color w:val="000000"/>
                <w:sz w:val="16"/>
                <w:szCs w:val="16"/>
              </w:rPr>
              <w:t xml:space="preserve">9 862 869 </w:t>
            </w:r>
          </w:p>
        </w:tc>
        <w:tc>
          <w:tcPr>
            <w:tcW w:w="993" w:type="dxa"/>
            <w:tcBorders>
              <w:top w:val="nil"/>
              <w:left w:val="nil"/>
              <w:bottom w:val="single" w:sz="4" w:space="0" w:color="auto"/>
              <w:right w:val="single" w:sz="4" w:space="0" w:color="auto"/>
            </w:tcBorders>
            <w:shd w:val="clear" w:color="000000" w:fill="F2F2F2"/>
            <w:noWrap/>
            <w:vAlign w:val="center"/>
          </w:tcPr>
          <w:p w14:paraId="4F63B56E" w14:textId="02566E1D" w:rsidR="000E4155" w:rsidRDefault="000E4155" w:rsidP="00D815C7">
            <w:pPr>
              <w:spacing w:after="0" w:line="240" w:lineRule="auto"/>
              <w:jc w:val="center"/>
              <w:rPr>
                <w:b/>
                <w:bCs/>
                <w:color w:val="000000"/>
                <w:sz w:val="16"/>
                <w:szCs w:val="16"/>
              </w:rPr>
            </w:pPr>
            <w:r>
              <w:rPr>
                <w:b/>
                <w:bCs/>
                <w:color w:val="000000"/>
                <w:sz w:val="16"/>
                <w:szCs w:val="16"/>
              </w:rPr>
              <w:t>25 512 072</w:t>
            </w:r>
          </w:p>
        </w:tc>
        <w:tc>
          <w:tcPr>
            <w:tcW w:w="992" w:type="dxa"/>
            <w:tcBorders>
              <w:top w:val="nil"/>
              <w:left w:val="nil"/>
              <w:bottom w:val="single" w:sz="4" w:space="0" w:color="auto"/>
              <w:right w:val="single" w:sz="4" w:space="0" w:color="auto"/>
            </w:tcBorders>
            <w:shd w:val="clear" w:color="000000" w:fill="F2F2F2"/>
            <w:noWrap/>
            <w:vAlign w:val="center"/>
          </w:tcPr>
          <w:p w14:paraId="3F34270F" w14:textId="6E40D66C" w:rsidR="00D815C7" w:rsidRDefault="000E4155" w:rsidP="00D815C7">
            <w:pPr>
              <w:spacing w:after="0" w:line="240" w:lineRule="auto"/>
              <w:jc w:val="center"/>
              <w:rPr>
                <w:b/>
                <w:bCs/>
                <w:color w:val="000000"/>
                <w:sz w:val="16"/>
                <w:szCs w:val="16"/>
              </w:rPr>
            </w:pPr>
            <w:r>
              <w:rPr>
                <w:b/>
                <w:bCs/>
                <w:color w:val="000000"/>
                <w:sz w:val="16"/>
                <w:szCs w:val="16"/>
              </w:rPr>
              <w:t>26 667 131</w:t>
            </w:r>
          </w:p>
        </w:tc>
        <w:tc>
          <w:tcPr>
            <w:tcW w:w="970" w:type="dxa"/>
            <w:tcBorders>
              <w:top w:val="nil"/>
              <w:left w:val="nil"/>
              <w:bottom w:val="single" w:sz="4" w:space="0" w:color="auto"/>
              <w:right w:val="single" w:sz="4" w:space="0" w:color="auto"/>
            </w:tcBorders>
            <w:shd w:val="clear" w:color="000000" w:fill="F2F2F2"/>
            <w:noWrap/>
            <w:vAlign w:val="center"/>
          </w:tcPr>
          <w:p w14:paraId="4ECB4C15" w14:textId="50186327" w:rsidR="000E4155" w:rsidRDefault="000E4155" w:rsidP="00D815C7">
            <w:pPr>
              <w:spacing w:after="0" w:line="240" w:lineRule="auto"/>
              <w:jc w:val="center"/>
              <w:rPr>
                <w:b/>
                <w:bCs/>
                <w:color w:val="000000"/>
                <w:sz w:val="16"/>
                <w:szCs w:val="16"/>
              </w:rPr>
            </w:pPr>
            <w:r>
              <w:rPr>
                <w:b/>
                <w:bCs/>
                <w:color w:val="000000"/>
                <w:sz w:val="16"/>
                <w:szCs w:val="16"/>
              </w:rPr>
              <w:t>30 183 646</w:t>
            </w:r>
          </w:p>
        </w:tc>
        <w:tc>
          <w:tcPr>
            <w:tcW w:w="970" w:type="dxa"/>
            <w:tcBorders>
              <w:top w:val="nil"/>
              <w:left w:val="nil"/>
              <w:bottom w:val="single" w:sz="4" w:space="0" w:color="auto"/>
              <w:right w:val="single" w:sz="4" w:space="0" w:color="auto"/>
            </w:tcBorders>
            <w:shd w:val="clear" w:color="000000" w:fill="F2F2F2"/>
            <w:noWrap/>
            <w:vAlign w:val="center"/>
          </w:tcPr>
          <w:p w14:paraId="68328F1A" w14:textId="6650B435" w:rsidR="000E4155" w:rsidRDefault="000E4155" w:rsidP="00D815C7">
            <w:pPr>
              <w:spacing w:after="0" w:line="240" w:lineRule="auto"/>
              <w:jc w:val="center"/>
              <w:rPr>
                <w:b/>
                <w:bCs/>
                <w:color w:val="000000"/>
                <w:sz w:val="16"/>
                <w:szCs w:val="16"/>
              </w:rPr>
            </w:pPr>
            <w:r>
              <w:rPr>
                <w:b/>
                <w:bCs/>
                <w:color w:val="000000"/>
                <w:sz w:val="16"/>
                <w:szCs w:val="16"/>
              </w:rPr>
              <w:t>92 225 685</w:t>
            </w:r>
          </w:p>
        </w:tc>
      </w:tr>
    </w:tbl>
    <w:p w14:paraId="7808E388" w14:textId="77777777" w:rsidR="00104BDD" w:rsidRDefault="00BD5DD5">
      <w:pPr>
        <w:keepNext/>
        <w:spacing w:before="240" w:after="240" w:line="240" w:lineRule="auto"/>
        <w:jc w:val="both"/>
        <w:rPr>
          <w:b/>
          <w:sz w:val="24"/>
        </w:rPr>
      </w:pPr>
      <w:r>
        <w:rPr>
          <w:b/>
          <w:sz w:val="24"/>
        </w:rPr>
        <w:t xml:space="preserve">Rozpočet příjemce: Technologické centrum AV ČR, </w:t>
      </w:r>
      <w:proofErr w:type="spellStart"/>
      <w:r>
        <w:rPr>
          <w:b/>
          <w:sz w:val="24"/>
        </w:rPr>
        <w:t>z.s.p.o</w:t>
      </w:r>
      <w:proofErr w:type="spellEnd"/>
      <w:r>
        <w:rPr>
          <w:b/>
          <w:sz w:val="24"/>
        </w:rPr>
        <w:t>.</w:t>
      </w:r>
    </w:p>
    <w:p w14:paraId="080DDD7C" w14:textId="77777777" w:rsidR="00104BDD" w:rsidRDefault="00BD5DD5">
      <w:pPr>
        <w:keepNext/>
        <w:spacing w:before="240" w:after="240" w:line="240" w:lineRule="auto"/>
        <w:jc w:val="both"/>
        <w:rPr>
          <w:b/>
          <w:bCs/>
          <w:color w:val="000000"/>
        </w:rPr>
      </w:pPr>
      <w:r>
        <w:rPr>
          <w:b/>
          <w:bCs/>
          <w:color w:val="000000"/>
        </w:rPr>
        <w:t>Náklady / výdaje v jednotlivých letech v Kč</w:t>
      </w:r>
    </w:p>
    <w:tbl>
      <w:tblPr>
        <w:tblW w:w="6799" w:type="dxa"/>
        <w:tblCellMar>
          <w:left w:w="70" w:type="dxa"/>
          <w:right w:w="70" w:type="dxa"/>
        </w:tblCellMar>
        <w:tblLook w:val="04A0" w:firstRow="1" w:lastRow="0" w:firstColumn="1" w:lastColumn="0" w:noHBand="0" w:noVBand="1"/>
      </w:tblPr>
      <w:tblGrid>
        <w:gridCol w:w="1780"/>
        <w:gridCol w:w="1050"/>
        <w:gridCol w:w="960"/>
        <w:gridCol w:w="960"/>
        <w:gridCol w:w="960"/>
        <w:gridCol w:w="1089"/>
      </w:tblGrid>
      <w:tr w:rsidR="00D84E4C" w14:paraId="6A37A796" w14:textId="67A5B90C" w:rsidTr="000A0E3C">
        <w:trPr>
          <w:trHeight w:val="300"/>
        </w:trPr>
        <w:tc>
          <w:tcPr>
            <w:tcW w:w="1780"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16F681F1" w14:textId="77777777" w:rsidR="00D84E4C" w:rsidRDefault="00D84E4C">
            <w:pPr>
              <w:keepNext/>
              <w:spacing w:after="0" w:line="240" w:lineRule="auto"/>
              <w:jc w:val="center"/>
              <w:rPr>
                <w:b/>
                <w:bCs/>
                <w:color w:val="000000"/>
                <w:sz w:val="16"/>
                <w:szCs w:val="16"/>
              </w:rPr>
            </w:pPr>
            <w:r>
              <w:rPr>
                <w:b/>
                <w:bCs/>
                <w:color w:val="000000"/>
                <w:sz w:val="16"/>
                <w:szCs w:val="16"/>
              </w:rPr>
              <w:t>Kategorie / Rok</w:t>
            </w:r>
          </w:p>
        </w:tc>
        <w:tc>
          <w:tcPr>
            <w:tcW w:w="1050" w:type="dxa"/>
            <w:tcBorders>
              <w:top w:val="single" w:sz="4" w:space="0" w:color="auto"/>
              <w:left w:val="nil"/>
              <w:bottom w:val="single" w:sz="4" w:space="0" w:color="auto"/>
              <w:right w:val="single" w:sz="4" w:space="0" w:color="auto"/>
            </w:tcBorders>
            <w:shd w:val="clear" w:color="000000" w:fill="F2F2F2"/>
            <w:noWrap/>
            <w:vAlign w:val="center"/>
          </w:tcPr>
          <w:p w14:paraId="09E3AE41" w14:textId="77777777" w:rsidR="00D84E4C" w:rsidRDefault="00D84E4C">
            <w:pPr>
              <w:keepNext/>
              <w:spacing w:after="0" w:line="240" w:lineRule="auto"/>
              <w:jc w:val="center"/>
              <w:rPr>
                <w:b/>
                <w:bCs/>
                <w:color w:val="000000"/>
                <w:sz w:val="16"/>
                <w:szCs w:val="16"/>
              </w:rPr>
            </w:pPr>
            <w:r>
              <w:rPr>
                <w:b/>
                <w:bCs/>
                <w:color w:val="000000"/>
                <w:sz w:val="16"/>
                <w:szCs w:val="16"/>
              </w:rPr>
              <w:t>2021</w:t>
            </w:r>
          </w:p>
        </w:tc>
        <w:tc>
          <w:tcPr>
            <w:tcW w:w="960" w:type="dxa"/>
            <w:tcBorders>
              <w:top w:val="single" w:sz="4" w:space="0" w:color="auto"/>
              <w:left w:val="nil"/>
              <w:bottom w:val="single" w:sz="4" w:space="0" w:color="auto"/>
              <w:right w:val="single" w:sz="4" w:space="0" w:color="auto"/>
            </w:tcBorders>
            <w:shd w:val="clear" w:color="000000" w:fill="F2F2F2"/>
            <w:noWrap/>
            <w:vAlign w:val="center"/>
          </w:tcPr>
          <w:p w14:paraId="7EA0B3D3" w14:textId="77777777" w:rsidR="00D84E4C" w:rsidRDefault="00D84E4C">
            <w:pPr>
              <w:keepNext/>
              <w:spacing w:after="0" w:line="240" w:lineRule="auto"/>
              <w:jc w:val="center"/>
              <w:rPr>
                <w:b/>
                <w:bCs/>
                <w:color w:val="000000"/>
                <w:sz w:val="16"/>
                <w:szCs w:val="16"/>
              </w:rPr>
            </w:pPr>
            <w:r>
              <w:rPr>
                <w:b/>
                <w:bCs/>
                <w:color w:val="000000"/>
                <w:sz w:val="16"/>
                <w:szCs w:val="16"/>
              </w:rPr>
              <w:t>2022</w:t>
            </w:r>
          </w:p>
        </w:tc>
        <w:tc>
          <w:tcPr>
            <w:tcW w:w="960" w:type="dxa"/>
            <w:tcBorders>
              <w:top w:val="single" w:sz="4" w:space="0" w:color="auto"/>
              <w:left w:val="nil"/>
              <w:bottom w:val="single" w:sz="4" w:space="0" w:color="auto"/>
              <w:right w:val="single" w:sz="4" w:space="0" w:color="auto"/>
            </w:tcBorders>
            <w:shd w:val="clear" w:color="000000" w:fill="F2F2F2"/>
            <w:noWrap/>
            <w:vAlign w:val="center"/>
          </w:tcPr>
          <w:p w14:paraId="761F990A" w14:textId="77777777" w:rsidR="00D84E4C" w:rsidRDefault="00D84E4C">
            <w:pPr>
              <w:keepNext/>
              <w:spacing w:after="0" w:line="240" w:lineRule="auto"/>
              <w:jc w:val="center"/>
              <w:rPr>
                <w:b/>
                <w:bCs/>
                <w:color w:val="000000"/>
                <w:sz w:val="16"/>
                <w:szCs w:val="16"/>
              </w:rPr>
            </w:pPr>
            <w:r>
              <w:rPr>
                <w:b/>
                <w:bCs/>
                <w:color w:val="000000"/>
                <w:sz w:val="16"/>
                <w:szCs w:val="16"/>
              </w:rPr>
              <w:t>2023</w:t>
            </w:r>
          </w:p>
        </w:tc>
        <w:tc>
          <w:tcPr>
            <w:tcW w:w="960" w:type="dxa"/>
            <w:tcBorders>
              <w:top w:val="single" w:sz="4" w:space="0" w:color="auto"/>
              <w:left w:val="nil"/>
              <w:bottom w:val="single" w:sz="4" w:space="0" w:color="auto"/>
              <w:right w:val="single" w:sz="4" w:space="0" w:color="auto"/>
            </w:tcBorders>
            <w:shd w:val="clear" w:color="000000" w:fill="F2F2F2"/>
            <w:noWrap/>
            <w:vAlign w:val="center"/>
          </w:tcPr>
          <w:p w14:paraId="353F0A59" w14:textId="042A8270" w:rsidR="00D84E4C" w:rsidRDefault="00D84E4C">
            <w:pPr>
              <w:keepNext/>
              <w:spacing w:after="0" w:line="240" w:lineRule="auto"/>
              <w:jc w:val="center"/>
              <w:rPr>
                <w:b/>
                <w:bCs/>
                <w:color w:val="000000"/>
                <w:sz w:val="16"/>
                <w:szCs w:val="16"/>
              </w:rPr>
            </w:pPr>
            <w:r>
              <w:rPr>
                <w:b/>
                <w:bCs/>
                <w:color w:val="000000"/>
                <w:sz w:val="16"/>
                <w:szCs w:val="16"/>
              </w:rPr>
              <w:t>2024</w:t>
            </w:r>
          </w:p>
        </w:tc>
        <w:tc>
          <w:tcPr>
            <w:tcW w:w="1089" w:type="dxa"/>
            <w:tcBorders>
              <w:top w:val="single" w:sz="4" w:space="0" w:color="auto"/>
              <w:left w:val="nil"/>
              <w:bottom w:val="single" w:sz="4" w:space="0" w:color="auto"/>
              <w:right w:val="single" w:sz="4" w:space="0" w:color="auto"/>
            </w:tcBorders>
            <w:shd w:val="clear" w:color="000000" w:fill="F2F2F2"/>
          </w:tcPr>
          <w:p w14:paraId="5BB8E65D" w14:textId="0E4FFED1" w:rsidR="00D84E4C" w:rsidRDefault="00D84E4C">
            <w:pPr>
              <w:keepNext/>
              <w:spacing w:after="0" w:line="240" w:lineRule="auto"/>
              <w:jc w:val="center"/>
              <w:rPr>
                <w:b/>
                <w:bCs/>
                <w:color w:val="000000"/>
                <w:sz w:val="16"/>
                <w:szCs w:val="16"/>
              </w:rPr>
            </w:pPr>
            <w:r>
              <w:rPr>
                <w:b/>
                <w:bCs/>
                <w:color w:val="000000"/>
                <w:sz w:val="16"/>
                <w:szCs w:val="16"/>
              </w:rPr>
              <w:t>CELKEM</w:t>
            </w:r>
          </w:p>
        </w:tc>
      </w:tr>
      <w:tr w:rsidR="006E17D9" w14:paraId="1C7C18CD" w14:textId="5F6A51EE" w:rsidTr="000A0E3C">
        <w:trPr>
          <w:trHeight w:val="660"/>
        </w:trPr>
        <w:tc>
          <w:tcPr>
            <w:tcW w:w="1780" w:type="dxa"/>
            <w:tcBorders>
              <w:top w:val="nil"/>
              <w:left w:val="single" w:sz="4" w:space="0" w:color="auto"/>
              <w:bottom w:val="single" w:sz="4" w:space="0" w:color="auto"/>
              <w:right w:val="single" w:sz="4" w:space="0" w:color="auto"/>
            </w:tcBorders>
            <w:shd w:val="clear" w:color="000000" w:fill="F2F2F2"/>
            <w:vAlign w:val="center"/>
          </w:tcPr>
          <w:p w14:paraId="74251E80" w14:textId="77777777" w:rsidR="006E17D9" w:rsidRDefault="006E17D9" w:rsidP="006E17D9">
            <w:pPr>
              <w:spacing w:after="0" w:line="240" w:lineRule="auto"/>
              <w:jc w:val="center"/>
              <w:rPr>
                <w:b/>
                <w:bCs/>
                <w:color w:val="000000"/>
                <w:sz w:val="16"/>
                <w:szCs w:val="16"/>
              </w:rPr>
            </w:pPr>
            <w:r>
              <w:rPr>
                <w:b/>
                <w:bCs/>
                <w:color w:val="000000"/>
                <w:sz w:val="16"/>
                <w:szCs w:val="16"/>
              </w:rPr>
              <w:t xml:space="preserve">1. Osobní náklady </w:t>
            </w:r>
            <w:r>
              <w:rPr>
                <w:b/>
                <w:bCs/>
                <w:color w:val="000000"/>
                <w:sz w:val="16"/>
                <w:szCs w:val="16"/>
              </w:rPr>
              <w:br/>
              <w:t>nebo výdaje</w:t>
            </w:r>
          </w:p>
        </w:tc>
        <w:tc>
          <w:tcPr>
            <w:tcW w:w="1050" w:type="dxa"/>
            <w:tcBorders>
              <w:top w:val="nil"/>
              <w:left w:val="nil"/>
              <w:bottom w:val="single" w:sz="4" w:space="0" w:color="auto"/>
              <w:right w:val="single" w:sz="4" w:space="0" w:color="auto"/>
            </w:tcBorders>
            <w:shd w:val="clear" w:color="auto" w:fill="auto"/>
            <w:noWrap/>
            <w:vAlign w:val="center"/>
          </w:tcPr>
          <w:p w14:paraId="4F0FFBC0" w14:textId="2EC53A3D" w:rsidR="006E17D9" w:rsidRDefault="006E17D9" w:rsidP="006E17D9">
            <w:pPr>
              <w:spacing w:after="0" w:line="240" w:lineRule="auto"/>
              <w:jc w:val="center"/>
              <w:rPr>
                <w:color w:val="000000"/>
                <w:sz w:val="16"/>
                <w:szCs w:val="16"/>
              </w:rPr>
            </w:pPr>
            <w:r>
              <w:rPr>
                <w:color w:val="000000"/>
                <w:sz w:val="16"/>
                <w:szCs w:val="16"/>
              </w:rPr>
              <w:t>1 232 500</w:t>
            </w:r>
          </w:p>
        </w:tc>
        <w:tc>
          <w:tcPr>
            <w:tcW w:w="960" w:type="dxa"/>
            <w:tcBorders>
              <w:top w:val="nil"/>
              <w:left w:val="nil"/>
              <w:bottom w:val="single" w:sz="4" w:space="0" w:color="auto"/>
              <w:right w:val="single" w:sz="4" w:space="0" w:color="auto"/>
            </w:tcBorders>
            <w:shd w:val="clear" w:color="auto" w:fill="auto"/>
            <w:noWrap/>
            <w:vAlign w:val="center"/>
          </w:tcPr>
          <w:p w14:paraId="3339DA47" w14:textId="4FE9477E" w:rsidR="006E17D9" w:rsidRDefault="006E17D9" w:rsidP="006E17D9">
            <w:pPr>
              <w:spacing w:after="0" w:line="240" w:lineRule="auto"/>
              <w:jc w:val="center"/>
              <w:rPr>
                <w:color w:val="000000"/>
                <w:sz w:val="16"/>
                <w:szCs w:val="16"/>
              </w:rPr>
            </w:pPr>
            <w:r>
              <w:rPr>
                <w:color w:val="000000"/>
                <w:sz w:val="16"/>
                <w:szCs w:val="16"/>
              </w:rPr>
              <w:t>12 061 500</w:t>
            </w:r>
          </w:p>
        </w:tc>
        <w:tc>
          <w:tcPr>
            <w:tcW w:w="960" w:type="dxa"/>
            <w:tcBorders>
              <w:top w:val="nil"/>
              <w:left w:val="nil"/>
              <w:bottom w:val="single" w:sz="4" w:space="0" w:color="auto"/>
              <w:right w:val="single" w:sz="4" w:space="0" w:color="auto"/>
            </w:tcBorders>
            <w:shd w:val="clear" w:color="auto" w:fill="auto"/>
            <w:noWrap/>
            <w:vAlign w:val="center"/>
          </w:tcPr>
          <w:p w14:paraId="4D77B45A" w14:textId="1AFB727A" w:rsidR="006E17D9" w:rsidRDefault="006E17D9" w:rsidP="006E17D9">
            <w:pPr>
              <w:spacing w:after="0" w:line="240" w:lineRule="auto"/>
              <w:jc w:val="center"/>
              <w:rPr>
                <w:color w:val="000000"/>
                <w:sz w:val="16"/>
                <w:szCs w:val="16"/>
              </w:rPr>
            </w:pPr>
            <w:r>
              <w:rPr>
                <w:color w:val="000000"/>
                <w:sz w:val="16"/>
                <w:szCs w:val="16"/>
              </w:rPr>
              <w:t>13 421 500</w:t>
            </w:r>
          </w:p>
        </w:tc>
        <w:tc>
          <w:tcPr>
            <w:tcW w:w="960" w:type="dxa"/>
            <w:tcBorders>
              <w:top w:val="nil"/>
              <w:left w:val="nil"/>
              <w:bottom w:val="single" w:sz="4" w:space="0" w:color="auto"/>
              <w:right w:val="single" w:sz="4" w:space="0" w:color="auto"/>
            </w:tcBorders>
            <w:shd w:val="clear" w:color="auto" w:fill="auto"/>
            <w:noWrap/>
            <w:vAlign w:val="center"/>
          </w:tcPr>
          <w:p w14:paraId="044EC361" w14:textId="73A90236" w:rsidR="006E17D9" w:rsidRDefault="006E17D9" w:rsidP="006E17D9">
            <w:pPr>
              <w:spacing w:after="0" w:line="240" w:lineRule="auto"/>
              <w:jc w:val="center"/>
              <w:rPr>
                <w:color w:val="000000"/>
                <w:sz w:val="16"/>
                <w:szCs w:val="16"/>
              </w:rPr>
            </w:pPr>
            <w:r>
              <w:rPr>
                <w:color w:val="000000"/>
                <w:sz w:val="16"/>
                <w:szCs w:val="16"/>
              </w:rPr>
              <w:t>15 878 000</w:t>
            </w:r>
          </w:p>
        </w:tc>
        <w:tc>
          <w:tcPr>
            <w:tcW w:w="1089" w:type="dxa"/>
            <w:tcBorders>
              <w:top w:val="nil"/>
              <w:left w:val="nil"/>
              <w:bottom w:val="single" w:sz="4" w:space="0" w:color="auto"/>
              <w:right w:val="single" w:sz="4" w:space="0" w:color="auto"/>
            </w:tcBorders>
            <w:vAlign w:val="center"/>
          </w:tcPr>
          <w:p w14:paraId="0CD5F0A1" w14:textId="275817DE" w:rsidR="006E17D9" w:rsidRDefault="006E17D9" w:rsidP="006E17D9">
            <w:pPr>
              <w:spacing w:after="0" w:line="240" w:lineRule="auto"/>
              <w:jc w:val="center"/>
              <w:rPr>
                <w:color w:val="000000"/>
                <w:sz w:val="16"/>
                <w:szCs w:val="16"/>
              </w:rPr>
            </w:pPr>
            <w:r>
              <w:rPr>
                <w:b/>
                <w:bCs/>
                <w:color w:val="000000"/>
                <w:sz w:val="16"/>
                <w:szCs w:val="16"/>
              </w:rPr>
              <w:t>42 593 500</w:t>
            </w:r>
          </w:p>
        </w:tc>
      </w:tr>
      <w:tr w:rsidR="006E17D9" w14:paraId="43628442" w14:textId="067D09D0" w:rsidTr="000A0E3C">
        <w:trPr>
          <w:trHeight w:val="960"/>
        </w:trPr>
        <w:tc>
          <w:tcPr>
            <w:tcW w:w="1780" w:type="dxa"/>
            <w:tcBorders>
              <w:top w:val="nil"/>
              <w:left w:val="single" w:sz="4" w:space="0" w:color="auto"/>
              <w:bottom w:val="single" w:sz="4" w:space="0" w:color="auto"/>
              <w:right w:val="single" w:sz="4" w:space="0" w:color="auto"/>
            </w:tcBorders>
            <w:shd w:val="clear" w:color="000000" w:fill="F2F2F2"/>
            <w:vAlign w:val="center"/>
          </w:tcPr>
          <w:p w14:paraId="5FD021D9" w14:textId="77777777" w:rsidR="006E17D9" w:rsidRDefault="006E17D9" w:rsidP="006E17D9">
            <w:pPr>
              <w:spacing w:after="0" w:line="240" w:lineRule="auto"/>
              <w:jc w:val="center"/>
              <w:rPr>
                <w:b/>
                <w:bCs/>
                <w:sz w:val="16"/>
                <w:szCs w:val="16"/>
              </w:rPr>
            </w:pPr>
            <w:r>
              <w:rPr>
                <w:b/>
                <w:bCs/>
                <w:sz w:val="16"/>
                <w:szCs w:val="16"/>
              </w:rPr>
              <w:t>2. Náklady nebo výdaje na pořízení hmotného a nehmotného majetku</w:t>
            </w:r>
          </w:p>
        </w:tc>
        <w:tc>
          <w:tcPr>
            <w:tcW w:w="1050" w:type="dxa"/>
            <w:tcBorders>
              <w:top w:val="nil"/>
              <w:left w:val="nil"/>
              <w:bottom w:val="single" w:sz="4" w:space="0" w:color="auto"/>
              <w:right w:val="single" w:sz="4" w:space="0" w:color="auto"/>
            </w:tcBorders>
            <w:shd w:val="clear" w:color="auto" w:fill="auto"/>
            <w:noWrap/>
            <w:vAlign w:val="center"/>
          </w:tcPr>
          <w:p w14:paraId="4EAF7692" w14:textId="67FB3348" w:rsidR="006E17D9" w:rsidRDefault="006E17D9" w:rsidP="006E17D9">
            <w:pPr>
              <w:spacing w:after="0" w:line="240" w:lineRule="auto"/>
              <w:jc w:val="center"/>
              <w:rPr>
                <w:color w:val="000000"/>
                <w:sz w:val="16"/>
                <w:szCs w:val="16"/>
              </w:rPr>
            </w:pPr>
            <w:r>
              <w:rPr>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center"/>
          </w:tcPr>
          <w:p w14:paraId="3C6498BB" w14:textId="1C7577F2" w:rsidR="006E17D9" w:rsidRDefault="006E17D9" w:rsidP="006E17D9">
            <w:pPr>
              <w:spacing w:after="0" w:line="240" w:lineRule="auto"/>
              <w:jc w:val="center"/>
              <w:rPr>
                <w:color w:val="000000"/>
                <w:sz w:val="16"/>
                <w:szCs w:val="16"/>
              </w:rPr>
            </w:pPr>
            <w:r>
              <w:rPr>
                <w:color w:val="000000"/>
                <w:sz w:val="16"/>
                <w:szCs w:val="16"/>
              </w:rPr>
              <w:t>306 000</w:t>
            </w:r>
          </w:p>
        </w:tc>
        <w:tc>
          <w:tcPr>
            <w:tcW w:w="960" w:type="dxa"/>
            <w:tcBorders>
              <w:top w:val="nil"/>
              <w:left w:val="nil"/>
              <w:bottom w:val="single" w:sz="4" w:space="0" w:color="auto"/>
              <w:right w:val="single" w:sz="4" w:space="0" w:color="auto"/>
            </w:tcBorders>
            <w:shd w:val="clear" w:color="auto" w:fill="auto"/>
            <w:noWrap/>
            <w:vAlign w:val="center"/>
          </w:tcPr>
          <w:p w14:paraId="7A4401AA" w14:textId="1EDDC760" w:rsidR="006E17D9" w:rsidRDefault="006E17D9" w:rsidP="006E17D9">
            <w:pPr>
              <w:spacing w:after="0" w:line="240" w:lineRule="auto"/>
              <w:jc w:val="center"/>
              <w:rPr>
                <w:color w:val="000000"/>
                <w:sz w:val="16"/>
                <w:szCs w:val="16"/>
              </w:rPr>
            </w:pPr>
            <w:r>
              <w:rPr>
                <w:color w:val="000000"/>
                <w:sz w:val="16"/>
                <w:szCs w:val="16"/>
              </w:rPr>
              <w:t>323 000</w:t>
            </w:r>
          </w:p>
        </w:tc>
        <w:tc>
          <w:tcPr>
            <w:tcW w:w="960" w:type="dxa"/>
            <w:tcBorders>
              <w:top w:val="nil"/>
              <w:left w:val="nil"/>
              <w:bottom w:val="single" w:sz="4" w:space="0" w:color="auto"/>
              <w:right w:val="single" w:sz="4" w:space="0" w:color="auto"/>
            </w:tcBorders>
            <w:shd w:val="clear" w:color="auto" w:fill="auto"/>
            <w:noWrap/>
            <w:vAlign w:val="center"/>
          </w:tcPr>
          <w:p w14:paraId="1E00DEC1" w14:textId="6DB123CA" w:rsidR="006E17D9" w:rsidRDefault="006E17D9" w:rsidP="006E17D9">
            <w:pPr>
              <w:spacing w:after="0" w:line="240" w:lineRule="auto"/>
              <w:jc w:val="center"/>
              <w:rPr>
                <w:color w:val="000000"/>
                <w:sz w:val="16"/>
                <w:szCs w:val="16"/>
              </w:rPr>
            </w:pPr>
            <w:r>
              <w:rPr>
                <w:color w:val="000000"/>
                <w:sz w:val="16"/>
                <w:szCs w:val="16"/>
              </w:rPr>
              <w:t>357 000</w:t>
            </w:r>
          </w:p>
        </w:tc>
        <w:tc>
          <w:tcPr>
            <w:tcW w:w="1089" w:type="dxa"/>
            <w:tcBorders>
              <w:top w:val="nil"/>
              <w:left w:val="nil"/>
              <w:bottom w:val="single" w:sz="4" w:space="0" w:color="auto"/>
              <w:right w:val="single" w:sz="4" w:space="0" w:color="auto"/>
            </w:tcBorders>
            <w:vAlign w:val="center"/>
          </w:tcPr>
          <w:p w14:paraId="05EE2252" w14:textId="6AB1507A" w:rsidR="006E17D9" w:rsidRDefault="006E17D9" w:rsidP="006E17D9">
            <w:pPr>
              <w:spacing w:after="0" w:line="240" w:lineRule="auto"/>
              <w:jc w:val="center"/>
              <w:rPr>
                <w:color w:val="000000"/>
                <w:sz w:val="16"/>
                <w:szCs w:val="16"/>
              </w:rPr>
            </w:pPr>
            <w:r>
              <w:rPr>
                <w:b/>
                <w:bCs/>
                <w:color w:val="000000"/>
                <w:sz w:val="16"/>
                <w:szCs w:val="16"/>
              </w:rPr>
              <w:t>986 000</w:t>
            </w:r>
          </w:p>
        </w:tc>
      </w:tr>
      <w:tr w:rsidR="006E17D9" w14:paraId="71A36C04" w14:textId="1BA74848" w:rsidTr="000A0E3C">
        <w:trPr>
          <w:trHeight w:val="960"/>
        </w:trPr>
        <w:tc>
          <w:tcPr>
            <w:tcW w:w="1780" w:type="dxa"/>
            <w:tcBorders>
              <w:top w:val="nil"/>
              <w:left w:val="single" w:sz="4" w:space="0" w:color="auto"/>
              <w:bottom w:val="single" w:sz="4" w:space="0" w:color="auto"/>
              <w:right w:val="single" w:sz="4" w:space="0" w:color="auto"/>
            </w:tcBorders>
            <w:shd w:val="clear" w:color="000000" w:fill="F2F2F2"/>
            <w:vAlign w:val="center"/>
          </w:tcPr>
          <w:p w14:paraId="3578A321" w14:textId="77777777" w:rsidR="006E17D9" w:rsidRDefault="006E17D9" w:rsidP="006E17D9">
            <w:pPr>
              <w:spacing w:after="0" w:line="240" w:lineRule="auto"/>
              <w:jc w:val="center"/>
              <w:rPr>
                <w:b/>
                <w:bCs/>
                <w:sz w:val="16"/>
                <w:szCs w:val="16"/>
              </w:rPr>
            </w:pPr>
            <w:r>
              <w:rPr>
                <w:b/>
                <w:bCs/>
                <w:sz w:val="16"/>
                <w:szCs w:val="16"/>
              </w:rPr>
              <w:t>3. Provozní náklady nebo výdaje, náklady nebo výdaje na služby</w:t>
            </w:r>
          </w:p>
        </w:tc>
        <w:tc>
          <w:tcPr>
            <w:tcW w:w="1050" w:type="dxa"/>
            <w:tcBorders>
              <w:top w:val="nil"/>
              <w:left w:val="nil"/>
              <w:bottom w:val="single" w:sz="4" w:space="0" w:color="auto"/>
              <w:right w:val="single" w:sz="4" w:space="0" w:color="auto"/>
            </w:tcBorders>
            <w:shd w:val="clear" w:color="auto" w:fill="auto"/>
            <w:noWrap/>
            <w:vAlign w:val="center"/>
          </w:tcPr>
          <w:p w14:paraId="701709F1" w14:textId="75E09095" w:rsidR="006E17D9" w:rsidRDefault="006E17D9" w:rsidP="006E17D9">
            <w:pPr>
              <w:spacing w:after="0" w:line="240" w:lineRule="auto"/>
              <w:jc w:val="center"/>
              <w:rPr>
                <w:color w:val="000000"/>
                <w:sz w:val="16"/>
                <w:szCs w:val="16"/>
              </w:rPr>
            </w:pPr>
            <w:r>
              <w:rPr>
                <w:color w:val="000000"/>
                <w:sz w:val="16"/>
                <w:szCs w:val="16"/>
              </w:rPr>
              <w:t>110 500</w:t>
            </w:r>
          </w:p>
        </w:tc>
        <w:tc>
          <w:tcPr>
            <w:tcW w:w="960" w:type="dxa"/>
            <w:tcBorders>
              <w:top w:val="nil"/>
              <w:left w:val="nil"/>
              <w:bottom w:val="single" w:sz="4" w:space="0" w:color="auto"/>
              <w:right w:val="single" w:sz="4" w:space="0" w:color="auto"/>
            </w:tcBorders>
            <w:shd w:val="clear" w:color="auto" w:fill="auto"/>
            <w:noWrap/>
            <w:vAlign w:val="center"/>
          </w:tcPr>
          <w:p w14:paraId="3EE56467" w14:textId="7DCE79A0" w:rsidR="006E17D9" w:rsidRDefault="006E17D9" w:rsidP="006E17D9">
            <w:pPr>
              <w:spacing w:after="0" w:line="240" w:lineRule="auto"/>
              <w:jc w:val="center"/>
              <w:rPr>
                <w:color w:val="000000"/>
                <w:sz w:val="16"/>
                <w:szCs w:val="16"/>
              </w:rPr>
            </w:pPr>
            <w:r>
              <w:rPr>
                <w:color w:val="000000"/>
                <w:sz w:val="16"/>
                <w:szCs w:val="16"/>
              </w:rPr>
              <w:t>1 037 000</w:t>
            </w:r>
          </w:p>
        </w:tc>
        <w:tc>
          <w:tcPr>
            <w:tcW w:w="960" w:type="dxa"/>
            <w:tcBorders>
              <w:top w:val="nil"/>
              <w:left w:val="nil"/>
              <w:bottom w:val="single" w:sz="4" w:space="0" w:color="auto"/>
              <w:right w:val="single" w:sz="4" w:space="0" w:color="auto"/>
            </w:tcBorders>
            <w:shd w:val="clear" w:color="auto" w:fill="auto"/>
            <w:noWrap/>
            <w:vAlign w:val="center"/>
          </w:tcPr>
          <w:p w14:paraId="01499505" w14:textId="6FA67766" w:rsidR="006E17D9" w:rsidRDefault="006E17D9" w:rsidP="006E17D9">
            <w:pPr>
              <w:spacing w:after="0" w:line="240" w:lineRule="auto"/>
              <w:jc w:val="center"/>
              <w:rPr>
                <w:color w:val="000000"/>
                <w:sz w:val="16"/>
                <w:szCs w:val="16"/>
              </w:rPr>
            </w:pPr>
            <w:r>
              <w:rPr>
                <w:color w:val="000000"/>
                <w:sz w:val="16"/>
                <w:szCs w:val="16"/>
              </w:rPr>
              <w:t>1 071 000</w:t>
            </w:r>
          </w:p>
        </w:tc>
        <w:tc>
          <w:tcPr>
            <w:tcW w:w="960" w:type="dxa"/>
            <w:tcBorders>
              <w:top w:val="nil"/>
              <w:left w:val="nil"/>
              <w:bottom w:val="single" w:sz="4" w:space="0" w:color="auto"/>
              <w:right w:val="single" w:sz="4" w:space="0" w:color="auto"/>
            </w:tcBorders>
            <w:shd w:val="clear" w:color="auto" w:fill="auto"/>
            <w:noWrap/>
            <w:vAlign w:val="center"/>
          </w:tcPr>
          <w:p w14:paraId="7EE68CDF" w14:textId="7DD33FF7" w:rsidR="006E17D9" w:rsidRDefault="006E17D9" w:rsidP="006E17D9">
            <w:pPr>
              <w:spacing w:after="0" w:line="240" w:lineRule="auto"/>
              <w:jc w:val="center"/>
              <w:rPr>
                <w:color w:val="000000"/>
                <w:sz w:val="16"/>
                <w:szCs w:val="16"/>
              </w:rPr>
            </w:pPr>
            <w:r>
              <w:rPr>
                <w:color w:val="000000"/>
                <w:sz w:val="16"/>
                <w:szCs w:val="16"/>
              </w:rPr>
              <w:t>1 215 500</w:t>
            </w:r>
          </w:p>
        </w:tc>
        <w:tc>
          <w:tcPr>
            <w:tcW w:w="1089" w:type="dxa"/>
            <w:tcBorders>
              <w:top w:val="nil"/>
              <w:left w:val="nil"/>
              <w:bottom w:val="single" w:sz="4" w:space="0" w:color="auto"/>
              <w:right w:val="single" w:sz="4" w:space="0" w:color="auto"/>
            </w:tcBorders>
            <w:vAlign w:val="center"/>
          </w:tcPr>
          <w:p w14:paraId="7B8CB73D" w14:textId="2824E80E" w:rsidR="006E17D9" w:rsidRDefault="006E17D9" w:rsidP="006E17D9">
            <w:pPr>
              <w:spacing w:after="0" w:line="240" w:lineRule="auto"/>
              <w:jc w:val="center"/>
              <w:rPr>
                <w:color w:val="000000"/>
                <w:sz w:val="16"/>
                <w:szCs w:val="16"/>
              </w:rPr>
            </w:pPr>
            <w:r>
              <w:rPr>
                <w:b/>
                <w:bCs/>
                <w:color w:val="000000"/>
                <w:sz w:val="16"/>
                <w:szCs w:val="16"/>
              </w:rPr>
              <w:t>3 434 000</w:t>
            </w:r>
          </w:p>
        </w:tc>
      </w:tr>
      <w:tr w:rsidR="006E17D9" w14:paraId="31809DD6" w14:textId="605E8B21" w:rsidTr="000A0E3C">
        <w:trPr>
          <w:trHeight w:val="300"/>
        </w:trPr>
        <w:tc>
          <w:tcPr>
            <w:tcW w:w="1780" w:type="dxa"/>
            <w:vMerge w:val="restart"/>
            <w:tcBorders>
              <w:top w:val="nil"/>
              <w:left w:val="single" w:sz="4" w:space="0" w:color="auto"/>
              <w:bottom w:val="single" w:sz="4" w:space="0" w:color="auto"/>
              <w:right w:val="single" w:sz="4" w:space="0" w:color="auto"/>
            </w:tcBorders>
            <w:shd w:val="clear" w:color="000000" w:fill="F2F2F2"/>
            <w:vAlign w:val="center"/>
          </w:tcPr>
          <w:p w14:paraId="2573DAC1" w14:textId="77777777" w:rsidR="006E17D9" w:rsidRDefault="006E17D9" w:rsidP="006E17D9">
            <w:pPr>
              <w:spacing w:after="0" w:line="240" w:lineRule="auto"/>
              <w:jc w:val="center"/>
              <w:rPr>
                <w:b/>
                <w:bCs/>
                <w:color w:val="000000"/>
                <w:sz w:val="16"/>
                <w:szCs w:val="16"/>
              </w:rPr>
            </w:pPr>
            <w:r>
              <w:rPr>
                <w:b/>
                <w:bCs/>
                <w:color w:val="000000"/>
                <w:sz w:val="16"/>
                <w:szCs w:val="16"/>
              </w:rPr>
              <w:t>4. Doplňkové náklady</w:t>
            </w:r>
            <w:r>
              <w:rPr>
                <w:b/>
                <w:bCs/>
                <w:color w:val="000000"/>
                <w:sz w:val="16"/>
                <w:szCs w:val="16"/>
              </w:rPr>
              <w:br/>
              <w:t xml:space="preserve"> nebo výdaje (režie)</w:t>
            </w:r>
          </w:p>
        </w:tc>
        <w:tc>
          <w:tcPr>
            <w:tcW w:w="1050" w:type="dxa"/>
            <w:tcBorders>
              <w:top w:val="nil"/>
              <w:left w:val="nil"/>
              <w:bottom w:val="single" w:sz="4" w:space="0" w:color="auto"/>
              <w:right w:val="single" w:sz="4" w:space="0" w:color="auto"/>
            </w:tcBorders>
            <w:shd w:val="clear" w:color="auto" w:fill="auto"/>
            <w:noWrap/>
            <w:vAlign w:val="center"/>
          </w:tcPr>
          <w:p w14:paraId="689BD6FB" w14:textId="029E955A" w:rsidR="006E17D9" w:rsidRDefault="006E17D9" w:rsidP="006E17D9">
            <w:pPr>
              <w:spacing w:after="0" w:line="240" w:lineRule="auto"/>
              <w:jc w:val="center"/>
              <w:rPr>
                <w:color w:val="000000"/>
                <w:sz w:val="16"/>
                <w:szCs w:val="16"/>
              </w:rPr>
            </w:pPr>
            <w:r>
              <w:rPr>
                <w:color w:val="000000"/>
                <w:sz w:val="16"/>
                <w:szCs w:val="16"/>
              </w:rPr>
              <w:t>335 750</w:t>
            </w:r>
          </w:p>
        </w:tc>
        <w:tc>
          <w:tcPr>
            <w:tcW w:w="960" w:type="dxa"/>
            <w:tcBorders>
              <w:top w:val="nil"/>
              <w:left w:val="nil"/>
              <w:bottom w:val="single" w:sz="4" w:space="0" w:color="auto"/>
              <w:right w:val="single" w:sz="4" w:space="0" w:color="auto"/>
            </w:tcBorders>
            <w:shd w:val="clear" w:color="auto" w:fill="auto"/>
            <w:noWrap/>
            <w:vAlign w:val="center"/>
          </w:tcPr>
          <w:p w14:paraId="3D935637" w14:textId="25C4A4F1" w:rsidR="006E17D9" w:rsidRDefault="006E17D9" w:rsidP="006E17D9">
            <w:pPr>
              <w:spacing w:after="0" w:line="240" w:lineRule="auto"/>
              <w:jc w:val="center"/>
              <w:rPr>
                <w:color w:val="000000"/>
                <w:sz w:val="16"/>
                <w:szCs w:val="16"/>
              </w:rPr>
            </w:pPr>
            <w:r>
              <w:rPr>
                <w:color w:val="000000"/>
                <w:sz w:val="16"/>
                <w:szCs w:val="16"/>
              </w:rPr>
              <w:t>3 274 625</w:t>
            </w:r>
          </w:p>
        </w:tc>
        <w:tc>
          <w:tcPr>
            <w:tcW w:w="960" w:type="dxa"/>
            <w:tcBorders>
              <w:top w:val="nil"/>
              <w:left w:val="nil"/>
              <w:bottom w:val="single" w:sz="4" w:space="0" w:color="auto"/>
              <w:right w:val="single" w:sz="4" w:space="0" w:color="auto"/>
            </w:tcBorders>
            <w:shd w:val="clear" w:color="auto" w:fill="auto"/>
            <w:noWrap/>
            <w:vAlign w:val="center"/>
          </w:tcPr>
          <w:p w14:paraId="585F5F8F" w14:textId="704A9588" w:rsidR="006E17D9" w:rsidRDefault="006E17D9" w:rsidP="006E17D9">
            <w:pPr>
              <w:spacing w:after="0" w:line="240" w:lineRule="auto"/>
              <w:jc w:val="center"/>
              <w:rPr>
                <w:color w:val="000000"/>
                <w:sz w:val="16"/>
                <w:szCs w:val="16"/>
              </w:rPr>
            </w:pPr>
            <w:r>
              <w:rPr>
                <w:color w:val="000000"/>
                <w:sz w:val="16"/>
                <w:szCs w:val="16"/>
              </w:rPr>
              <w:t>3 623 125</w:t>
            </w:r>
          </w:p>
        </w:tc>
        <w:tc>
          <w:tcPr>
            <w:tcW w:w="960" w:type="dxa"/>
            <w:tcBorders>
              <w:top w:val="nil"/>
              <w:left w:val="nil"/>
              <w:bottom w:val="single" w:sz="4" w:space="0" w:color="auto"/>
              <w:right w:val="single" w:sz="4" w:space="0" w:color="auto"/>
            </w:tcBorders>
            <w:shd w:val="clear" w:color="auto" w:fill="auto"/>
            <w:noWrap/>
            <w:vAlign w:val="center"/>
          </w:tcPr>
          <w:p w14:paraId="5DE1DA26" w14:textId="50AD673F" w:rsidR="006E17D9" w:rsidRDefault="006E17D9" w:rsidP="006E17D9">
            <w:pPr>
              <w:spacing w:after="0" w:line="240" w:lineRule="auto"/>
              <w:jc w:val="center"/>
              <w:rPr>
                <w:color w:val="000000"/>
                <w:sz w:val="16"/>
                <w:szCs w:val="16"/>
              </w:rPr>
            </w:pPr>
            <w:r>
              <w:rPr>
                <w:color w:val="000000"/>
                <w:sz w:val="16"/>
                <w:szCs w:val="16"/>
              </w:rPr>
              <w:t>4 273 375</w:t>
            </w:r>
          </w:p>
        </w:tc>
        <w:tc>
          <w:tcPr>
            <w:tcW w:w="1089" w:type="dxa"/>
            <w:tcBorders>
              <w:top w:val="nil"/>
              <w:left w:val="nil"/>
              <w:bottom w:val="single" w:sz="4" w:space="0" w:color="auto"/>
              <w:right w:val="single" w:sz="4" w:space="0" w:color="auto"/>
            </w:tcBorders>
            <w:vAlign w:val="center"/>
          </w:tcPr>
          <w:p w14:paraId="260C6774" w14:textId="76B67A84" w:rsidR="006E17D9" w:rsidRDefault="006E17D9" w:rsidP="006E17D9">
            <w:pPr>
              <w:spacing w:after="0" w:line="240" w:lineRule="auto"/>
              <w:jc w:val="center"/>
              <w:rPr>
                <w:color w:val="000000"/>
                <w:sz w:val="16"/>
                <w:szCs w:val="16"/>
              </w:rPr>
            </w:pPr>
            <w:r>
              <w:rPr>
                <w:b/>
                <w:bCs/>
                <w:color w:val="000000"/>
                <w:sz w:val="16"/>
                <w:szCs w:val="16"/>
              </w:rPr>
              <w:t>11 506 875</w:t>
            </w:r>
          </w:p>
        </w:tc>
      </w:tr>
      <w:tr w:rsidR="006E17D9" w14:paraId="24A99BFE" w14:textId="44E98749" w:rsidTr="000A0E3C">
        <w:trPr>
          <w:trHeight w:val="300"/>
        </w:trPr>
        <w:tc>
          <w:tcPr>
            <w:tcW w:w="1780" w:type="dxa"/>
            <w:vMerge/>
            <w:tcBorders>
              <w:top w:val="nil"/>
              <w:left w:val="single" w:sz="4" w:space="0" w:color="auto"/>
              <w:bottom w:val="single" w:sz="4" w:space="0" w:color="auto"/>
              <w:right w:val="single" w:sz="4" w:space="0" w:color="auto"/>
            </w:tcBorders>
            <w:vAlign w:val="center"/>
          </w:tcPr>
          <w:p w14:paraId="2E33D5A3" w14:textId="77777777" w:rsidR="006E17D9" w:rsidRDefault="006E17D9" w:rsidP="006E17D9">
            <w:pPr>
              <w:spacing w:after="0" w:line="240" w:lineRule="auto"/>
              <w:jc w:val="center"/>
              <w:rPr>
                <w:b/>
                <w:bCs/>
                <w:color w:val="000000"/>
                <w:sz w:val="16"/>
                <w:szCs w:val="16"/>
              </w:rPr>
            </w:pPr>
          </w:p>
        </w:tc>
        <w:tc>
          <w:tcPr>
            <w:tcW w:w="1050" w:type="dxa"/>
            <w:tcBorders>
              <w:top w:val="nil"/>
              <w:left w:val="nil"/>
              <w:bottom w:val="single" w:sz="4" w:space="0" w:color="auto"/>
              <w:right w:val="single" w:sz="4" w:space="0" w:color="auto"/>
            </w:tcBorders>
            <w:shd w:val="clear" w:color="000000" w:fill="F2F2F2"/>
            <w:noWrap/>
            <w:vAlign w:val="center"/>
          </w:tcPr>
          <w:p w14:paraId="15979F37" w14:textId="463A0B55" w:rsidR="006E17D9" w:rsidRDefault="006E17D9" w:rsidP="006E17D9">
            <w:pPr>
              <w:spacing w:after="0" w:line="240" w:lineRule="auto"/>
              <w:jc w:val="center"/>
              <w:rPr>
                <w:color w:val="0070C0"/>
                <w:sz w:val="16"/>
                <w:szCs w:val="16"/>
              </w:rPr>
            </w:pPr>
            <w:r>
              <w:rPr>
                <w:color w:val="0070C0"/>
                <w:sz w:val="16"/>
                <w:szCs w:val="16"/>
              </w:rPr>
              <w:t>25,00%</w:t>
            </w:r>
          </w:p>
        </w:tc>
        <w:tc>
          <w:tcPr>
            <w:tcW w:w="960" w:type="dxa"/>
            <w:tcBorders>
              <w:top w:val="nil"/>
              <w:left w:val="nil"/>
              <w:bottom w:val="single" w:sz="4" w:space="0" w:color="auto"/>
              <w:right w:val="single" w:sz="4" w:space="0" w:color="auto"/>
            </w:tcBorders>
            <w:shd w:val="clear" w:color="000000" w:fill="F2F2F2"/>
            <w:noWrap/>
            <w:vAlign w:val="center"/>
          </w:tcPr>
          <w:p w14:paraId="74C3C204" w14:textId="70A07A13" w:rsidR="006E17D9" w:rsidRDefault="006E17D9" w:rsidP="006E17D9">
            <w:pPr>
              <w:spacing w:after="0" w:line="240" w:lineRule="auto"/>
              <w:jc w:val="center"/>
              <w:rPr>
                <w:color w:val="0070C0"/>
                <w:sz w:val="16"/>
                <w:szCs w:val="16"/>
              </w:rPr>
            </w:pPr>
            <w:r>
              <w:rPr>
                <w:color w:val="0070C0"/>
                <w:sz w:val="16"/>
                <w:szCs w:val="16"/>
              </w:rPr>
              <w:t>25,00%</w:t>
            </w:r>
          </w:p>
        </w:tc>
        <w:tc>
          <w:tcPr>
            <w:tcW w:w="960" w:type="dxa"/>
            <w:tcBorders>
              <w:top w:val="nil"/>
              <w:left w:val="nil"/>
              <w:bottom w:val="single" w:sz="4" w:space="0" w:color="auto"/>
              <w:right w:val="single" w:sz="4" w:space="0" w:color="auto"/>
            </w:tcBorders>
            <w:shd w:val="clear" w:color="000000" w:fill="F2F2F2"/>
            <w:noWrap/>
            <w:vAlign w:val="center"/>
          </w:tcPr>
          <w:p w14:paraId="14F706C5" w14:textId="387F181B" w:rsidR="006E17D9" w:rsidRDefault="006E17D9" w:rsidP="006E17D9">
            <w:pPr>
              <w:spacing w:after="0" w:line="240" w:lineRule="auto"/>
              <w:jc w:val="center"/>
              <w:rPr>
                <w:color w:val="0070C0"/>
                <w:sz w:val="16"/>
                <w:szCs w:val="16"/>
              </w:rPr>
            </w:pPr>
            <w:r>
              <w:rPr>
                <w:color w:val="0070C0"/>
                <w:sz w:val="16"/>
                <w:szCs w:val="16"/>
              </w:rPr>
              <w:t>25,00%</w:t>
            </w:r>
          </w:p>
        </w:tc>
        <w:tc>
          <w:tcPr>
            <w:tcW w:w="960" w:type="dxa"/>
            <w:tcBorders>
              <w:top w:val="nil"/>
              <w:left w:val="nil"/>
              <w:bottom w:val="single" w:sz="4" w:space="0" w:color="auto"/>
              <w:right w:val="single" w:sz="4" w:space="0" w:color="auto"/>
            </w:tcBorders>
            <w:shd w:val="clear" w:color="000000" w:fill="F2F2F2"/>
            <w:noWrap/>
            <w:vAlign w:val="center"/>
          </w:tcPr>
          <w:p w14:paraId="63CB7C05" w14:textId="086FF602" w:rsidR="006E17D9" w:rsidRDefault="006E17D9" w:rsidP="006E17D9">
            <w:pPr>
              <w:spacing w:after="0" w:line="240" w:lineRule="auto"/>
              <w:jc w:val="center"/>
              <w:rPr>
                <w:color w:val="0070C0"/>
                <w:sz w:val="16"/>
                <w:szCs w:val="16"/>
              </w:rPr>
            </w:pPr>
            <w:r>
              <w:rPr>
                <w:color w:val="0070C0"/>
                <w:sz w:val="16"/>
                <w:szCs w:val="16"/>
              </w:rPr>
              <w:t>25,00%</w:t>
            </w:r>
          </w:p>
        </w:tc>
        <w:tc>
          <w:tcPr>
            <w:tcW w:w="1089" w:type="dxa"/>
            <w:tcBorders>
              <w:top w:val="nil"/>
              <w:left w:val="nil"/>
              <w:bottom w:val="single" w:sz="4" w:space="0" w:color="auto"/>
              <w:right w:val="single" w:sz="4" w:space="0" w:color="auto"/>
            </w:tcBorders>
            <w:shd w:val="clear" w:color="000000" w:fill="F2F2F2"/>
            <w:vAlign w:val="center"/>
          </w:tcPr>
          <w:p w14:paraId="4DF7D38F" w14:textId="31DD6556" w:rsidR="006E17D9" w:rsidRDefault="006E17D9" w:rsidP="006E17D9">
            <w:pPr>
              <w:spacing w:after="0" w:line="240" w:lineRule="auto"/>
              <w:jc w:val="center"/>
              <w:rPr>
                <w:color w:val="0070C0"/>
                <w:sz w:val="16"/>
                <w:szCs w:val="16"/>
              </w:rPr>
            </w:pPr>
            <w:r>
              <w:rPr>
                <w:b/>
                <w:bCs/>
                <w:color w:val="0070C0"/>
                <w:sz w:val="16"/>
                <w:szCs w:val="16"/>
              </w:rPr>
              <w:t>25,00%</w:t>
            </w:r>
          </w:p>
        </w:tc>
      </w:tr>
      <w:tr w:rsidR="006E17D9" w14:paraId="7D2354A7" w14:textId="377BFF33" w:rsidTr="000A0E3C">
        <w:trPr>
          <w:trHeight w:val="300"/>
        </w:trPr>
        <w:tc>
          <w:tcPr>
            <w:tcW w:w="1780" w:type="dxa"/>
            <w:tcBorders>
              <w:top w:val="nil"/>
              <w:left w:val="single" w:sz="4" w:space="0" w:color="auto"/>
              <w:bottom w:val="single" w:sz="4" w:space="0" w:color="auto"/>
              <w:right w:val="single" w:sz="4" w:space="0" w:color="auto"/>
            </w:tcBorders>
            <w:shd w:val="clear" w:color="000000" w:fill="F2F2F2"/>
            <w:noWrap/>
            <w:vAlign w:val="center"/>
          </w:tcPr>
          <w:p w14:paraId="19D23392" w14:textId="77777777" w:rsidR="006E17D9" w:rsidRDefault="006E17D9" w:rsidP="006E17D9">
            <w:pPr>
              <w:spacing w:after="0" w:line="240" w:lineRule="auto"/>
              <w:jc w:val="center"/>
              <w:rPr>
                <w:b/>
                <w:bCs/>
                <w:color w:val="000000"/>
                <w:sz w:val="16"/>
                <w:szCs w:val="16"/>
              </w:rPr>
            </w:pPr>
            <w:r>
              <w:rPr>
                <w:b/>
                <w:bCs/>
                <w:color w:val="000000"/>
                <w:sz w:val="16"/>
                <w:szCs w:val="16"/>
              </w:rPr>
              <w:t>CELKEM</w:t>
            </w:r>
          </w:p>
        </w:tc>
        <w:tc>
          <w:tcPr>
            <w:tcW w:w="1050" w:type="dxa"/>
            <w:tcBorders>
              <w:top w:val="nil"/>
              <w:left w:val="nil"/>
              <w:bottom w:val="single" w:sz="4" w:space="0" w:color="auto"/>
              <w:right w:val="single" w:sz="4" w:space="0" w:color="auto"/>
            </w:tcBorders>
            <w:shd w:val="clear" w:color="000000" w:fill="F2F2F2"/>
            <w:noWrap/>
            <w:vAlign w:val="center"/>
          </w:tcPr>
          <w:p w14:paraId="301128C7" w14:textId="39338071" w:rsidR="006E17D9" w:rsidRDefault="006E17D9" w:rsidP="006E17D9">
            <w:pPr>
              <w:spacing w:after="0" w:line="240" w:lineRule="auto"/>
              <w:jc w:val="center"/>
              <w:rPr>
                <w:b/>
                <w:bCs/>
                <w:color w:val="000000"/>
                <w:sz w:val="16"/>
                <w:szCs w:val="16"/>
              </w:rPr>
            </w:pPr>
            <w:r>
              <w:rPr>
                <w:b/>
                <w:bCs/>
                <w:color w:val="000000"/>
                <w:sz w:val="16"/>
                <w:szCs w:val="16"/>
              </w:rPr>
              <w:t>1 678 750</w:t>
            </w:r>
          </w:p>
        </w:tc>
        <w:tc>
          <w:tcPr>
            <w:tcW w:w="960" w:type="dxa"/>
            <w:tcBorders>
              <w:top w:val="nil"/>
              <w:left w:val="nil"/>
              <w:bottom w:val="single" w:sz="4" w:space="0" w:color="auto"/>
              <w:right w:val="single" w:sz="4" w:space="0" w:color="auto"/>
            </w:tcBorders>
            <w:shd w:val="clear" w:color="000000" w:fill="F2F2F2"/>
            <w:noWrap/>
            <w:vAlign w:val="center"/>
          </w:tcPr>
          <w:p w14:paraId="1D5631BD" w14:textId="4EF96C00" w:rsidR="006E17D9" w:rsidRDefault="006E17D9" w:rsidP="006E17D9">
            <w:pPr>
              <w:spacing w:after="0" w:line="240" w:lineRule="auto"/>
              <w:jc w:val="center"/>
              <w:rPr>
                <w:b/>
                <w:bCs/>
                <w:color w:val="000000"/>
                <w:sz w:val="16"/>
                <w:szCs w:val="16"/>
              </w:rPr>
            </w:pPr>
            <w:r>
              <w:rPr>
                <w:b/>
                <w:bCs/>
                <w:color w:val="000000"/>
                <w:sz w:val="16"/>
                <w:szCs w:val="16"/>
              </w:rPr>
              <w:t>16 679 125</w:t>
            </w:r>
          </w:p>
        </w:tc>
        <w:tc>
          <w:tcPr>
            <w:tcW w:w="960" w:type="dxa"/>
            <w:tcBorders>
              <w:top w:val="nil"/>
              <w:left w:val="nil"/>
              <w:bottom w:val="single" w:sz="4" w:space="0" w:color="auto"/>
              <w:right w:val="single" w:sz="4" w:space="0" w:color="auto"/>
            </w:tcBorders>
            <w:shd w:val="clear" w:color="000000" w:fill="F2F2F2"/>
            <w:noWrap/>
            <w:vAlign w:val="center"/>
          </w:tcPr>
          <w:p w14:paraId="0EBED22A" w14:textId="12E19C4C" w:rsidR="006E17D9" w:rsidRDefault="006E17D9" w:rsidP="006E17D9">
            <w:pPr>
              <w:spacing w:after="0" w:line="240" w:lineRule="auto"/>
              <w:jc w:val="center"/>
              <w:rPr>
                <w:b/>
                <w:bCs/>
                <w:color w:val="000000"/>
                <w:sz w:val="16"/>
                <w:szCs w:val="16"/>
              </w:rPr>
            </w:pPr>
            <w:r>
              <w:rPr>
                <w:b/>
                <w:bCs/>
                <w:color w:val="000000"/>
                <w:sz w:val="16"/>
                <w:szCs w:val="16"/>
              </w:rPr>
              <w:t>18 438 625</w:t>
            </w:r>
          </w:p>
        </w:tc>
        <w:tc>
          <w:tcPr>
            <w:tcW w:w="960" w:type="dxa"/>
            <w:tcBorders>
              <w:top w:val="nil"/>
              <w:left w:val="nil"/>
              <w:bottom w:val="single" w:sz="4" w:space="0" w:color="auto"/>
              <w:right w:val="single" w:sz="4" w:space="0" w:color="auto"/>
            </w:tcBorders>
            <w:shd w:val="clear" w:color="000000" w:fill="F2F2F2"/>
            <w:noWrap/>
            <w:vAlign w:val="center"/>
          </w:tcPr>
          <w:p w14:paraId="49915911" w14:textId="4D4AB782" w:rsidR="006E17D9" w:rsidRDefault="006E17D9" w:rsidP="006E17D9">
            <w:pPr>
              <w:spacing w:after="0" w:line="240" w:lineRule="auto"/>
              <w:jc w:val="center"/>
              <w:rPr>
                <w:b/>
                <w:bCs/>
                <w:color w:val="000000"/>
                <w:sz w:val="16"/>
                <w:szCs w:val="16"/>
              </w:rPr>
            </w:pPr>
            <w:r>
              <w:rPr>
                <w:b/>
                <w:bCs/>
                <w:color w:val="000000"/>
                <w:sz w:val="16"/>
                <w:szCs w:val="16"/>
              </w:rPr>
              <w:t>21 723 875</w:t>
            </w:r>
          </w:p>
        </w:tc>
        <w:tc>
          <w:tcPr>
            <w:tcW w:w="1089" w:type="dxa"/>
            <w:tcBorders>
              <w:top w:val="nil"/>
              <w:left w:val="nil"/>
              <w:bottom w:val="single" w:sz="4" w:space="0" w:color="auto"/>
              <w:right w:val="single" w:sz="4" w:space="0" w:color="auto"/>
            </w:tcBorders>
            <w:shd w:val="clear" w:color="000000" w:fill="F2F2F2"/>
            <w:vAlign w:val="center"/>
          </w:tcPr>
          <w:p w14:paraId="2AFA10BC" w14:textId="26365692" w:rsidR="006E17D9" w:rsidRDefault="006E17D9" w:rsidP="006E17D9">
            <w:pPr>
              <w:spacing w:after="0" w:line="240" w:lineRule="auto"/>
              <w:jc w:val="center"/>
              <w:rPr>
                <w:b/>
                <w:bCs/>
                <w:color w:val="000000"/>
                <w:sz w:val="16"/>
                <w:szCs w:val="16"/>
              </w:rPr>
            </w:pPr>
            <w:r>
              <w:rPr>
                <w:b/>
                <w:bCs/>
                <w:color w:val="000000"/>
                <w:sz w:val="16"/>
                <w:szCs w:val="16"/>
              </w:rPr>
              <w:t>58 520 375</w:t>
            </w:r>
          </w:p>
        </w:tc>
      </w:tr>
    </w:tbl>
    <w:p w14:paraId="4F738447" w14:textId="77777777" w:rsidR="00104BDD" w:rsidRDefault="00BD5DD5">
      <w:pPr>
        <w:spacing w:before="240" w:after="240" w:line="240" w:lineRule="auto"/>
        <w:jc w:val="both"/>
        <w:rPr>
          <w:b/>
          <w:bCs/>
        </w:rPr>
      </w:pPr>
      <w:r>
        <w:rPr>
          <w:b/>
          <w:bCs/>
        </w:rPr>
        <w:t>Kategorie osobní náklady nebo výdaje</w:t>
      </w:r>
    </w:p>
    <w:p w14:paraId="1DA66A24" w14:textId="77777777" w:rsidR="00104BDD" w:rsidRDefault="00BD5DD5">
      <w:pPr>
        <w:spacing w:after="0" w:line="240" w:lineRule="auto"/>
        <w:jc w:val="both"/>
      </w:pPr>
      <w:r>
        <w:t>Náklady v této kategorii představují zejména mzdy kmenových zaměstnanců TC AV ČR a dále odměny externím odborníkům (tzn., dohody o pracovní činnosti), kteří se budou přímo podílet na projektu, a to včetně zákonných odvodů zdravotního a sociálního pojištění, náhrad za dovolenou a náhradu za nemoc. Fond kulturních a sociálních potřeb TC AV ČR nevytváří. Dohody o provedení práce budou podle potřeby uzavírány s experty z ČR a zahraničí, kteří se budou podílet na obsahové části publikací, nebo budou působit jako přednášející na vybraných plánovaných informačních akcích anebo se budou na projektu podílet jako úzce specializovaní experti na danou problematiku.</w:t>
      </w:r>
    </w:p>
    <w:p w14:paraId="1442B275" w14:textId="77777777" w:rsidR="00104BDD" w:rsidRDefault="00104BDD">
      <w:pPr>
        <w:spacing w:after="0" w:line="240" w:lineRule="auto"/>
        <w:jc w:val="both"/>
      </w:pPr>
    </w:p>
    <w:p w14:paraId="5DC50200" w14:textId="54EEEB85" w:rsidR="00104BDD" w:rsidRDefault="00BD5DD5">
      <w:pPr>
        <w:spacing w:after="0" w:line="240" w:lineRule="auto"/>
        <w:jc w:val="both"/>
      </w:pPr>
      <w:r>
        <w:t>Předpokládá se postupný nárůst aktivit. V roce 2021 budou pokryty osobní náklady pracovníků v celkové výši 1,5 FTE úvazků, roku 2022 a 2</w:t>
      </w:r>
      <w:r w:rsidR="0052382D">
        <w:t>02</w:t>
      </w:r>
      <w:r>
        <w:t xml:space="preserve">3 to bude </w:t>
      </w:r>
      <w:r w:rsidR="006E17D9">
        <w:t xml:space="preserve">12,5 </w:t>
      </w:r>
      <w:r>
        <w:t xml:space="preserve">FTE úvazků, a </w:t>
      </w:r>
      <w:r w:rsidR="00A27377">
        <w:t>v</w:t>
      </w:r>
      <w:r>
        <w:t xml:space="preserve"> ro</w:t>
      </w:r>
      <w:r w:rsidR="00A27377">
        <w:t>ce</w:t>
      </w:r>
      <w:r>
        <w:t xml:space="preserve"> 2024 celkem </w:t>
      </w:r>
      <w:r w:rsidR="006E17D9">
        <w:t xml:space="preserve">13,5 </w:t>
      </w:r>
      <w:r>
        <w:t>FTE úvazků.</w:t>
      </w:r>
    </w:p>
    <w:p w14:paraId="69EAAF7C" w14:textId="77777777" w:rsidR="00104BDD" w:rsidRDefault="00BD5DD5">
      <w:pPr>
        <w:spacing w:after="0" w:line="240" w:lineRule="auto"/>
        <w:jc w:val="both"/>
      </w:pPr>
      <w:r>
        <w:t xml:space="preserve"> </w:t>
      </w:r>
    </w:p>
    <w:p w14:paraId="6B5B210E" w14:textId="77777777" w:rsidR="00104BDD" w:rsidRDefault="00BD5DD5">
      <w:pPr>
        <w:spacing w:line="240" w:lineRule="auto"/>
        <w:jc w:val="both"/>
      </w:pPr>
      <w:r>
        <w:lastRenderedPageBreak/>
        <w:t>V souladu s interními procesy a s pravidly projektů, kterých se TC AV ČR aktivně účastní, bude čas strávený na projektu evidován ve výkazu pracovní doby – tzv. „</w:t>
      </w:r>
      <w:proofErr w:type="spellStart"/>
      <w:r>
        <w:rPr>
          <w:i/>
        </w:rPr>
        <w:t>time</w:t>
      </w:r>
      <w:proofErr w:type="spellEnd"/>
      <w:r>
        <w:rPr>
          <w:i/>
        </w:rPr>
        <w:t xml:space="preserve"> </w:t>
      </w:r>
      <w:proofErr w:type="spellStart"/>
      <w:r>
        <w:rPr>
          <w:i/>
        </w:rPr>
        <w:t>sheet</w:t>
      </w:r>
      <w:proofErr w:type="spellEnd"/>
      <w:r>
        <w:t xml:space="preserve">“. </w:t>
      </w:r>
    </w:p>
    <w:p w14:paraId="220FFD57" w14:textId="77777777" w:rsidR="00104BDD" w:rsidRDefault="00BD5DD5">
      <w:pPr>
        <w:spacing w:before="240" w:after="240" w:line="240" w:lineRule="auto"/>
        <w:jc w:val="both"/>
        <w:rPr>
          <w:b/>
          <w:bCs/>
        </w:rPr>
      </w:pPr>
      <w:r>
        <w:rPr>
          <w:b/>
          <w:bCs/>
        </w:rPr>
        <w:t>Kategorie náklady nebo výdaje na pořízení hmotného a nehmotného majetku</w:t>
      </w:r>
    </w:p>
    <w:p w14:paraId="5A76B1C5" w14:textId="77777777" w:rsidR="00104BDD" w:rsidRDefault="00BD5DD5">
      <w:pPr>
        <w:spacing w:line="240" w:lineRule="auto"/>
        <w:jc w:val="both"/>
      </w:pPr>
      <w:r>
        <w:t xml:space="preserve">Investiční prostředky budou použity na průběžnou obměnu a upgrade IT infrastruktury, aby byl umožněn bezpečný a funkční chod všech systémů a kvalitní zpracování a záloha dat. </w:t>
      </w:r>
    </w:p>
    <w:p w14:paraId="168EB121" w14:textId="77777777" w:rsidR="00104BDD" w:rsidRDefault="00BD5DD5">
      <w:pPr>
        <w:spacing w:before="240" w:after="240" w:line="240" w:lineRule="auto"/>
        <w:jc w:val="both"/>
        <w:rPr>
          <w:b/>
          <w:bCs/>
        </w:rPr>
      </w:pPr>
      <w:r>
        <w:rPr>
          <w:b/>
          <w:bCs/>
        </w:rPr>
        <w:t>Kategorie provozní náklady nebo výdaje, náklady nebo výdaje na služby</w:t>
      </w:r>
    </w:p>
    <w:p w14:paraId="7B2DFB4D" w14:textId="77777777" w:rsidR="00104BDD" w:rsidRDefault="00BD5DD5">
      <w:pPr>
        <w:spacing w:before="240" w:after="240" w:line="240" w:lineRule="auto"/>
        <w:jc w:val="both"/>
        <w:rPr>
          <w:bCs/>
        </w:rPr>
      </w:pPr>
      <w:r>
        <w:rPr>
          <w:bCs/>
        </w:rPr>
        <w:t>Tuto kategorii představují:</w:t>
      </w:r>
    </w:p>
    <w:p w14:paraId="2E0EC1A5" w14:textId="77777777" w:rsidR="00104BDD" w:rsidRDefault="00BD5DD5">
      <w:pPr>
        <w:spacing w:before="240" w:after="240" w:line="240" w:lineRule="auto"/>
        <w:jc w:val="both"/>
        <w:rPr>
          <w:bCs/>
          <w:u w:val="single"/>
        </w:rPr>
      </w:pPr>
      <w:r>
        <w:rPr>
          <w:bCs/>
          <w:u w:val="single"/>
        </w:rPr>
        <w:t>Ostatní běžné výdaje a služby:</w:t>
      </w:r>
    </w:p>
    <w:p w14:paraId="07279669" w14:textId="77777777" w:rsidR="00104BDD" w:rsidRDefault="00BD5DD5">
      <w:pPr>
        <w:spacing w:line="240" w:lineRule="auto"/>
        <w:jc w:val="both"/>
      </w:pPr>
      <w:r>
        <w:t>Jsou určeny na nákup materiálu, zboží a podpůrných služeb, které jsou nezbytné pro plnění projektových cílů.</w:t>
      </w:r>
    </w:p>
    <w:p w14:paraId="14C1E7DB" w14:textId="0A876431" w:rsidR="00104BDD" w:rsidRDefault="00BD5DD5">
      <w:pPr>
        <w:spacing w:after="0" w:line="240" w:lineRule="auto"/>
        <w:jc w:val="both"/>
      </w:pPr>
      <w:r>
        <w:t xml:space="preserve">Takto budou zabezpečována školení, semináře a konference věnované statistikám, analýzám a politikám z oblasti </w:t>
      </w:r>
      <w:proofErr w:type="spellStart"/>
      <w:r>
        <w:t>VaVaI</w:t>
      </w:r>
      <w:proofErr w:type="spellEnd"/>
      <w:r>
        <w:t>. Významná část těchto akcí bude konána v konferenčním centru TC AV ČR, tj. bez přímých nákladů na nájemné prostor a technické vybavení, což představuje významnou úsporu. U akcí větších rozměrů bude nutno zajistit pronájem prostor mimo TC AV ČR, včetně technického zázemí. Součástí nákladů na organizování těchto akcí je přiměřené občerstvení úměrné délce trvání akce. Pokud se těchto akcí účastní externí řečník, bez nároku na honorář, mohou mu být proplaceny náklady související s jeho účastí na akci, tzn., doprava a ubytování na nezbytně nutnou dobu. Pokud bude řečník nárokovat honorář, budou náklady řešeny pomocí dohody o provedení práce (kategorie osobní náklady), bez nároku na náklady související s cestou na místo konání.</w:t>
      </w:r>
      <w:r w:rsidR="007128C4">
        <w:t xml:space="preserve"> Do této kategorie lze zařadit také </w:t>
      </w:r>
      <w:r w:rsidR="007128C4" w:rsidRPr="00BA472D">
        <w:rPr>
          <w:lang w:eastAsia="en-US"/>
        </w:rPr>
        <w:t>financování nákladů spojených se zajištěním dočasné služby péče (např. hlídání na konferencích).</w:t>
      </w:r>
    </w:p>
    <w:p w14:paraId="6DE86864" w14:textId="77777777" w:rsidR="00104BDD" w:rsidRDefault="00104BDD">
      <w:pPr>
        <w:spacing w:after="0" w:line="240" w:lineRule="auto"/>
        <w:jc w:val="both"/>
      </w:pPr>
    </w:p>
    <w:p w14:paraId="07F9A823" w14:textId="77777777" w:rsidR="00104BDD" w:rsidRDefault="00BD5DD5">
      <w:pPr>
        <w:spacing w:after="0" w:line="240" w:lineRule="auto"/>
        <w:jc w:val="both"/>
      </w:pPr>
      <w:r>
        <w:t xml:space="preserve">Pro potřeby zajištění efektivity poskytovaných služeb bude využíván interní informační systém </w:t>
      </w:r>
      <w:proofErr w:type="spellStart"/>
      <w:r>
        <w:t>Istec</w:t>
      </w:r>
      <w:proofErr w:type="spellEnd"/>
      <w:r>
        <w:t>, ve kterém budou zaznamenány informace o poskytovaných individuálních konzultacích, pořádaných akcích, cestách a jednáních souvisejících s aktivitami projektu a rovněž uchovány kompletní přehledy účastníků školicích a informačních akcí. Odpovídající podíl na celkových nákladech za provoz systému bude hrazen z této kategorie.</w:t>
      </w:r>
    </w:p>
    <w:p w14:paraId="0FB3F819" w14:textId="77777777" w:rsidR="00104BDD" w:rsidRDefault="00104BDD">
      <w:pPr>
        <w:spacing w:after="0" w:line="240" w:lineRule="auto"/>
        <w:jc w:val="both"/>
      </w:pPr>
    </w:p>
    <w:p w14:paraId="06417F19" w14:textId="77777777" w:rsidR="00104BDD" w:rsidRDefault="00BD5DD5">
      <w:pPr>
        <w:spacing w:after="0" w:line="240" w:lineRule="auto"/>
        <w:jc w:val="both"/>
      </w:pPr>
      <w:r>
        <w:t xml:space="preserve">Do těchto patří náklady na správu webového portálu </w:t>
      </w:r>
      <w:hyperlink r:id="rId14" w:history="1">
        <w:r>
          <w:rPr>
            <w:rStyle w:val="Hypertextovodkaz"/>
          </w:rPr>
          <w:t>www.strast.cz</w:t>
        </w:r>
      </w:hyperlink>
      <w:r>
        <w:t xml:space="preserve">, který poskytuje informace o realizovaných projektech, analýzách, nebo </w:t>
      </w:r>
      <w:r>
        <w:rPr>
          <w:i/>
        </w:rPr>
        <w:t xml:space="preserve">technology </w:t>
      </w:r>
      <w:proofErr w:type="spellStart"/>
      <w:r>
        <w:rPr>
          <w:i/>
        </w:rPr>
        <w:t>assessmentu</w:t>
      </w:r>
      <w:proofErr w:type="spellEnd"/>
      <w:r>
        <w:t xml:space="preserve"> a dále poměrná část na nákladech provozu hlavního webového portálu TC AV ČR, kde budou zveřejňovány aktuality o dění v projektu a jeho výsledky, podíl nákladů na </w:t>
      </w:r>
      <w:proofErr w:type="spellStart"/>
      <w:r>
        <w:rPr>
          <w:i/>
        </w:rPr>
        <w:t>webstreaming</w:t>
      </w:r>
      <w:proofErr w:type="spellEnd"/>
      <w:r>
        <w:t xml:space="preserve"> pořádaných informačních a školicích akcí, technické služby umožňující organizovat </w:t>
      </w:r>
      <w:r>
        <w:rPr>
          <w:i/>
        </w:rPr>
        <w:t>e-</w:t>
      </w:r>
      <w:proofErr w:type="spellStart"/>
      <w:r>
        <w:rPr>
          <w:i/>
        </w:rPr>
        <w:t>learning</w:t>
      </w:r>
      <w:proofErr w:type="spellEnd"/>
      <w:r>
        <w:t>, telekonference, správu a </w:t>
      </w:r>
      <w:proofErr w:type="spellStart"/>
      <w:r>
        <w:rPr>
          <w:i/>
        </w:rPr>
        <w:t>hosting</w:t>
      </w:r>
      <w:proofErr w:type="spellEnd"/>
      <w:r>
        <w:t xml:space="preserve"> odborných webů. Do nákladů náleží i zajištění odborného recenzovaného periodika Ergo, informačních brožur a letáků. </w:t>
      </w:r>
    </w:p>
    <w:p w14:paraId="19B59569" w14:textId="77777777" w:rsidR="00104BDD" w:rsidRDefault="00104BDD">
      <w:pPr>
        <w:spacing w:after="0" w:line="240" w:lineRule="auto"/>
        <w:jc w:val="both"/>
      </w:pPr>
    </w:p>
    <w:p w14:paraId="6631A0E1" w14:textId="435073DE" w:rsidR="00104BDD" w:rsidRDefault="00BD5DD5">
      <w:pPr>
        <w:spacing w:line="240" w:lineRule="auto"/>
        <w:jc w:val="both"/>
      </w:pPr>
      <w:r>
        <w:t xml:space="preserve">Zbývající náklady činí ostatní nákupy zboží a služeb. Do těchto náleží zejména aktualizace uložiště dat pro statistické analýzy ve </w:t>
      </w:r>
      <w:proofErr w:type="spellStart"/>
      <w:r>
        <w:t>VaVaI</w:t>
      </w:r>
      <w:proofErr w:type="spellEnd"/>
      <w:r>
        <w:t xml:space="preserve"> a jeho rozšíření, školení pro členy řešitelského týmu, audit projektu, nákup drobného hmotného a nehmotného majetku, nákup výpočetní techniky (notebooky, webkamery, tiskárny), spotřebního materiálu (např. tonery, papír, kancelářské potřeby) pro přímou potřebu projektu (resp. podíl z pořizovací ceny, který odpovídá poměru využití pro plnění cílů projektu), zajištění publicity, nákup odborných publikací a periodik (v tištěné/elektronické podobě), nákup specializovaných analýz a úzce profilovaného poradenství, náklady na přístup do specializovaných databází a statistik, náklady na tlumočení, popř. rovněž překlady a náklady na účastnické poplatky na specializovaných akcích či konferencích.</w:t>
      </w:r>
      <w:r w:rsidR="007128C4" w:rsidRPr="007128C4">
        <w:rPr>
          <w:lang w:eastAsia="en-US"/>
        </w:rPr>
        <w:t xml:space="preserve"> </w:t>
      </w:r>
    </w:p>
    <w:p w14:paraId="18F5B95F" w14:textId="77777777" w:rsidR="00104BDD" w:rsidRDefault="00104BDD">
      <w:pPr>
        <w:spacing w:line="240" w:lineRule="auto"/>
        <w:jc w:val="both"/>
      </w:pPr>
    </w:p>
    <w:p w14:paraId="00DE42B6" w14:textId="77777777" w:rsidR="00104BDD" w:rsidRDefault="00BD5DD5">
      <w:pPr>
        <w:spacing w:line="240" w:lineRule="auto"/>
        <w:jc w:val="both"/>
        <w:rPr>
          <w:u w:val="single"/>
        </w:rPr>
      </w:pPr>
      <w:r>
        <w:rPr>
          <w:u w:val="single"/>
        </w:rPr>
        <w:lastRenderedPageBreak/>
        <w:t>Cestovné:</w:t>
      </w:r>
    </w:p>
    <w:p w14:paraId="69B1E894" w14:textId="77777777" w:rsidR="00104BDD" w:rsidRDefault="00BD5DD5">
      <w:pPr>
        <w:spacing w:after="0" w:line="240" w:lineRule="auto"/>
        <w:jc w:val="both"/>
      </w:pPr>
      <w:r>
        <w:t>Pokrývá náklady na cestovné zaměstnanců, a to včetně zákonného stravného a kapesného podle zákoníků práce a nezbytných vedlejších výdajů ve schváleném cestovním výkazu a cestovního připojištění. Počítá se s náklady na dopravu (tzn., letenky, autobus, vlak, MHD a v odůvodněných případech také taxi), případným ubytováním a zahraničními dietami. Při pracovních cestách je všem zaměstnancům vypláceno stravné v souladu se zákonem č. 262/2006 Sb., zákoník práce, v platném znění a při zahraničních pracovních cestách rovněž zákonné kapesné, které je součástí cestovních nákladů. Většina ze zahraničních cest bude realizována v rámci Evropy, některé do třetích zemí.</w:t>
      </w:r>
    </w:p>
    <w:p w14:paraId="693452E7" w14:textId="77777777" w:rsidR="00104BDD" w:rsidRDefault="00BD5DD5">
      <w:pPr>
        <w:spacing w:before="240" w:after="240" w:line="240" w:lineRule="auto"/>
        <w:jc w:val="both"/>
        <w:rPr>
          <w:b/>
          <w:bCs/>
        </w:rPr>
      </w:pPr>
      <w:r>
        <w:rPr>
          <w:b/>
          <w:bCs/>
        </w:rPr>
        <w:t>Kategorie doplňkové náklady nebo výdaje (režie)</w:t>
      </w:r>
    </w:p>
    <w:p w14:paraId="175D44C2" w14:textId="77777777" w:rsidR="00104BDD" w:rsidRDefault="00BD5DD5">
      <w:pPr>
        <w:spacing w:line="240" w:lineRule="auto"/>
        <w:jc w:val="both"/>
      </w:pPr>
      <w:r>
        <w:t xml:space="preserve">Režijní náklady jsou rozpočtovány metodou </w:t>
      </w:r>
      <w:proofErr w:type="spellStart"/>
      <w:r>
        <w:rPr>
          <w:i/>
        </w:rPr>
        <w:t>flat</w:t>
      </w:r>
      <w:proofErr w:type="spellEnd"/>
      <w:r>
        <w:rPr>
          <w:i/>
        </w:rPr>
        <w:t xml:space="preserve"> </w:t>
      </w:r>
      <w:proofErr w:type="spellStart"/>
      <w:r>
        <w:rPr>
          <w:i/>
        </w:rPr>
        <w:t>rate</w:t>
      </w:r>
      <w:proofErr w:type="spellEnd"/>
      <w:r>
        <w:t xml:space="preserve"> ve výši 25 % z přímých nákladů (tzn., bez investic). Režijní náklady projektu budou vynaloženy na zabezpečení materiálně-technických podmínek a vybavení pracovníků podílejících se na projektu, poměrnou část nákladů na údržbu a provoz budovy TC AV ČR, mzdy režijních pracovníků (účetní, hospodářská správa) a ostatní daňově uznatelné náklady související s provozem TC AV ČR (např. energie, voda, úklid, pojištění, </w:t>
      </w:r>
      <w:proofErr w:type="gramStart"/>
      <w:r>
        <w:t>zabezpečení,</w:t>
      </w:r>
      <w:proofErr w:type="gramEnd"/>
      <w:r>
        <w:t xml:space="preserve"> apod.).</w:t>
      </w:r>
    </w:p>
    <w:p w14:paraId="70237BF9" w14:textId="77777777" w:rsidR="00104BDD" w:rsidRDefault="00BD5DD5">
      <w:pPr>
        <w:spacing w:before="240" w:after="240" w:line="240" w:lineRule="auto"/>
        <w:jc w:val="both"/>
        <w:rPr>
          <w:b/>
          <w:sz w:val="24"/>
        </w:rPr>
      </w:pPr>
      <w:r>
        <w:rPr>
          <w:b/>
          <w:sz w:val="24"/>
        </w:rPr>
        <w:t>Rozpočet dalšího účastníka: Národní vzdělávací fond, o.p.s.</w:t>
      </w:r>
    </w:p>
    <w:p w14:paraId="1C57F3D3" w14:textId="77777777" w:rsidR="00104BDD" w:rsidRDefault="00BD5DD5">
      <w:pPr>
        <w:spacing w:before="240" w:after="240" w:line="240" w:lineRule="auto"/>
        <w:jc w:val="both"/>
        <w:rPr>
          <w:b/>
          <w:sz w:val="24"/>
        </w:rPr>
      </w:pPr>
      <w:r>
        <w:rPr>
          <w:b/>
          <w:bCs/>
          <w:color w:val="000000"/>
        </w:rPr>
        <w:t>Náklady / výdaje v jednotlivých letech v Kč</w:t>
      </w:r>
    </w:p>
    <w:tbl>
      <w:tblPr>
        <w:tblW w:w="6760" w:type="dxa"/>
        <w:tblCellMar>
          <w:left w:w="70" w:type="dxa"/>
          <w:right w:w="70" w:type="dxa"/>
        </w:tblCellMar>
        <w:tblLook w:val="04A0" w:firstRow="1" w:lastRow="0" w:firstColumn="1" w:lastColumn="0" w:noHBand="0" w:noVBand="1"/>
      </w:tblPr>
      <w:tblGrid>
        <w:gridCol w:w="1780"/>
        <w:gridCol w:w="980"/>
        <w:gridCol w:w="960"/>
        <w:gridCol w:w="960"/>
        <w:gridCol w:w="960"/>
        <w:gridCol w:w="1120"/>
      </w:tblGrid>
      <w:tr w:rsidR="00A27377" w14:paraId="11EB6FA9" w14:textId="77777777" w:rsidTr="00A27377">
        <w:trPr>
          <w:trHeight w:val="300"/>
        </w:trPr>
        <w:tc>
          <w:tcPr>
            <w:tcW w:w="1780"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75319C92" w14:textId="77777777" w:rsidR="00A27377" w:rsidRDefault="00A27377">
            <w:pPr>
              <w:spacing w:after="0" w:line="240" w:lineRule="auto"/>
              <w:jc w:val="center"/>
              <w:rPr>
                <w:b/>
                <w:bCs/>
                <w:color w:val="000000"/>
                <w:sz w:val="16"/>
                <w:szCs w:val="16"/>
              </w:rPr>
            </w:pPr>
            <w:r>
              <w:rPr>
                <w:b/>
                <w:bCs/>
                <w:color w:val="000000"/>
                <w:sz w:val="16"/>
                <w:szCs w:val="16"/>
              </w:rPr>
              <w:t>Kategorie / Rok</w:t>
            </w:r>
          </w:p>
        </w:tc>
        <w:tc>
          <w:tcPr>
            <w:tcW w:w="980" w:type="dxa"/>
            <w:tcBorders>
              <w:top w:val="single" w:sz="4" w:space="0" w:color="auto"/>
              <w:left w:val="nil"/>
              <w:bottom w:val="single" w:sz="4" w:space="0" w:color="auto"/>
              <w:right w:val="single" w:sz="4" w:space="0" w:color="auto"/>
            </w:tcBorders>
            <w:shd w:val="clear" w:color="000000" w:fill="F2F2F2"/>
            <w:noWrap/>
            <w:vAlign w:val="center"/>
          </w:tcPr>
          <w:p w14:paraId="0B5092B7" w14:textId="77777777" w:rsidR="00A27377" w:rsidRDefault="00A27377">
            <w:pPr>
              <w:spacing w:after="0" w:line="240" w:lineRule="auto"/>
              <w:jc w:val="center"/>
              <w:rPr>
                <w:b/>
                <w:bCs/>
                <w:color w:val="000000"/>
                <w:sz w:val="16"/>
                <w:szCs w:val="16"/>
              </w:rPr>
            </w:pPr>
            <w:r>
              <w:rPr>
                <w:b/>
                <w:bCs/>
                <w:color w:val="000000"/>
                <w:sz w:val="16"/>
                <w:szCs w:val="16"/>
              </w:rPr>
              <w:t>2021</w:t>
            </w:r>
          </w:p>
        </w:tc>
        <w:tc>
          <w:tcPr>
            <w:tcW w:w="960" w:type="dxa"/>
            <w:tcBorders>
              <w:top w:val="single" w:sz="4" w:space="0" w:color="auto"/>
              <w:left w:val="nil"/>
              <w:bottom w:val="single" w:sz="4" w:space="0" w:color="auto"/>
              <w:right w:val="single" w:sz="4" w:space="0" w:color="auto"/>
            </w:tcBorders>
            <w:shd w:val="clear" w:color="000000" w:fill="F2F2F2"/>
            <w:noWrap/>
            <w:vAlign w:val="center"/>
          </w:tcPr>
          <w:p w14:paraId="2D192BC2" w14:textId="77777777" w:rsidR="00A27377" w:rsidRDefault="00A27377">
            <w:pPr>
              <w:spacing w:after="0" w:line="240" w:lineRule="auto"/>
              <w:jc w:val="center"/>
              <w:rPr>
                <w:b/>
                <w:bCs/>
                <w:color w:val="000000"/>
                <w:sz w:val="16"/>
                <w:szCs w:val="16"/>
              </w:rPr>
            </w:pPr>
            <w:r>
              <w:rPr>
                <w:b/>
                <w:bCs/>
                <w:color w:val="000000"/>
                <w:sz w:val="16"/>
                <w:szCs w:val="16"/>
              </w:rPr>
              <w:t>2022</w:t>
            </w:r>
          </w:p>
        </w:tc>
        <w:tc>
          <w:tcPr>
            <w:tcW w:w="960" w:type="dxa"/>
            <w:tcBorders>
              <w:top w:val="single" w:sz="4" w:space="0" w:color="auto"/>
              <w:left w:val="nil"/>
              <w:bottom w:val="single" w:sz="4" w:space="0" w:color="auto"/>
              <w:right w:val="single" w:sz="4" w:space="0" w:color="auto"/>
            </w:tcBorders>
            <w:shd w:val="clear" w:color="000000" w:fill="F2F2F2"/>
            <w:noWrap/>
            <w:vAlign w:val="center"/>
          </w:tcPr>
          <w:p w14:paraId="39B06A93" w14:textId="77777777" w:rsidR="00A27377" w:rsidRDefault="00A27377">
            <w:pPr>
              <w:spacing w:after="0" w:line="240" w:lineRule="auto"/>
              <w:jc w:val="center"/>
              <w:rPr>
                <w:b/>
                <w:bCs/>
                <w:color w:val="000000"/>
                <w:sz w:val="16"/>
                <w:szCs w:val="16"/>
              </w:rPr>
            </w:pPr>
            <w:r>
              <w:rPr>
                <w:b/>
                <w:bCs/>
                <w:color w:val="000000"/>
                <w:sz w:val="16"/>
                <w:szCs w:val="16"/>
              </w:rPr>
              <w:t>2023</w:t>
            </w:r>
          </w:p>
        </w:tc>
        <w:tc>
          <w:tcPr>
            <w:tcW w:w="960" w:type="dxa"/>
            <w:tcBorders>
              <w:top w:val="single" w:sz="4" w:space="0" w:color="auto"/>
              <w:left w:val="nil"/>
              <w:bottom w:val="single" w:sz="4" w:space="0" w:color="auto"/>
              <w:right w:val="single" w:sz="4" w:space="0" w:color="auto"/>
            </w:tcBorders>
            <w:shd w:val="clear" w:color="000000" w:fill="F2F2F2"/>
            <w:noWrap/>
            <w:vAlign w:val="center"/>
          </w:tcPr>
          <w:p w14:paraId="3FF54C9D" w14:textId="77777777" w:rsidR="00A27377" w:rsidRDefault="00A27377">
            <w:pPr>
              <w:spacing w:after="0" w:line="240" w:lineRule="auto"/>
              <w:jc w:val="center"/>
              <w:rPr>
                <w:b/>
                <w:bCs/>
                <w:color w:val="000000"/>
                <w:sz w:val="16"/>
                <w:szCs w:val="16"/>
              </w:rPr>
            </w:pPr>
            <w:r>
              <w:rPr>
                <w:b/>
                <w:bCs/>
                <w:color w:val="000000"/>
                <w:sz w:val="16"/>
                <w:szCs w:val="16"/>
              </w:rPr>
              <w:t>2024</w:t>
            </w:r>
          </w:p>
        </w:tc>
        <w:tc>
          <w:tcPr>
            <w:tcW w:w="1120" w:type="dxa"/>
            <w:tcBorders>
              <w:top w:val="single" w:sz="4" w:space="0" w:color="auto"/>
              <w:left w:val="nil"/>
              <w:bottom w:val="single" w:sz="4" w:space="0" w:color="auto"/>
              <w:right w:val="single" w:sz="4" w:space="0" w:color="auto"/>
            </w:tcBorders>
            <w:shd w:val="clear" w:color="000000" w:fill="F2F2F2"/>
            <w:noWrap/>
            <w:vAlign w:val="center"/>
          </w:tcPr>
          <w:p w14:paraId="179A34E2" w14:textId="77777777" w:rsidR="00A27377" w:rsidRDefault="00A27377">
            <w:pPr>
              <w:spacing w:after="0" w:line="240" w:lineRule="auto"/>
              <w:jc w:val="center"/>
              <w:rPr>
                <w:b/>
                <w:bCs/>
                <w:color w:val="000000"/>
                <w:sz w:val="16"/>
                <w:szCs w:val="16"/>
              </w:rPr>
            </w:pPr>
            <w:r>
              <w:rPr>
                <w:b/>
                <w:bCs/>
                <w:color w:val="000000"/>
                <w:sz w:val="16"/>
                <w:szCs w:val="16"/>
              </w:rPr>
              <w:t>CELKEM</w:t>
            </w:r>
          </w:p>
        </w:tc>
      </w:tr>
      <w:tr w:rsidR="006E17D9" w14:paraId="39D9890E" w14:textId="77777777" w:rsidTr="00A27377">
        <w:trPr>
          <w:trHeight w:val="480"/>
        </w:trPr>
        <w:tc>
          <w:tcPr>
            <w:tcW w:w="1780" w:type="dxa"/>
            <w:tcBorders>
              <w:top w:val="nil"/>
              <w:left w:val="single" w:sz="4" w:space="0" w:color="auto"/>
              <w:bottom w:val="single" w:sz="4" w:space="0" w:color="auto"/>
              <w:right w:val="single" w:sz="4" w:space="0" w:color="auto"/>
            </w:tcBorders>
            <w:shd w:val="clear" w:color="000000" w:fill="F2F2F2"/>
            <w:vAlign w:val="center"/>
          </w:tcPr>
          <w:p w14:paraId="10276AA8" w14:textId="77777777" w:rsidR="006E17D9" w:rsidRDefault="006E17D9" w:rsidP="006E17D9">
            <w:pPr>
              <w:spacing w:after="0" w:line="240" w:lineRule="auto"/>
              <w:jc w:val="center"/>
              <w:rPr>
                <w:b/>
                <w:bCs/>
                <w:color w:val="000000"/>
                <w:sz w:val="16"/>
                <w:szCs w:val="16"/>
              </w:rPr>
            </w:pPr>
            <w:r>
              <w:rPr>
                <w:b/>
                <w:bCs/>
                <w:color w:val="000000"/>
                <w:sz w:val="16"/>
                <w:szCs w:val="16"/>
              </w:rPr>
              <w:t xml:space="preserve">1. Osobní náklady </w:t>
            </w:r>
            <w:r>
              <w:rPr>
                <w:b/>
                <w:bCs/>
                <w:color w:val="000000"/>
                <w:sz w:val="16"/>
                <w:szCs w:val="16"/>
              </w:rPr>
              <w:br/>
              <w:t>nebo výdaje</w:t>
            </w:r>
          </w:p>
        </w:tc>
        <w:tc>
          <w:tcPr>
            <w:tcW w:w="980" w:type="dxa"/>
            <w:tcBorders>
              <w:top w:val="nil"/>
              <w:left w:val="nil"/>
              <w:bottom w:val="single" w:sz="4" w:space="0" w:color="auto"/>
              <w:right w:val="single" w:sz="4" w:space="0" w:color="auto"/>
            </w:tcBorders>
            <w:shd w:val="clear" w:color="auto" w:fill="auto"/>
            <w:noWrap/>
            <w:vAlign w:val="center"/>
          </w:tcPr>
          <w:p w14:paraId="533374B7" w14:textId="55B79F93" w:rsidR="006E17D9" w:rsidRDefault="006E17D9" w:rsidP="006E17D9">
            <w:pPr>
              <w:spacing w:after="0" w:line="240" w:lineRule="auto"/>
              <w:jc w:val="center"/>
              <w:rPr>
                <w:color w:val="000000"/>
                <w:sz w:val="16"/>
                <w:szCs w:val="16"/>
              </w:rPr>
            </w:pPr>
            <w:r>
              <w:rPr>
                <w:color w:val="000000"/>
                <w:sz w:val="16"/>
                <w:szCs w:val="16"/>
              </w:rPr>
              <w:t>5 086 541</w:t>
            </w:r>
          </w:p>
        </w:tc>
        <w:tc>
          <w:tcPr>
            <w:tcW w:w="960" w:type="dxa"/>
            <w:tcBorders>
              <w:top w:val="nil"/>
              <w:left w:val="nil"/>
              <w:bottom w:val="single" w:sz="4" w:space="0" w:color="auto"/>
              <w:right w:val="single" w:sz="4" w:space="0" w:color="auto"/>
            </w:tcBorders>
            <w:shd w:val="clear" w:color="auto" w:fill="auto"/>
            <w:noWrap/>
            <w:vAlign w:val="center"/>
          </w:tcPr>
          <w:p w14:paraId="78116778" w14:textId="26710543" w:rsidR="006E17D9" w:rsidRDefault="006E17D9" w:rsidP="006E17D9">
            <w:pPr>
              <w:spacing w:after="0" w:line="240" w:lineRule="auto"/>
              <w:jc w:val="center"/>
              <w:rPr>
                <w:color w:val="000000"/>
                <w:sz w:val="16"/>
                <w:szCs w:val="16"/>
              </w:rPr>
            </w:pPr>
            <w:r>
              <w:rPr>
                <w:color w:val="000000"/>
                <w:sz w:val="16"/>
                <w:szCs w:val="16"/>
              </w:rPr>
              <w:t>4 908 319</w:t>
            </w:r>
          </w:p>
        </w:tc>
        <w:tc>
          <w:tcPr>
            <w:tcW w:w="960" w:type="dxa"/>
            <w:tcBorders>
              <w:top w:val="nil"/>
              <w:left w:val="nil"/>
              <w:bottom w:val="single" w:sz="4" w:space="0" w:color="auto"/>
              <w:right w:val="single" w:sz="4" w:space="0" w:color="auto"/>
            </w:tcBorders>
            <w:shd w:val="clear" w:color="auto" w:fill="auto"/>
            <w:noWrap/>
            <w:vAlign w:val="center"/>
          </w:tcPr>
          <w:p w14:paraId="4EBB6260" w14:textId="2EC7EFA2" w:rsidR="006E17D9" w:rsidRDefault="006E17D9" w:rsidP="006E17D9">
            <w:pPr>
              <w:spacing w:after="0" w:line="240" w:lineRule="auto"/>
              <w:jc w:val="center"/>
              <w:rPr>
                <w:color w:val="000000"/>
                <w:sz w:val="16"/>
                <w:szCs w:val="16"/>
              </w:rPr>
            </w:pPr>
            <w:r>
              <w:rPr>
                <w:color w:val="000000"/>
                <w:sz w:val="16"/>
                <w:szCs w:val="16"/>
              </w:rPr>
              <w:t>3 930 509</w:t>
            </w:r>
          </w:p>
        </w:tc>
        <w:tc>
          <w:tcPr>
            <w:tcW w:w="960" w:type="dxa"/>
            <w:tcBorders>
              <w:top w:val="nil"/>
              <w:left w:val="nil"/>
              <w:bottom w:val="single" w:sz="4" w:space="0" w:color="auto"/>
              <w:right w:val="single" w:sz="4" w:space="0" w:color="auto"/>
            </w:tcBorders>
            <w:shd w:val="clear" w:color="auto" w:fill="auto"/>
            <w:noWrap/>
            <w:vAlign w:val="center"/>
          </w:tcPr>
          <w:p w14:paraId="05B9D96A" w14:textId="1F285DA0" w:rsidR="006E17D9" w:rsidRDefault="006E17D9" w:rsidP="006E17D9">
            <w:pPr>
              <w:spacing w:after="0" w:line="240" w:lineRule="auto"/>
              <w:jc w:val="center"/>
              <w:rPr>
                <w:color w:val="000000"/>
                <w:sz w:val="16"/>
                <w:szCs w:val="16"/>
              </w:rPr>
            </w:pPr>
            <w:r>
              <w:rPr>
                <w:color w:val="000000"/>
                <w:sz w:val="16"/>
                <w:szCs w:val="16"/>
              </w:rPr>
              <w:t>4 075 013</w:t>
            </w:r>
          </w:p>
        </w:tc>
        <w:tc>
          <w:tcPr>
            <w:tcW w:w="1120" w:type="dxa"/>
            <w:tcBorders>
              <w:top w:val="nil"/>
              <w:left w:val="nil"/>
              <w:bottom w:val="single" w:sz="4" w:space="0" w:color="auto"/>
              <w:right w:val="single" w:sz="4" w:space="0" w:color="auto"/>
            </w:tcBorders>
            <w:shd w:val="clear" w:color="000000" w:fill="F2F2F2"/>
            <w:noWrap/>
            <w:vAlign w:val="center"/>
          </w:tcPr>
          <w:p w14:paraId="5B6E8462" w14:textId="12110601" w:rsidR="006E17D9" w:rsidRDefault="006E17D9" w:rsidP="006E17D9">
            <w:pPr>
              <w:spacing w:after="0" w:line="240" w:lineRule="auto"/>
              <w:jc w:val="center"/>
              <w:rPr>
                <w:b/>
                <w:bCs/>
                <w:color w:val="000000"/>
                <w:sz w:val="16"/>
                <w:szCs w:val="16"/>
              </w:rPr>
            </w:pPr>
            <w:r>
              <w:rPr>
                <w:b/>
                <w:bCs/>
                <w:color w:val="000000"/>
                <w:sz w:val="16"/>
                <w:szCs w:val="16"/>
              </w:rPr>
              <w:t>18 000 382</w:t>
            </w:r>
          </w:p>
        </w:tc>
      </w:tr>
      <w:tr w:rsidR="006E17D9" w14:paraId="071EA4E2" w14:textId="77777777" w:rsidTr="00A27377">
        <w:trPr>
          <w:trHeight w:val="960"/>
        </w:trPr>
        <w:tc>
          <w:tcPr>
            <w:tcW w:w="1780" w:type="dxa"/>
            <w:tcBorders>
              <w:top w:val="nil"/>
              <w:left w:val="single" w:sz="4" w:space="0" w:color="auto"/>
              <w:bottom w:val="single" w:sz="4" w:space="0" w:color="auto"/>
              <w:right w:val="single" w:sz="4" w:space="0" w:color="auto"/>
            </w:tcBorders>
            <w:shd w:val="clear" w:color="000000" w:fill="F2F2F2"/>
            <w:vAlign w:val="center"/>
          </w:tcPr>
          <w:p w14:paraId="696BB5AD" w14:textId="77777777" w:rsidR="006E17D9" w:rsidRDefault="006E17D9" w:rsidP="006E17D9">
            <w:pPr>
              <w:spacing w:after="0" w:line="240" w:lineRule="auto"/>
              <w:jc w:val="center"/>
              <w:rPr>
                <w:b/>
                <w:bCs/>
                <w:sz w:val="16"/>
                <w:szCs w:val="16"/>
              </w:rPr>
            </w:pPr>
            <w:r>
              <w:rPr>
                <w:b/>
                <w:bCs/>
                <w:sz w:val="16"/>
                <w:szCs w:val="16"/>
              </w:rPr>
              <w:t>2. Náklady nebo výdaje na pořízení hmotného a nehmotného majetku</w:t>
            </w:r>
          </w:p>
        </w:tc>
        <w:tc>
          <w:tcPr>
            <w:tcW w:w="980" w:type="dxa"/>
            <w:tcBorders>
              <w:top w:val="nil"/>
              <w:left w:val="nil"/>
              <w:bottom w:val="single" w:sz="4" w:space="0" w:color="auto"/>
              <w:right w:val="single" w:sz="4" w:space="0" w:color="auto"/>
            </w:tcBorders>
            <w:shd w:val="clear" w:color="auto" w:fill="auto"/>
            <w:noWrap/>
            <w:vAlign w:val="center"/>
          </w:tcPr>
          <w:p w14:paraId="642594A6" w14:textId="14159B0B" w:rsidR="006E17D9" w:rsidRDefault="006E17D9" w:rsidP="006E17D9">
            <w:pPr>
              <w:spacing w:after="0" w:line="240" w:lineRule="auto"/>
              <w:jc w:val="center"/>
              <w:rPr>
                <w:color w:val="000000"/>
                <w:sz w:val="16"/>
                <w:szCs w:val="16"/>
              </w:rPr>
            </w:pPr>
            <w:r>
              <w:rPr>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center"/>
          </w:tcPr>
          <w:p w14:paraId="10C4863D" w14:textId="7174B326" w:rsidR="006E17D9" w:rsidRDefault="006E17D9" w:rsidP="006E17D9">
            <w:pPr>
              <w:spacing w:after="0" w:line="240" w:lineRule="auto"/>
              <w:jc w:val="center"/>
              <w:rPr>
                <w:color w:val="000000"/>
                <w:sz w:val="16"/>
                <w:szCs w:val="16"/>
              </w:rPr>
            </w:pPr>
            <w:r>
              <w:rPr>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center"/>
          </w:tcPr>
          <w:p w14:paraId="5E5E9525" w14:textId="7D651D93" w:rsidR="006E17D9" w:rsidRDefault="006E17D9" w:rsidP="006E17D9">
            <w:pPr>
              <w:spacing w:after="0" w:line="240" w:lineRule="auto"/>
              <w:jc w:val="center"/>
              <w:rPr>
                <w:color w:val="000000"/>
                <w:sz w:val="16"/>
                <w:szCs w:val="16"/>
              </w:rPr>
            </w:pPr>
            <w:r>
              <w:rPr>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center"/>
          </w:tcPr>
          <w:p w14:paraId="6D8C951D" w14:textId="69386AAB" w:rsidR="006E17D9" w:rsidRDefault="006E17D9" w:rsidP="006E17D9">
            <w:pPr>
              <w:spacing w:after="0" w:line="240" w:lineRule="auto"/>
              <w:jc w:val="center"/>
              <w:rPr>
                <w:color w:val="000000"/>
                <w:sz w:val="16"/>
                <w:szCs w:val="16"/>
              </w:rPr>
            </w:pPr>
            <w:r>
              <w:rPr>
                <w:color w:val="000000"/>
                <w:sz w:val="16"/>
                <w:szCs w:val="16"/>
              </w:rPr>
              <w:t>0</w:t>
            </w:r>
          </w:p>
        </w:tc>
        <w:tc>
          <w:tcPr>
            <w:tcW w:w="1120" w:type="dxa"/>
            <w:tcBorders>
              <w:top w:val="nil"/>
              <w:left w:val="nil"/>
              <w:bottom w:val="single" w:sz="4" w:space="0" w:color="auto"/>
              <w:right w:val="single" w:sz="4" w:space="0" w:color="auto"/>
            </w:tcBorders>
            <w:shd w:val="clear" w:color="000000" w:fill="F2F2F2"/>
            <w:noWrap/>
            <w:vAlign w:val="center"/>
          </w:tcPr>
          <w:p w14:paraId="677B7AB0" w14:textId="0C9145C9" w:rsidR="006E17D9" w:rsidRDefault="006E17D9" w:rsidP="006E17D9">
            <w:pPr>
              <w:spacing w:after="0" w:line="240" w:lineRule="auto"/>
              <w:jc w:val="center"/>
              <w:rPr>
                <w:b/>
                <w:bCs/>
                <w:color w:val="000000"/>
                <w:sz w:val="16"/>
                <w:szCs w:val="16"/>
              </w:rPr>
            </w:pPr>
            <w:r>
              <w:rPr>
                <w:b/>
                <w:bCs/>
                <w:color w:val="000000"/>
                <w:sz w:val="16"/>
                <w:szCs w:val="16"/>
              </w:rPr>
              <w:t>0</w:t>
            </w:r>
          </w:p>
        </w:tc>
      </w:tr>
      <w:tr w:rsidR="006E17D9" w14:paraId="5A886C68" w14:textId="77777777" w:rsidTr="00A27377">
        <w:trPr>
          <w:trHeight w:val="720"/>
        </w:trPr>
        <w:tc>
          <w:tcPr>
            <w:tcW w:w="1780" w:type="dxa"/>
            <w:tcBorders>
              <w:top w:val="nil"/>
              <w:left w:val="single" w:sz="4" w:space="0" w:color="auto"/>
              <w:bottom w:val="single" w:sz="4" w:space="0" w:color="auto"/>
              <w:right w:val="single" w:sz="4" w:space="0" w:color="auto"/>
            </w:tcBorders>
            <w:shd w:val="clear" w:color="000000" w:fill="F2F2F2"/>
            <w:vAlign w:val="center"/>
          </w:tcPr>
          <w:p w14:paraId="3DA817A4" w14:textId="77777777" w:rsidR="006E17D9" w:rsidRDefault="006E17D9" w:rsidP="006E17D9">
            <w:pPr>
              <w:spacing w:after="0" w:line="240" w:lineRule="auto"/>
              <w:jc w:val="center"/>
              <w:rPr>
                <w:b/>
                <w:bCs/>
                <w:sz w:val="16"/>
                <w:szCs w:val="16"/>
              </w:rPr>
            </w:pPr>
            <w:r>
              <w:rPr>
                <w:b/>
                <w:bCs/>
                <w:sz w:val="16"/>
                <w:szCs w:val="16"/>
              </w:rPr>
              <w:t>3. Provozní náklady nebo výdaje, náklady nebo výdaje na služby</w:t>
            </w:r>
          </w:p>
        </w:tc>
        <w:tc>
          <w:tcPr>
            <w:tcW w:w="980" w:type="dxa"/>
            <w:tcBorders>
              <w:top w:val="nil"/>
              <w:left w:val="nil"/>
              <w:bottom w:val="single" w:sz="4" w:space="0" w:color="auto"/>
              <w:right w:val="single" w:sz="4" w:space="0" w:color="auto"/>
            </w:tcBorders>
            <w:shd w:val="clear" w:color="auto" w:fill="auto"/>
            <w:noWrap/>
            <w:vAlign w:val="center"/>
          </w:tcPr>
          <w:p w14:paraId="749FC87D" w14:textId="6F589F9B" w:rsidR="006E17D9" w:rsidRDefault="006E17D9" w:rsidP="006E17D9">
            <w:pPr>
              <w:spacing w:after="0" w:line="240" w:lineRule="auto"/>
              <w:jc w:val="center"/>
              <w:rPr>
                <w:color w:val="000000"/>
                <w:sz w:val="16"/>
                <w:szCs w:val="16"/>
              </w:rPr>
            </w:pPr>
            <w:r>
              <w:rPr>
                <w:color w:val="000000"/>
                <w:sz w:val="16"/>
                <w:szCs w:val="16"/>
              </w:rPr>
              <w:t>140 000</w:t>
            </w:r>
          </w:p>
        </w:tc>
        <w:tc>
          <w:tcPr>
            <w:tcW w:w="960" w:type="dxa"/>
            <w:tcBorders>
              <w:top w:val="nil"/>
              <w:left w:val="nil"/>
              <w:bottom w:val="single" w:sz="4" w:space="0" w:color="auto"/>
              <w:right w:val="single" w:sz="4" w:space="0" w:color="auto"/>
            </w:tcBorders>
            <w:shd w:val="clear" w:color="auto" w:fill="auto"/>
            <w:noWrap/>
            <w:vAlign w:val="center"/>
          </w:tcPr>
          <w:p w14:paraId="30DB626A" w14:textId="51259033" w:rsidR="006E17D9" w:rsidRDefault="006E17D9" w:rsidP="006E17D9">
            <w:pPr>
              <w:spacing w:after="0" w:line="240" w:lineRule="auto"/>
              <w:jc w:val="center"/>
              <w:rPr>
                <w:color w:val="000000"/>
                <w:sz w:val="16"/>
                <w:szCs w:val="16"/>
              </w:rPr>
            </w:pPr>
            <w:r>
              <w:rPr>
                <w:color w:val="000000"/>
                <w:sz w:val="16"/>
                <w:szCs w:val="16"/>
              </w:rPr>
              <w:t>148 000</w:t>
            </w:r>
          </w:p>
        </w:tc>
        <w:tc>
          <w:tcPr>
            <w:tcW w:w="960" w:type="dxa"/>
            <w:tcBorders>
              <w:top w:val="nil"/>
              <w:left w:val="nil"/>
              <w:bottom w:val="single" w:sz="4" w:space="0" w:color="auto"/>
              <w:right w:val="single" w:sz="4" w:space="0" w:color="auto"/>
            </w:tcBorders>
            <w:shd w:val="clear" w:color="auto" w:fill="auto"/>
            <w:noWrap/>
            <w:vAlign w:val="center"/>
          </w:tcPr>
          <w:p w14:paraId="6B5B51D9" w14:textId="5CD56BEA" w:rsidR="006E17D9" w:rsidRDefault="006E17D9" w:rsidP="006E17D9">
            <w:pPr>
              <w:spacing w:after="0" w:line="240" w:lineRule="auto"/>
              <w:jc w:val="center"/>
              <w:rPr>
                <w:color w:val="000000"/>
                <w:sz w:val="16"/>
                <w:szCs w:val="16"/>
              </w:rPr>
            </w:pPr>
            <w:r>
              <w:rPr>
                <w:color w:val="000000"/>
                <w:sz w:val="16"/>
                <w:szCs w:val="16"/>
              </w:rPr>
              <w:t>63 500</w:t>
            </w:r>
          </w:p>
        </w:tc>
        <w:tc>
          <w:tcPr>
            <w:tcW w:w="960" w:type="dxa"/>
            <w:tcBorders>
              <w:top w:val="nil"/>
              <w:left w:val="nil"/>
              <w:bottom w:val="single" w:sz="4" w:space="0" w:color="auto"/>
              <w:right w:val="single" w:sz="4" w:space="0" w:color="auto"/>
            </w:tcBorders>
            <w:shd w:val="clear" w:color="auto" w:fill="auto"/>
            <w:noWrap/>
            <w:vAlign w:val="center"/>
          </w:tcPr>
          <w:p w14:paraId="295FEDC4" w14:textId="64E38D55" w:rsidR="006E17D9" w:rsidRDefault="006E17D9" w:rsidP="006E17D9">
            <w:pPr>
              <w:spacing w:after="0" w:line="240" w:lineRule="auto"/>
              <w:jc w:val="center"/>
              <w:rPr>
                <w:color w:val="000000"/>
                <w:sz w:val="16"/>
                <w:szCs w:val="16"/>
              </w:rPr>
            </w:pPr>
            <w:r>
              <w:rPr>
                <w:color w:val="000000"/>
                <w:sz w:val="16"/>
                <w:szCs w:val="16"/>
              </w:rPr>
              <w:t>52 000</w:t>
            </w:r>
          </w:p>
        </w:tc>
        <w:tc>
          <w:tcPr>
            <w:tcW w:w="1120" w:type="dxa"/>
            <w:tcBorders>
              <w:top w:val="nil"/>
              <w:left w:val="nil"/>
              <w:bottom w:val="single" w:sz="4" w:space="0" w:color="auto"/>
              <w:right w:val="single" w:sz="4" w:space="0" w:color="auto"/>
            </w:tcBorders>
            <w:shd w:val="clear" w:color="000000" w:fill="F2F2F2"/>
            <w:noWrap/>
            <w:vAlign w:val="center"/>
          </w:tcPr>
          <w:p w14:paraId="2C73336B" w14:textId="2C26A43B" w:rsidR="006E17D9" w:rsidRDefault="006E17D9" w:rsidP="006E17D9">
            <w:pPr>
              <w:spacing w:after="0" w:line="240" w:lineRule="auto"/>
              <w:jc w:val="center"/>
              <w:rPr>
                <w:b/>
                <w:bCs/>
                <w:color w:val="000000"/>
                <w:sz w:val="16"/>
                <w:szCs w:val="16"/>
              </w:rPr>
            </w:pPr>
            <w:r>
              <w:rPr>
                <w:b/>
                <w:bCs/>
                <w:color w:val="000000"/>
                <w:sz w:val="16"/>
                <w:szCs w:val="16"/>
              </w:rPr>
              <w:t>403 500</w:t>
            </w:r>
          </w:p>
        </w:tc>
      </w:tr>
      <w:tr w:rsidR="006E17D9" w14:paraId="697B7B50" w14:textId="77777777" w:rsidTr="00A27377">
        <w:trPr>
          <w:trHeight w:val="300"/>
        </w:trPr>
        <w:tc>
          <w:tcPr>
            <w:tcW w:w="1780" w:type="dxa"/>
            <w:vMerge w:val="restart"/>
            <w:tcBorders>
              <w:top w:val="nil"/>
              <w:left w:val="single" w:sz="4" w:space="0" w:color="auto"/>
              <w:bottom w:val="single" w:sz="4" w:space="0" w:color="auto"/>
              <w:right w:val="single" w:sz="4" w:space="0" w:color="auto"/>
            </w:tcBorders>
            <w:shd w:val="clear" w:color="000000" w:fill="F2F2F2"/>
            <w:vAlign w:val="center"/>
          </w:tcPr>
          <w:p w14:paraId="3EB3B822" w14:textId="77777777" w:rsidR="006E17D9" w:rsidRDefault="006E17D9" w:rsidP="006E17D9">
            <w:pPr>
              <w:spacing w:after="0" w:line="240" w:lineRule="auto"/>
              <w:jc w:val="center"/>
              <w:rPr>
                <w:b/>
                <w:bCs/>
                <w:color w:val="000000"/>
                <w:sz w:val="16"/>
                <w:szCs w:val="16"/>
              </w:rPr>
            </w:pPr>
            <w:r>
              <w:rPr>
                <w:b/>
                <w:bCs/>
                <w:color w:val="000000"/>
                <w:sz w:val="16"/>
                <w:szCs w:val="16"/>
              </w:rPr>
              <w:t>4. Doplňkové náklady</w:t>
            </w:r>
            <w:r>
              <w:rPr>
                <w:b/>
                <w:bCs/>
                <w:color w:val="000000"/>
                <w:sz w:val="16"/>
                <w:szCs w:val="16"/>
              </w:rPr>
              <w:br/>
              <w:t xml:space="preserve"> nebo výdaje (režie)</w:t>
            </w:r>
          </w:p>
        </w:tc>
        <w:tc>
          <w:tcPr>
            <w:tcW w:w="980" w:type="dxa"/>
            <w:tcBorders>
              <w:top w:val="nil"/>
              <w:left w:val="nil"/>
              <w:bottom w:val="single" w:sz="4" w:space="0" w:color="auto"/>
              <w:right w:val="single" w:sz="4" w:space="0" w:color="auto"/>
            </w:tcBorders>
            <w:shd w:val="clear" w:color="auto" w:fill="auto"/>
            <w:noWrap/>
            <w:vAlign w:val="center"/>
          </w:tcPr>
          <w:p w14:paraId="0FABCED7" w14:textId="358178EF" w:rsidR="006E17D9" w:rsidRDefault="006E17D9" w:rsidP="006E17D9">
            <w:pPr>
              <w:spacing w:after="0" w:line="240" w:lineRule="auto"/>
              <w:jc w:val="center"/>
              <w:rPr>
                <w:color w:val="000000"/>
                <w:sz w:val="16"/>
                <w:szCs w:val="16"/>
              </w:rPr>
            </w:pPr>
            <w:r>
              <w:rPr>
                <w:color w:val="000000"/>
                <w:sz w:val="16"/>
                <w:szCs w:val="16"/>
              </w:rPr>
              <w:t>1 306 635</w:t>
            </w:r>
          </w:p>
        </w:tc>
        <w:tc>
          <w:tcPr>
            <w:tcW w:w="960" w:type="dxa"/>
            <w:tcBorders>
              <w:top w:val="nil"/>
              <w:left w:val="nil"/>
              <w:bottom w:val="single" w:sz="4" w:space="0" w:color="auto"/>
              <w:right w:val="single" w:sz="4" w:space="0" w:color="auto"/>
            </w:tcBorders>
            <w:shd w:val="clear" w:color="auto" w:fill="auto"/>
            <w:noWrap/>
            <w:vAlign w:val="center"/>
          </w:tcPr>
          <w:p w14:paraId="4D2AC374" w14:textId="53161F09" w:rsidR="006E17D9" w:rsidRDefault="006E17D9" w:rsidP="006E17D9">
            <w:pPr>
              <w:spacing w:after="0" w:line="240" w:lineRule="auto"/>
              <w:jc w:val="center"/>
              <w:rPr>
                <w:color w:val="000000"/>
                <w:sz w:val="16"/>
                <w:szCs w:val="16"/>
              </w:rPr>
            </w:pPr>
            <w:r>
              <w:rPr>
                <w:color w:val="000000"/>
                <w:sz w:val="16"/>
                <w:szCs w:val="16"/>
              </w:rPr>
              <w:t>1 264 080</w:t>
            </w:r>
          </w:p>
        </w:tc>
        <w:tc>
          <w:tcPr>
            <w:tcW w:w="960" w:type="dxa"/>
            <w:tcBorders>
              <w:top w:val="nil"/>
              <w:left w:val="nil"/>
              <w:bottom w:val="single" w:sz="4" w:space="0" w:color="auto"/>
              <w:right w:val="single" w:sz="4" w:space="0" w:color="auto"/>
            </w:tcBorders>
            <w:shd w:val="clear" w:color="auto" w:fill="auto"/>
            <w:noWrap/>
            <w:vAlign w:val="center"/>
          </w:tcPr>
          <w:p w14:paraId="7C991F90" w14:textId="3E8850C6" w:rsidR="006E17D9" w:rsidRDefault="006E17D9" w:rsidP="006E17D9">
            <w:pPr>
              <w:spacing w:after="0" w:line="240" w:lineRule="auto"/>
              <w:jc w:val="center"/>
              <w:rPr>
                <w:color w:val="000000"/>
                <w:sz w:val="16"/>
                <w:szCs w:val="16"/>
              </w:rPr>
            </w:pPr>
            <w:r>
              <w:rPr>
                <w:color w:val="000000"/>
                <w:sz w:val="16"/>
                <w:szCs w:val="16"/>
              </w:rPr>
              <w:t>998 502</w:t>
            </w:r>
          </w:p>
        </w:tc>
        <w:tc>
          <w:tcPr>
            <w:tcW w:w="960" w:type="dxa"/>
            <w:tcBorders>
              <w:top w:val="nil"/>
              <w:left w:val="nil"/>
              <w:bottom w:val="single" w:sz="4" w:space="0" w:color="auto"/>
              <w:right w:val="single" w:sz="4" w:space="0" w:color="auto"/>
            </w:tcBorders>
            <w:shd w:val="clear" w:color="auto" w:fill="auto"/>
            <w:noWrap/>
            <w:vAlign w:val="center"/>
          </w:tcPr>
          <w:p w14:paraId="195CE322" w14:textId="3457C4EA" w:rsidR="006E17D9" w:rsidRDefault="006E17D9" w:rsidP="006E17D9">
            <w:pPr>
              <w:spacing w:after="0" w:line="240" w:lineRule="auto"/>
              <w:jc w:val="center"/>
              <w:rPr>
                <w:color w:val="000000"/>
                <w:sz w:val="16"/>
                <w:szCs w:val="16"/>
              </w:rPr>
            </w:pPr>
            <w:r>
              <w:rPr>
                <w:color w:val="000000"/>
                <w:sz w:val="16"/>
                <w:szCs w:val="16"/>
              </w:rPr>
              <w:t>1 031 753</w:t>
            </w:r>
          </w:p>
        </w:tc>
        <w:tc>
          <w:tcPr>
            <w:tcW w:w="1120" w:type="dxa"/>
            <w:tcBorders>
              <w:top w:val="nil"/>
              <w:left w:val="nil"/>
              <w:bottom w:val="single" w:sz="4" w:space="0" w:color="auto"/>
              <w:right w:val="single" w:sz="4" w:space="0" w:color="auto"/>
            </w:tcBorders>
            <w:shd w:val="clear" w:color="000000" w:fill="F2F2F2"/>
            <w:noWrap/>
            <w:vAlign w:val="center"/>
          </w:tcPr>
          <w:p w14:paraId="4C516423" w14:textId="36255C94" w:rsidR="006E17D9" w:rsidRDefault="006E17D9" w:rsidP="006E17D9">
            <w:pPr>
              <w:spacing w:after="0" w:line="240" w:lineRule="auto"/>
              <w:jc w:val="center"/>
              <w:rPr>
                <w:b/>
                <w:bCs/>
                <w:color w:val="000000"/>
                <w:sz w:val="16"/>
                <w:szCs w:val="16"/>
              </w:rPr>
            </w:pPr>
            <w:r>
              <w:rPr>
                <w:b/>
                <w:bCs/>
                <w:color w:val="000000"/>
                <w:sz w:val="16"/>
                <w:szCs w:val="16"/>
              </w:rPr>
              <w:t>4 600 970</w:t>
            </w:r>
          </w:p>
        </w:tc>
      </w:tr>
      <w:tr w:rsidR="006E17D9" w14:paraId="69211949" w14:textId="77777777" w:rsidTr="00A27377">
        <w:trPr>
          <w:trHeight w:val="300"/>
        </w:trPr>
        <w:tc>
          <w:tcPr>
            <w:tcW w:w="1780" w:type="dxa"/>
            <w:vMerge/>
            <w:tcBorders>
              <w:top w:val="nil"/>
              <w:left w:val="single" w:sz="4" w:space="0" w:color="auto"/>
              <w:bottom w:val="single" w:sz="4" w:space="0" w:color="auto"/>
              <w:right w:val="single" w:sz="4" w:space="0" w:color="auto"/>
            </w:tcBorders>
            <w:vAlign w:val="center"/>
          </w:tcPr>
          <w:p w14:paraId="41369BC8" w14:textId="77777777" w:rsidR="006E17D9" w:rsidRDefault="006E17D9" w:rsidP="006E17D9">
            <w:pPr>
              <w:spacing w:after="0" w:line="240" w:lineRule="auto"/>
              <w:jc w:val="center"/>
              <w:rPr>
                <w:b/>
                <w:bCs/>
                <w:color w:val="000000"/>
                <w:sz w:val="16"/>
                <w:szCs w:val="16"/>
              </w:rPr>
            </w:pPr>
          </w:p>
        </w:tc>
        <w:tc>
          <w:tcPr>
            <w:tcW w:w="980" w:type="dxa"/>
            <w:tcBorders>
              <w:top w:val="nil"/>
              <w:left w:val="nil"/>
              <w:bottom w:val="single" w:sz="4" w:space="0" w:color="auto"/>
              <w:right w:val="single" w:sz="4" w:space="0" w:color="auto"/>
            </w:tcBorders>
            <w:shd w:val="clear" w:color="000000" w:fill="F2F2F2"/>
            <w:noWrap/>
            <w:vAlign w:val="center"/>
          </w:tcPr>
          <w:p w14:paraId="67031AD3" w14:textId="6406AB8D" w:rsidR="006E17D9" w:rsidRDefault="006E17D9" w:rsidP="006E17D9">
            <w:pPr>
              <w:spacing w:after="0" w:line="240" w:lineRule="auto"/>
              <w:jc w:val="center"/>
              <w:rPr>
                <w:color w:val="0070C0"/>
                <w:sz w:val="16"/>
                <w:szCs w:val="16"/>
              </w:rPr>
            </w:pPr>
            <w:r>
              <w:rPr>
                <w:color w:val="0070C0"/>
                <w:sz w:val="16"/>
                <w:szCs w:val="16"/>
              </w:rPr>
              <w:t>25,00%</w:t>
            </w:r>
          </w:p>
        </w:tc>
        <w:tc>
          <w:tcPr>
            <w:tcW w:w="960" w:type="dxa"/>
            <w:tcBorders>
              <w:top w:val="nil"/>
              <w:left w:val="nil"/>
              <w:bottom w:val="single" w:sz="4" w:space="0" w:color="auto"/>
              <w:right w:val="single" w:sz="4" w:space="0" w:color="auto"/>
            </w:tcBorders>
            <w:shd w:val="clear" w:color="000000" w:fill="F2F2F2"/>
            <w:noWrap/>
            <w:vAlign w:val="center"/>
          </w:tcPr>
          <w:p w14:paraId="7D290251" w14:textId="0E6F0F1B" w:rsidR="006E17D9" w:rsidRDefault="006E17D9" w:rsidP="006E17D9">
            <w:pPr>
              <w:spacing w:after="0" w:line="240" w:lineRule="auto"/>
              <w:jc w:val="center"/>
              <w:rPr>
                <w:color w:val="0070C0"/>
                <w:sz w:val="16"/>
                <w:szCs w:val="16"/>
              </w:rPr>
            </w:pPr>
            <w:r>
              <w:rPr>
                <w:color w:val="0070C0"/>
                <w:sz w:val="16"/>
                <w:szCs w:val="16"/>
              </w:rPr>
              <w:t>25,00%</w:t>
            </w:r>
          </w:p>
        </w:tc>
        <w:tc>
          <w:tcPr>
            <w:tcW w:w="960" w:type="dxa"/>
            <w:tcBorders>
              <w:top w:val="nil"/>
              <w:left w:val="nil"/>
              <w:bottom w:val="single" w:sz="4" w:space="0" w:color="auto"/>
              <w:right w:val="single" w:sz="4" w:space="0" w:color="auto"/>
            </w:tcBorders>
            <w:shd w:val="clear" w:color="000000" w:fill="F2F2F2"/>
            <w:noWrap/>
            <w:vAlign w:val="center"/>
          </w:tcPr>
          <w:p w14:paraId="294ACC52" w14:textId="713FE704" w:rsidR="006E17D9" w:rsidRDefault="006E17D9" w:rsidP="006E17D9">
            <w:pPr>
              <w:spacing w:after="0" w:line="240" w:lineRule="auto"/>
              <w:jc w:val="center"/>
              <w:rPr>
                <w:color w:val="0070C0"/>
                <w:sz w:val="16"/>
                <w:szCs w:val="16"/>
              </w:rPr>
            </w:pPr>
            <w:r>
              <w:rPr>
                <w:color w:val="0070C0"/>
                <w:sz w:val="16"/>
                <w:szCs w:val="16"/>
              </w:rPr>
              <w:t>25,00%</w:t>
            </w:r>
          </w:p>
        </w:tc>
        <w:tc>
          <w:tcPr>
            <w:tcW w:w="960" w:type="dxa"/>
            <w:tcBorders>
              <w:top w:val="nil"/>
              <w:left w:val="nil"/>
              <w:bottom w:val="single" w:sz="4" w:space="0" w:color="auto"/>
              <w:right w:val="single" w:sz="4" w:space="0" w:color="auto"/>
            </w:tcBorders>
            <w:shd w:val="clear" w:color="000000" w:fill="F2F2F2"/>
            <w:noWrap/>
            <w:vAlign w:val="center"/>
          </w:tcPr>
          <w:p w14:paraId="358D3909" w14:textId="63BDC736" w:rsidR="006E17D9" w:rsidRDefault="006E17D9" w:rsidP="006E17D9">
            <w:pPr>
              <w:spacing w:after="0" w:line="240" w:lineRule="auto"/>
              <w:jc w:val="center"/>
              <w:rPr>
                <w:color w:val="0070C0"/>
                <w:sz w:val="16"/>
                <w:szCs w:val="16"/>
              </w:rPr>
            </w:pPr>
            <w:r>
              <w:rPr>
                <w:color w:val="0070C0"/>
                <w:sz w:val="16"/>
                <w:szCs w:val="16"/>
              </w:rPr>
              <w:t>25,00%</w:t>
            </w:r>
          </w:p>
        </w:tc>
        <w:tc>
          <w:tcPr>
            <w:tcW w:w="1120" w:type="dxa"/>
            <w:tcBorders>
              <w:top w:val="nil"/>
              <w:left w:val="nil"/>
              <w:bottom w:val="single" w:sz="4" w:space="0" w:color="auto"/>
              <w:right w:val="single" w:sz="4" w:space="0" w:color="auto"/>
            </w:tcBorders>
            <w:shd w:val="clear" w:color="000000" w:fill="F2F2F2"/>
            <w:noWrap/>
            <w:vAlign w:val="center"/>
          </w:tcPr>
          <w:p w14:paraId="4294FFAB" w14:textId="733DFCBB" w:rsidR="006E17D9" w:rsidRDefault="006E17D9" w:rsidP="006E17D9">
            <w:pPr>
              <w:spacing w:after="0" w:line="240" w:lineRule="auto"/>
              <w:jc w:val="center"/>
              <w:rPr>
                <w:b/>
                <w:bCs/>
                <w:color w:val="0070C0"/>
                <w:sz w:val="16"/>
                <w:szCs w:val="16"/>
              </w:rPr>
            </w:pPr>
            <w:r>
              <w:rPr>
                <w:b/>
                <w:bCs/>
                <w:color w:val="0070C0"/>
                <w:sz w:val="16"/>
                <w:szCs w:val="16"/>
              </w:rPr>
              <w:t>25,00%</w:t>
            </w:r>
          </w:p>
        </w:tc>
      </w:tr>
      <w:tr w:rsidR="006E17D9" w14:paraId="74F1A46E" w14:textId="77777777" w:rsidTr="00A27377">
        <w:trPr>
          <w:trHeight w:val="300"/>
        </w:trPr>
        <w:tc>
          <w:tcPr>
            <w:tcW w:w="1780" w:type="dxa"/>
            <w:tcBorders>
              <w:top w:val="nil"/>
              <w:left w:val="single" w:sz="4" w:space="0" w:color="auto"/>
              <w:bottom w:val="single" w:sz="4" w:space="0" w:color="auto"/>
              <w:right w:val="single" w:sz="4" w:space="0" w:color="auto"/>
            </w:tcBorders>
            <w:shd w:val="clear" w:color="000000" w:fill="F2F2F2"/>
            <w:noWrap/>
            <w:vAlign w:val="center"/>
          </w:tcPr>
          <w:p w14:paraId="35D40160" w14:textId="77777777" w:rsidR="006E17D9" w:rsidRDefault="006E17D9" w:rsidP="006E17D9">
            <w:pPr>
              <w:spacing w:after="0" w:line="240" w:lineRule="auto"/>
              <w:jc w:val="center"/>
              <w:rPr>
                <w:b/>
                <w:bCs/>
                <w:color w:val="000000"/>
                <w:sz w:val="16"/>
                <w:szCs w:val="16"/>
              </w:rPr>
            </w:pPr>
            <w:r>
              <w:rPr>
                <w:b/>
                <w:bCs/>
                <w:color w:val="000000"/>
                <w:sz w:val="16"/>
                <w:szCs w:val="16"/>
              </w:rPr>
              <w:t>CELKEM</w:t>
            </w:r>
          </w:p>
        </w:tc>
        <w:tc>
          <w:tcPr>
            <w:tcW w:w="980" w:type="dxa"/>
            <w:tcBorders>
              <w:top w:val="nil"/>
              <w:left w:val="nil"/>
              <w:bottom w:val="single" w:sz="4" w:space="0" w:color="auto"/>
              <w:right w:val="single" w:sz="4" w:space="0" w:color="auto"/>
            </w:tcBorders>
            <w:shd w:val="clear" w:color="000000" w:fill="F2F2F2"/>
            <w:noWrap/>
            <w:vAlign w:val="center"/>
          </w:tcPr>
          <w:p w14:paraId="2145A362" w14:textId="536BC7C4" w:rsidR="006E17D9" w:rsidRDefault="006E17D9" w:rsidP="006E17D9">
            <w:pPr>
              <w:spacing w:after="0" w:line="240" w:lineRule="auto"/>
              <w:jc w:val="center"/>
              <w:rPr>
                <w:b/>
                <w:bCs/>
                <w:color w:val="000000"/>
                <w:sz w:val="16"/>
                <w:szCs w:val="16"/>
              </w:rPr>
            </w:pPr>
            <w:r>
              <w:rPr>
                <w:b/>
                <w:bCs/>
                <w:color w:val="000000"/>
                <w:sz w:val="16"/>
                <w:szCs w:val="16"/>
              </w:rPr>
              <w:t>6 533 176</w:t>
            </w:r>
          </w:p>
        </w:tc>
        <w:tc>
          <w:tcPr>
            <w:tcW w:w="960" w:type="dxa"/>
            <w:tcBorders>
              <w:top w:val="nil"/>
              <w:left w:val="nil"/>
              <w:bottom w:val="single" w:sz="4" w:space="0" w:color="auto"/>
              <w:right w:val="single" w:sz="4" w:space="0" w:color="auto"/>
            </w:tcBorders>
            <w:shd w:val="clear" w:color="000000" w:fill="F2F2F2"/>
            <w:noWrap/>
            <w:vAlign w:val="center"/>
          </w:tcPr>
          <w:p w14:paraId="0799A279" w14:textId="47B053D1" w:rsidR="006E17D9" w:rsidRDefault="006E17D9" w:rsidP="006E17D9">
            <w:pPr>
              <w:spacing w:after="0" w:line="240" w:lineRule="auto"/>
              <w:jc w:val="center"/>
              <w:rPr>
                <w:b/>
                <w:bCs/>
                <w:color w:val="000000"/>
                <w:sz w:val="16"/>
                <w:szCs w:val="16"/>
              </w:rPr>
            </w:pPr>
            <w:r>
              <w:rPr>
                <w:b/>
                <w:bCs/>
                <w:color w:val="000000"/>
                <w:sz w:val="16"/>
                <w:szCs w:val="16"/>
              </w:rPr>
              <w:t>6 320 399</w:t>
            </w:r>
          </w:p>
        </w:tc>
        <w:tc>
          <w:tcPr>
            <w:tcW w:w="960" w:type="dxa"/>
            <w:tcBorders>
              <w:top w:val="nil"/>
              <w:left w:val="nil"/>
              <w:bottom w:val="single" w:sz="4" w:space="0" w:color="auto"/>
              <w:right w:val="single" w:sz="4" w:space="0" w:color="auto"/>
            </w:tcBorders>
            <w:shd w:val="clear" w:color="000000" w:fill="F2F2F2"/>
            <w:noWrap/>
            <w:vAlign w:val="center"/>
          </w:tcPr>
          <w:p w14:paraId="2BFAB474" w14:textId="6AE8AB0A" w:rsidR="006E17D9" w:rsidRDefault="006E17D9" w:rsidP="006E17D9">
            <w:pPr>
              <w:spacing w:after="0" w:line="240" w:lineRule="auto"/>
              <w:jc w:val="center"/>
              <w:rPr>
                <w:b/>
                <w:bCs/>
                <w:color w:val="000000"/>
                <w:sz w:val="16"/>
                <w:szCs w:val="16"/>
              </w:rPr>
            </w:pPr>
            <w:r>
              <w:rPr>
                <w:b/>
                <w:bCs/>
                <w:color w:val="000000"/>
                <w:sz w:val="16"/>
                <w:szCs w:val="16"/>
              </w:rPr>
              <w:t>4 992 511</w:t>
            </w:r>
          </w:p>
        </w:tc>
        <w:tc>
          <w:tcPr>
            <w:tcW w:w="960" w:type="dxa"/>
            <w:tcBorders>
              <w:top w:val="nil"/>
              <w:left w:val="nil"/>
              <w:bottom w:val="single" w:sz="4" w:space="0" w:color="auto"/>
              <w:right w:val="single" w:sz="4" w:space="0" w:color="auto"/>
            </w:tcBorders>
            <w:shd w:val="clear" w:color="000000" w:fill="F2F2F2"/>
            <w:noWrap/>
            <w:vAlign w:val="center"/>
          </w:tcPr>
          <w:p w14:paraId="4BE99E55" w14:textId="5EDCD015" w:rsidR="006E17D9" w:rsidRDefault="006E17D9" w:rsidP="006E17D9">
            <w:pPr>
              <w:spacing w:after="0" w:line="240" w:lineRule="auto"/>
              <w:jc w:val="center"/>
              <w:rPr>
                <w:b/>
                <w:bCs/>
                <w:color w:val="000000"/>
                <w:sz w:val="16"/>
                <w:szCs w:val="16"/>
              </w:rPr>
            </w:pPr>
            <w:r>
              <w:rPr>
                <w:b/>
                <w:bCs/>
                <w:color w:val="000000"/>
                <w:sz w:val="16"/>
                <w:szCs w:val="16"/>
              </w:rPr>
              <w:t>5 158 766</w:t>
            </w:r>
          </w:p>
        </w:tc>
        <w:tc>
          <w:tcPr>
            <w:tcW w:w="1120" w:type="dxa"/>
            <w:tcBorders>
              <w:top w:val="nil"/>
              <w:left w:val="nil"/>
              <w:bottom w:val="single" w:sz="4" w:space="0" w:color="auto"/>
              <w:right w:val="single" w:sz="4" w:space="0" w:color="auto"/>
            </w:tcBorders>
            <w:shd w:val="clear" w:color="000000" w:fill="F2F2F2"/>
            <w:noWrap/>
            <w:vAlign w:val="center"/>
          </w:tcPr>
          <w:p w14:paraId="0C7B6580" w14:textId="0158B907" w:rsidR="006E17D9" w:rsidRDefault="006E17D9" w:rsidP="006E17D9">
            <w:pPr>
              <w:spacing w:after="0" w:line="240" w:lineRule="auto"/>
              <w:jc w:val="center"/>
              <w:rPr>
                <w:b/>
                <w:bCs/>
                <w:color w:val="000000"/>
                <w:sz w:val="16"/>
                <w:szCs w:val="16"/>
              </w:rPr>
            </w:pPr>
            <w:r>
              <w:rPr>
                <w:b/>
                <w:bCs/>
                <w:color w:val="000000"/>
                <w:sz w:val="16"/>
                <w:szCs w:val="16"/>
              </w:rPr>
              <w:t>23 004 852</w:t>
            </w:r>
          </w:p>
        </w:tc>
      </w:tr>
    </w:tbl>
    <w:p w14:paraId="753E145B" w14:textId="77777777" w:rsidR="00104BDD" w:rsidRDefault="00BD5DD5">
      <w:pPr>
        <w:spacing w:before="240" w:after="240" w:line="240" w:lineRule="auto"/>
        <w:jc w:val="both"/>
        <w:rPr>
          <w:b/>
          <w:bCs/>
        </w:rPr>
      </w:pPr>
      <w:r>
        <w:rPr>
          <w:b/>
          <w:bCs/>
        </w:rPr>
        <w:t>Kategorie osobní náklady nebo výdaje</w:t>
      </w:r>
    </w:p>
    <w:p w14:paraId="699FE5C3" w14:textId="6E9D0B07" w:rsidR="00104BDD" w:rsidRDefault="00BD5DD5">
      <w:pPr>
        <w:spacing w:line="240" w:lineRule="auto"/>
        <w:jc w:val="both"/>
      </w:pPr>
      <w:r>
        <w:t xml:space="preserve">Náklady v této kategorii představují mzdy kmenových zaměstnanců NVF a odměny externím odborníkům (tj. dohody o pracovní činnosti), kteří se budou přímo podílet na aktivitách projektu, a to včetně zákonných odvodů zdravotního a sociálního pojištění, náhrad za dovolenou a případnou náhradu za nemoc. Rozpočet předpokládá pokrytí osobních nákladů pracovníků v celkové výši </w:t>
      </w:r>
      <w:r w:rsidR="006E17D9">
        <w:t>4,4</w:t>
      </w:r>
      <w:r>
        <w:t xml:space="preserve"> až </w:t>
      </w:r>
      <w:r w:rsidR="006E17D9">
        <w:t>5,73</w:t>
      </w:r>
      <w:r>
        <w:t xml:space="preserve"> FTE úvazků v jednotlivých letech.</w:t>
      </w:r>
    </w:p>
    <w:p w14:paraId="363E49AD" w14:textId="77777777" w:rsidR="00104BDD" w:rsidRDefault="00BD5DD5">
      <w:pPr>
        <w:spacing w:before="240" w:after="240" w:line="240" w:lineRule="auto"/>
        <w:jc w:val="both"/>
        <w:rPr>
          <w:b/>
          <w:bCs/>
        </w:rPr>
      </w:pPr>
      <w:r>
        <w:rPr>
          <w:b/>
          <w:bCs/>
        </w:rPr>
        <w:t>Kategorie provozní náklady nebo výdaje, náklady nebo výdaje na služby</w:t>
      </w:r>
    </w:p>
    <w:p w14:paraId="0E9D318A" w14:textId="77777777" w:rsidR="00104BDD" w:rsidRDefault="00BD5DD5">
      <w:pPr>
        <w:spacing w:before="240" w:after="240" w:line="240" w:lineRule="auto"/>
        <w:jc w:val="both"/>
        <w:rPr>
          <w:bCs/>
        </w:rPr>
      </w:pPr>
      <w:r>
        <w:rPr>
          <w:bCs/>
        </w:rPr>
        <w:t>Tuto kategorii představují:</w:t>
      </w:r>
    </w:p>
    <w:p w14:paraId="3F823DBF" w14:textId="77777777" w:rsidR="00104BDD" w:rsidRDefault="00BD5DD5">
      <w:pPr>
        <w:spacing w:before="240" w:after="240" w:line="240" w:lineRule="auto"/>
        <w:jc w:val="both"/>
        <w:rPr>
          <w:bCs/>
          <w:u w:val="single"/>
        </w:rPr>
      </w:pPr>
      <w:r>
        <w:rPr>
          <w:bCs/>
          <w:u w:val="single"/>
        </w:rPr>
        <w:t>Ostatní zboží a služby:</w:t>
      </w:r>
    </w:p>
    <w:p w14:paraId="226766FC" w14:textId="73E69EA5" w:rsidR="00B82A6B" w:rsidRDefault="00BD5DD5" w:rsidP="00B82A6B">
      <w:pPr>
        <w:spacing w:after="0" w:line="240" w:lineRule="auto"/>
        <w:jc w:val="both"/>
      </w:pPr>
      <w:r>
        <w:t xml:space="preserve">Náklady na ostatní zboží a služby budou vynaloženy na nákup dat nezbytných k analýzám, a to včetně plateb za přípravu specifických sestav a podkladů, na nákup odborných publikací a rovněž na </w:t>
      </w:r>
      <w:proofErr w:type="spellStart"/>
      <w:r>
        <w:rPr>
          <w:i/>
        </w:rPr>
        <w:t>proof</w:t>
      </w:r>
      <w:proofErr w:type="spellEnd"/>
      <w:r>
        <w:rPr>
          <w:i/>
        </w:rPr>
        <w:t xml:space="preserve"> </w:t>
      </w:r>
      <w:proofErr w:type="spellStart"/>
      <w:r>
        <w:rPr>
          <w:i/>
        </w:rPr>
        <w:t>reading</w:t>
      </w:r>
      <w:proofErr w:type="spellEnd"/>
      <w:r>
        <w:t xml:space="preserve"> materiálů a podkladů pro akce / konference / publikace v zahraničí </w:t>
      </w:r>
      <w:r>
        <w:lastRenderedPageBreak/>
        <w:t xml:space="preserve">a na účastnické poplatky na zahraničních konferencích. V souvislosti s pořádáním </w:t>
      </w:r>
      <w:proofErr w:type="spellStart"/>
      <w:r>
        <w:t>fokusních</w:t>
      </w:r>
      <w:proofErr w:type="spellEnd"/>
      <w:r>
        <w:t xml:space="preserve"> skupin, workshopů a kulatých stolů se předpokládá pokrytí nákladů na pronájmy místností a techniky a drobné občerstvení účastníků.</w:t>
      </w:r>
      <w:r w:rsidR="00B82A6B" w:rsidRPr="00B82A6B">
        <w:t xml:space="preserve"> </w:t>
      </w:r>
      <w:r w:rsidR="00B82A6B">
        <w:t xml:space="preserve">Do této kategorie lze zařadit také </w:t>
      </w:r>
      <w:r w:rsidR="00B82A6B" w:rsidRPr="00BA472D">
        <w:rPr>
          <w:lang w:eastAsia="en-US"/>
        </w:rPr>
        <w:t>financování nákladů spojených se zajištěním dočasné služby péče (např. hlídání na konferencích).</w:t>
      </w:r>
    </w:p>
    <w:p w14:paraId="02878E39" w14:textId="77777777" w:rsidR="00104BDD" w:rsidRDefault="00104BDD">
      <w:pPr>
        <w:spacing w:after="0" w:line="240" w:lineRule="auto"/>
        <w:jc w:val="both"/>
      </w:pPr>
    </w:p>
    <w:p w14:paraId="1CED4D9C" w14:textId="77777777" w:rsidR="00104BDD" w:rsidRDefault="00BD5DD5">
      <w:pPr>
        <w:spacing w:line="240" w:lineRule="auto"/>
        <w:jc w:val="both"/>
      </w:pPr>
      <w:r>
        <w:t>Dále budou v rámci této položky vynaloženy i náklady na nákup a aktualizaci SW pro využití v projektu a průběžné náklady na kancelářské potřeby spotřebovávané při realizaci projektu. S ohledem na víceletý průběh projektu se předpokládá v omezeném rozsahu nákup / upgrade počítačové techniky, včetně příslušenství využívané řešitelským týmem.</w:t>
      </w:r>
    </w:p>
    <w:p w14:paraId="56C72799" w14:textId="77777777" w:rsidR="00104BDD" w:rsidRDefault="00BD5DD5">
      <w:pPr>
        <w:spacing w:before="240" w:after="240" w:line="240" w:lineRule="auto"/>
        <w:jc w:val="both"/>
        <w:rPr>
          <w:bCs/>
          <w:u w:val="single"/>
        </w:rPr>
      </w:pPr>
      <w:r>
        <w:rPr>
          <w:bCs/>
          <w:u w:val="single"/>
        </w:rPr>
        <w:t>Cestovné:</w:t>
      </w:r>
    </w:p>
    <w:p w14:paraId="3146EED3" w14:textId="77777777" w:rsidR="00104BDD" w:rsidRDefault="00BD5DD5">
      <w:pPr>
        <w:spacing w:line="240" w:lineRule="auto"/>
        <w:jc w:val="both"/>
        <w:rPr>
          <w:bCs/>
        </w:rPr>
      </w:pPr>
      <w:r>
        <w:rPr>
          <w:bCs/>
        </w:rPr>
        <w:t xml:space="preserve">Návrh rozpočtu obsahuje náklady na </w:t>
      </w:r>
      <w:r>
        <w:rPr>
          <w:color w:val="000000"/>
        </w:rPr>
        <w:t xml:space="preserve">tuzemské služební cesty na rozhovory, </w:t>
      </w:r>
      <w:proofErr w:type="spellStart"/>
      <w:r>
        <w:rPr>
          <w:color w:val="000000"/>
        </w:rPr>
        <w:t>fokusní</w:t>
      </w:r>
      <w:proofErr w:type="spellEnd"/>
      <w:r>
        <w:rPr>
          <w:color w:val="000000"/>
        </w:rPr>
        <w:t xml:space="preserve"> skupiny, odborné konference a semináře a náklady na zahraniční služební cesty.</w:t>
      </w:r>
    </w:p>
    <w:p w14:paraId="0944F11E" w14:textId="77777777" w:rsidR="00104BDD" w:rsidRDefault="00BD5DD5">
      <w:pPr>
        <w:keepNext/>
        <w:spacing w:before="240" w:after="240" w:line="240" w:lineRule="auto"/>
        <w:jc w:val="both"/>
        <w:rPr>
          <w:b/>
          <w:bCs/>
        </w:rPr>
      </w:pPr>
      <w:r>
        <w:rPr>
          <w:b/>
          <w:bCs/>
        </w:rPr>
        <w:t>Kategorie doplňkové náklady nebo výdaje (režie)</w:t>
      </w:r>
    </w:p>
    <w:p w14:paraId="34E2C4EB" w14:textId="77777777" w:rsidR="00104BDD" w:rsidRDefault="00BD5DD5">
      <w:pPr>
        <w:spacing w:line="240" w:lineRule="auto"/>
        <w:jc w:val="both"/>
      </w:pPr>
      <w:r>
        <w:t xml:space="preserve">Režijní náklady jsou rozpočtovány metodou </w:t>
      </w:r>
      <w:proofErr w:type="spellStart"/>
      <w:r>
        <w:rPr>
          <w:i/>
        </w:rPr>
        <w:t>flat</w:t>
      </w:r>
      <w:proofErr w:type="spellEnd"/>
      <w:r>
        <w:rPr>
          <w:i/>
        </w:rPr>
        <w:t xml:space="preserve"> </w:t>
      </w:r>
      <w:proofErr w:type="spellStart"/>
      <w:r>
        <w:rPr>
          <w:i/>
        </w:rPr>
        <w:t>rate</w:t>
      </w:r>
      <w:proofErr w:type="spellEnd"/>
      <w:r>
        <w:t xml:space="preserve"> ve výši 25 % z přímých nákladů (tzn., bez investic).</w:t>
      </w:r>
    </w:p>
    <w:p w14:paraId="7AA94DF9" w14:textId="7A4105D2" w:rsidR="00104BDD" w:rsidRDefault="00BD5DD5">
      <w:pPr>
        <w:spacing w:before="240" w:after="240" w:line="240" w:lineRule="auto"/>
        <w:jc w:val="both"/>
        <w:rPr>
          <w:b/>
          <w:sz w:val="24"/>
        </w:rPr>
      </w:pPr>
      <w:r>
        <w:rPr>
          <w:b/>
          <w:sz w:val="24"/>
        </w:rPr>
        <w:t>Rozpočet dalšího účastníka: Sociologický ústav AV ČR, v.</w:t>
      </w:r>
      <w:r w:rsidR="00BD7B6A">
        <w:rPr>
          <w:b/>
          <w:sz w:val="24"/>
        </w:rPr>
        <w:t xml:space="preserve"> </w:t>
      </w:r>
      <w:r>
        <w:rPr>
          <w:b/>
          <w:sz w:val="24"/>
        </w:rPr>
        <w:t>v.</w:t>
      </w:r>
      <w:r w:rsidR="00BD7B6A">
        <w:rPr>
          <w:b/>
          <w:sz w:val="24"/>
        </w:rPr>
        <w:t xml:space="preserve"> </w:t>
      </w:r>
      <w:r>
        <w:rPr>
          <w:b/>
          <w:sz w:val="24"/>
        </w:rPr>
        <w:t xml:space="preserve">i. </w:t>
      </w:r>
    </w:p>
    <w:p w14:paraId="4C214B28" w14:textId="77777777" w:rsidR="00104BDD" w:rsidRDefault="00BD5DD5">
      <w:pPr>
        <w:spacing w:before="240" w:after="240" w:line="240" w:lineRule="auto"/>
        <w:jc w:val="both"/>
        <w:rPr>
          <w:b/>
          <w:sz w:val="24"/>
        </w:rPr>
      </w:pPr>
      <w:r>
        <w:rPr>
          <w:b/>
          <w:bCs/>
          <w:color w:val="000000"/>
        </w:rPr>
        <w:t>Náklady / výdaje v jednotlivých letech v Kč</w:t>
      </w:r>
    </w:p>
    <w:tbl>
      <w:tblPr>
        <w:tblW w:w="6760" w:type="dxa"/>
        <w:tblCellMar>
          <w:left w:w="70" w:type="dxa"/>
          <w:right w:w="70" w:type="dxa"/>
        </w:tblCellMar>
        <w:tblLook w:val="04A0" w:firstRow="1" w:lastRow="0" w:firstColumn="1" w:lastColumn="0" w:noHBand="0" w:noVBand="1"/>
      </w:tblPr>
      <w:tblGrid>
        <w:gridCol w:w="1780"/>
        <w:gridCol w:w="980"/>
        <w:gridCol w:w="960"/>
        <w:gridCol w:w="960"/>
        <w:gridCol w:w="960"/>
        <w:gridCol w:w="1120"/>
      </w:tblGrid>
      <w:tr w:rsidR="00697B98" w14:paraId="634BB70C" w14:textId="77777777" w:rsidTr="00697B98">
        <w:trPr>
          <w:trHeight w:val="300"/>
        </w:trPr>
        <w:tc>
          <w:tcPr>
            <w:tcW w:w="1780"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344D278E" w14:textId="77777777" w:rsidR="00697B98" w:rsidRDefault="00697B98">
            <w:pPr>
              <w:spacing w:after="0" w:line="240" w:lineRule="auto"/>
              <w:jc w:val="center"/>
              <w:rPr>
                <w:b/>
                <w:bCs/>
                <w:color w:val="000000"/>
                <w:sz w:val="16"/>
                <w:szCs w:val="16"/>
              </w:rPr>
            </w:pPr>
            <w:r>
              <w:rPr>
                <w:b/>
                <w:bCs/>
                <w:color w:val="000000"/>
                <w:sz w:val="16"/>
                <w:szCs w:val="16"/>
              </w:rPr>
              <w:t>Kategorie / Rok</w:t>
            </w:r>
          </w:p>
        </w:tc>
        <w:tc>
          <w:tcPr>
            <w:tcW w:w="980" w:type="dxa"/>
            <w:tcBorders>
              <w:top w:val="single" w:sz="4" w:space="0" w:color="auto"/>
              <w:left w:val="nil"/>
              <w:bottom w:val="single" w:sz="4" w:space="0" w:color="auto"/>
              <w:right w:val="single" w:sz="4" w:space="0" w:color="auto"/>
            </w:tcBorders>
            <w:shd w:val="clear" w:color="000000" w:fill="F2F2F2"/>
            <w:noWrap/>
            <w:vAlign w:val="center"/>
          </w:tcPr>
          <w:p w14:paraId="0EF34D41" w14:textId="77777777" w:rsidR="00697B98" w:rsidRDefault="00697B98">
            <w:pPr>
              <w:spacing w:after="0" w:line="240" w:lineRule="auto"/>
              <w:jc w:val="center"/>
              <w:rPr>
                <w:b/>
                <w:bCs/>
                <w:color w:val="000000"/>
                <w:sz w:val="16"/>
                <w:szCs w:val="16"/>
              </w:rPr>
            </w:pPr>
            <w:r>
              <w:rPr>
                <w:b/>
                <w:bCs/>
                <w:color w:val="000000"/>
                <w:sz w:val="16"/>
                <w:szCs w:val="16"/>
              </w:rPr>
              <w:t>2021</w:t>
            </w:r>
          </w:p>
        </w:tc>
        <w:tc>
          <w:tcPr>
            <w:tcW w:w="960" w:type="dxa"/>
            <w:tcBorders>
              <w:top w:val="single" w:sz="4" w:space="0" w:color="auto"/>
              <w:left w:val="nil"/>
              <w:bottom w:val="single" w:sz="4" w:space="0" w:color="auto"/>
              <w:right w:val="single" w:sz="4" w:space="0" w:color="auto"/>
            </w:tcBorders>
            <w:shd w:val="clear" w:color="000000" w:fill="F2F2F2"/>
            <w:noWrap/>
            <w:vAlign w:val="center"/>
          </w:tcPr>
          <w:p w14:paraId="26E761D9" w14:textId="77777777" w:rsidR="00697B98" w:rsidRDefault="00697B98">
            <w:pPr>
              <w:spacing w:after="0" w:line="240" w:lineRule="auto"/>
              <w:jc w:val="center"/>
              <w:rPr>
                <w:b/>
                <w:bCs/>
                <w:color w:val="000000"/>
                <w:sz w:val="16"/>
                <w:szCs w:val="16"/>
              </w:rPr>
            </w:pPr>
            <w:r>
              <w:rPr>
                <w:b/>
                <w:bCs/>
                <w:color w:val="000000"/>
                <w:sz w:val="16"/>
                <w:szCs w:val="16"/>
              </w:rPr>
              <w:t>2022</w:t>
            </w:r>
          </w:p>
        </w:tc>
        <w:tc>
          <w:tcPr>
            <w:tcW w:w="960" w:type="dxa"/>
            <w:tcBorders>
              <w:top w:val="single" w:sz="4" w:space="0" w:color="auto"/>
              <w:left w:val="nil"/>
              <w:bottom w:val="single" w:sz="4" w:space="0" w:color="auto"/>
              <w:right w:val="single" w:sz="4" w:space="0" w:color="auto"/>
            </w:tcBorders>
            <w:shd w:val="clear" w:color="000000" w:fill="F2F2F2"/>
            <w:noWrap/>
            <w:vAlign w:val="center"/>
          </w:tcPr>
          <w:p w14:paraId="15A19442" w14:textId="77777777" w:rsidR="00697B98" w:rsidRDefault="00697B98">
            <w:pPr>
              <w:spacing w:after="0" w:line="240" w:lineRule="auto"/>
              <w:jc w:val="center"/>
              <w:rPr>
                <w:b/>
                <w:bCs/>
                <w:color w:val="000000"/>
                <w:sz w:val="16"/>
                <w:szCs w:val="16"/>
              </w:rPr>
            </w:pPr>
            <w:r>
              <w:rPr>
                <w:b/>
                <w:bCs/>
                <w:color w:val="000000"/>
                <w:sz w:val="16"/>
                <w:szCs w:val="16"/>
              </w:rPr>
              <w:t>2023</w:t>
            </w:r>
          </w:p>
        </w:tc>
        <w:tc>
          <w:tcPr>
            <w:tcW w:w="960" w:type="dxa"/>
            <w:tcBorders>
              <w:top w:val="single" w:sz="4" w:space="0" w:color="auto"/>
              <w:left w:val="nil"/>
              <w:bottom w:val="single" w:sz="4" w:space="0" w:color="auto"/>
              <w:right w:val="single" w:sz="4" w:space="0" w:color="auto"/>
            </w:tcBorders>
            <w:shd w:val="clear" w:color="000000" w:fill="F2F2F2"/>
            <w:noWrap/>
            <w:vAlign w:val="center"/>
          </w:tcPr>
          <w:p w14:paraId="72C153F5" w14:textId="77777777" w:rsidR="00697B98" w:rsidRDefault="00697B98">
            <w:pPr>
              <w:spacing w:after="0" w:line="240" w:lineRule="auto"/>
              <w:jc w:val="center"/>
              <w:rPr>
                <w:b/>
                <w:bCs/>
                <w:color w:val="000000"/>
                <w:sz w:val="16"/>
                <w:szCs w:val="16"/>
              </w:rPr>
            </w:pPr>
            <w:r>
              <w:rPr>
                <w:b/>
                <w:bCs/>
                <w:color w:val="000000"/>
                <w:sz w:val="16"/>
                <w:szCs w:val="16"/>
              </w:rPr>
              <w:t>2024</w:t>
            </w:r>
          </w:p>
        </w:tc>
        <w:tc>
          <w:tcPr>
            <w:tcW w:w="1120" w:type="dxa"/>
            <w:tcBorders>
              <w:top w:val="single" w:sz="4" w:space="0" w:color="auto"/>
              <w:left w:val="nil"/>
              <w:bottom w:val="single" w:sz="4" w:space="0" w:color="auto"/>
              <w:right w:val="single" w:sz="4" w:space="0" w:color="auto"/>
            </w:tcBorders>
            <w:shd w:val="clear" w:color="000000" w:fill="F2F2F2"/>
            <w:noWrap/>
            <w:vAlign w:val="center"/>
          </w:tcPr>
          <w:p w14:paraId="6A373727" w14:textId="77777777" w:rsidR="00697B98" w:rsidRDefault="00697B98">
            <w:pPr>
              <w:spacing w:after="0" w:line="240" w:lineRule="auto"/>
              <w:jc w:val="center"/>
              <w:rPr>
                <w:b/>
                <w:bCs/>
                <w:color w:val="000000"/>
                <w:sz w:val="16"/>
                <w:szCs w:val="16"/>
              </w:rPr>
            </w:pPr>
            <w:r>
              <w:rPr>
                <w:b/>
                <w:bCs/>
                <w:color w:val="000000"/>
                <w:sz w:val="16"/>
                <w:szCs w:val="16"/>
              </w:rPr>
              <w:t>CELKEM</w:t>
            </w:r>
          </w:p>
        </w:tc>
      </w:tr>
      <w:tr w:rsidR="00697B98" w14:paraId="7139D120" w14:textId="77777777" w:rsidTr="00697B98">
        <w:trPr>
          <w:trHeight w:val="480"/>
        </w:trPr>
        <w:tc>
          <w:tcPr>
            <w:tcW w:w="1780" w:type="dxa"/>
            <w:tcBorders>
              <w:top w:val="nil"/>
              <w:left w:val="single" w:sz="4" w:space="0" w:color="auto"/>
              <w:bottom w:val="single" w:sz="4" w:space="0" w:color="auto"/>
              <w:right w:val="single" w:sz="4" w:space="0" w:color="auto"/>
            </w:tcBorders>
            <w:shd w:val="clear" w:color="000000" w:fill="F2F2F2"/>
            <w:vAlign w:val="center"/>
          </w:tcPr>
          <w:p w14:paraId="6ABA2611" w14:textId="77777777" w:rsidR="00697B98" w:rsidRDefault="00697B98" w:rsidP="00697B98">
            <w:pPr>
              <w:spacing w:after="0" w:line="240" w:lineRule="auto"/>
              <w:jc w:val="center"/>
              <w:rPr>
                <w:b/>
                <w:bCs/>
                <w:color w:val="000000"/>
                <w:sz w:val="16"/>
                <w:szCs w:val="16"/>
              </w:rPr>
            </w:pPr>
            <w:r>
              <w:rPr>
                <w:b/>
                <w:bCs/>
                <w:color w:val="000000"/>
                <w:sz w:val="16"/>
                <w:szCs w:val="16"/>
              </w:rPr>
              <w:t xml:space="preserve">1. Osobní náklady </w:t>
            </w:r>
            <w:r>
              <w:rPr>
                <w:b/>
                <w:bCs/>
                <w:color w:val="000000"/>
                <w:sz w:val="16"/>
                <w:szCs w:val="16"/>
              </w:rPr>
              <w:br/>
              <w:t>nebo výdaje</w:t>
            </w:r>
          </w:p>
        </w:tc>
        <w:tc>
          <w:tcPr>
            <w:tcW w:w="980" w:type="dxa"/>
            <w:tcBorders>
              <w:top w:val="nil"/>
              <w:left w:val="nil"/>
              <w:bottom w:val="single" w:sz="4" w:space="0" w:color="auto"/>
              <w:right w:val="single" w:sz="4" w:space="0" w:color="auto"/>
            </w:tcBorders>
            <w:shd w:val="clear" w:color="auto" w:fill="auto"/>
            <w:noWrap/>
            <w:vAlign w:val="center"/>
          </w:tcPr>
          <w:p w14:paraId="646B4CD8" w14:textId="77777777" w:rsidR="00416AD9" w:rsidRDefault="00416AD9" w:rsidP="00697B98">
            <w:pPr>
              <w:spacing w:after="0" w:line="240" w:lineRule="auto"/>
              <w:jc w:val="center"/>
              <w:rPr>
                <w:color w:val="000000"/>
                <w:sz w:val="16"/>
                <w:szCs w:val="16"/>
              </w:rPr>
            </w:pPr>
          </w:p>
          <w:p w14:paraId="067945F9" w14:textId="4DB0C708" w:rsidR="00697B98" w:rsidRDefault="00165909" w:rsidP="00697B98">
            <w:pPr>
              <w:spacing w:after="0" w:line="240" w:lineRule="auto"/>
              <w:jc w:val="center"/>
              <w:rPr>
                <w:color w:val="000000"/>
                <w:sz w:val="16"/>
                <w:szCs w:val="16"/>
              </w:rPr>
            </w:pPr>
            <w:r>
              <w:rPr>
                <w:color w:val="000000"/>
                <w:sz w:val="16"/>
                <w:szCs w:val="16"/>
              </w:rPr>
              <w:t xml:space="preserve">  </w:t>
            </w:r>
            <w:r w:rsidR="00A01593">
              <w:rPr>
                <w:color w:val="000000"/>
                <w:sz w:val="16"/>
                <w:szCs w:val="16"/>
              </w:rPr>
              <w:t>622</w:t>
            </w:r>
            <w:r>
              <w:rPr>
                <w:color w:val="000000"/>
                <w:sz w:val="16"/>
                <w:szCs w:val="16"/>
              </w:rPr>
              <w:t xml:space="preserve"> </w:t>
            </w:r>
            <w:r w:rsidR="00A01593">
              <w:rPr>
                <w:color w:val="000000"/>
                <w:sz w:val="16"/>
                <w:szCs w:val="16"/>
              </w:rPr>
              <w:t>080</w:t>
            </w:r>
          </w:p>
          <w:p w14:paraId="02534ACC" w14:textId="72F0444D" w:rsidR="00165909" w:rsidRDefault="00165909" w:rsidP="00697B98">
            <w:pPr>
              <w:spacing w:after="0" w:line="240" w:lineRule="auto"/>
              <w:jc w:val="center"/>
              <w:rPr>
                <w:color w:val="000000"/>
                <w:sz w:val="16"/>
                <w:szCs w:val="16"/>
              </w:rPr>
            </w:pPr>
          </w:p>
        </w:tc>
        <w:tc>
          <w:tcPr>
            <w:tcW w:w="960" w:type="dxa"/>
            <w:tcBorders>
              <w:top w:val="nil"/>
              <w:left w:val="nil"/>
              <w:bottom w:val="single" w:sz="4" w:space="0" w:color="auto"/>
              <w:right w:val="single" w:sz="4" w:space="0" w:color="auto"/>
            </w:tcBorders>
            <w:shd w:val="clear" w:color="auto" w:fill="auto"/>
            <w:noWrap/>
            <w:vAlign w:val="center"/>
          </w:tcPr>
          <w:p w14:paraId="506927CF" w14:textId="07F81E9C" w:rsidR="00697B98" w:rsidRDefault="00165909" w:rsidP="004122E0">
            <w:pPr>
              <w:spacing w:after="0" w:line="240" w:lineRule="auto"/>
              <w:rPr>
                <w:color w:val="000000"/>
                <w:sz w:val="16"/>
                <w:szCs w:val="16"/>
              </w:rPr>
            </w:pPr>
            <w:r>
              <w:rPr>
                <w:color w:val="000000"/>
                <w:sz w:val="16"/>
                <w:szCs w:val="16"/>
              </w:rPr>
              <w:t>  1 355 400</w:t>
            </w:r>
          </w:p>
        </w:tc>
        <w:tc>
          <w:tcPr>
            <w:tcW w:w="960" w:type="dxa"/>
            <w:tcBorders>
              <w:top w:val="nil"/>
              <w:left w:val="nil"/>
              <w:bottom w:val="single" w:sz="4" w:space="0" w:color="auto"/>
              <w:right w:val="single" w:sz="4" w:space="0" w:color="auto"/>
            </w:tcBorders>
            <w:shd w:val="clear" w:color="auto" w:fill="auto"/>
            <w:noWrap/>
            <w:vAlign w:val="center"/>
          </w:tcPr>
          <w:p w14:paraId="6D2916C7" w14:textId="04B0A6B5" w:rsidR="00165909" w:rsidRDefault="00165909" w:rsidP="004122E0">
            <w:pPr>
              <w:spacing w:after="0" w:line="240" w:lineRule="auto"/>
              <w:rPr>
                <w:color w:val="000000"/>
                <w:sz w:val="16"/>
                <w:szCs w:val="16"/>
              </w:rPr>
            </w:pPr>
            <w:r>
              <w:rPr>
                <w:color w:val="000000"/>
                <w:sz w:val="16"/>
                <w:szCs w:val="16"/>
              </w:rPr>
              <w:t> 1 872 145</w:t>
            </w:r>
          </w:p>
        </w:tc>
        <w:tc>
          <w:tcPr>
            <w:tcW w:w="960" w:type="dxa"/>
            <w:tcBorders>
              <w:top w:val="nil"/>
              <w:left w:val="nil"/>
              <w:bottom w:val="single" w:sz="4" w:space="0" w:color="auto"/>
              <w:right w:val="single" w:sz="4" w:space="0" w:color="auto"/>
            </w:tcBorders>
            <w:shd w:val="clear" w:color="auto" w:fill="auto"/>
            <w:noWrap/>
            <w:vAlign w:val="center"/>
          </w:tcPr>
          <w:p w14:paraId="5C5BB452" w14:textId="2B11CE9C" w:rsidR="00165909" w:rsidRDefault="00165909" w:rsidP="004122E0">
            <w:pPr>
              <w:spacing w:after="0" w:line="240" w:lineRule="auto"/>
              <w:rPr>
                <w:color w:val="000000"/>
                <w:sz w:val="16"/>
                <w:szCs w:val="16"/>
              </w:rPr>
            </w:pPr>
            <w:r>
              <w:rPr>
                <w:color w:val="000000"/>
                <w:sz w:val="16"/>
                <w:szCs w:val="16"/>
              </w:rPr>
              <w:t>1 872 145</w:t>
            </w:r>
          </w:p>
        </w:tc>
        <w:tc>
          <w:tcPr>
            <w:tcW w:w="1120" w:type="dxa"/>
            <w:tcBorders>
              <w:top w:val="nil"/>
              <w:left w:val="nil"/>
              <w:bottom w:val="single" w:sz="4" w:space="0" w:color="auto"/>
              <w:right w:val="single" w:sz="4" w:space="0" w:color="auto"/>
            </w:tcBorders>
            <w:shd w:val="clear" w:color="000000" w:fill="F2F2F2"/>
            <w:noWrap/>
            <w:vAlign w:val="center"/>
          </w:tcPr>
          <w:p w14:paraId="769C9CD7" w14:textId="69DB9C8D" w:rsidR="00165909" w:rsidRDefault="00165909" w:rsidP="004122E0">
            <w:pPr>
              <w:spacing w:after="0" w:line="240" w:lineRule="auto"/>
              <w:jc w:val="center"/>
              <w:rPr>
                <w:b/>
                <w:bCs/>
                <w:color w:val="000000"/>
                <w:sz w:val="16"/>
                <w:szCs w:val="16"/>
              </w:rPr>
            </w:pPr>
            <w:r>
              <w:rPr>
                <w:b/>
                <w:bCs/>
                <w:color w:val="000000"/>
                <w:sz w:val="16"/>
                <w:szCs w:val="16"/>
              </w:rPr>
              <w:t>5 721 770</w:t>
            </w:r>
          </w:p>
        </w:tc>
      </w:tr>
      <w:tr w:rsidR="00697B98" w14:paraId="51E09CF0" w14:textId="77777777" w:rsidTr="00697B98">
        <w:trPr>
          <w:trHeight w:val="960"/>
        </w:trPr>
        <w:tc>
          <w:tcPr>
            <w:tcW w:w="1780" w:type="dxa"/>
            <w:tcBorders>
              <w:top w:val="nil"/>
              <w:left w:val="single" w:sz="4" w:space="0" w:color="auto"/>
              <w:bottom w:val="single" w:sz="4" w:space="0" w:color="auto"/>
              <w:right w:val="single" w:sz="4" w:space="0" w:color="auto"/>
            </w:tcBorders>
            <w:shd w:val="clear" w:color="000000" w:fill="F2F2F2"/>
            <w:vAlign w:val="center"/>
          </w:tcPr>
          <w:p w14:paraId="52189D8D" w14:textId="77777777" w:rsidR="00697B98" w:rsidRDefault="00697B98" w:rsidP="00697B98">
            <w:pPr>
              <w:spacing w:after="0" w:line="240" w:lineRule="auto"/>
              <w:jc w:val="center"/>
              <w:rPr>
                <w:b/>
                <w:bCs/>
                <w:sz w:val="16"/>
                <w:szCs w:val="16"/>
              </w:rPr>
            </w:pPr>
            <w:r>
              <w:rPr>
                <w:b/>
                <w:bCs/>
                <w:sz w:val="16"/>
                <w:szCs w:val="16"/>
              </w:rPr>
              <w:t>2. Náklady nebo výdaje na pořízení hmotného a nehmotného majetku</w:t>
            </w:r>
          </w:p>
        </w:tc>
        <w:tc>
          <w:tcPr>
            <w:tcW w:w="980" w:type="dxa"/>
            <w:tcBorders>
              <w:top w:val="nil"/>
              <w:left w:val="nil"/>
              <w:bottom w:val="single" w:sz="4" w:space="0" w:color="auto"/>
              <w:right w:val="single" w:sz="4" w:space="0" w:color="auto"/>
            </w:tcBorders>
            <w:shd w:val="clear" w:color="auto" w:fill="auto"/>
            <w:noWrap/>
            <w:vAlign w:val="center"/>
          </w:tcPr>
          <w:p w14:paraId="15611DD7" w14:textId="0879BC39" w:rsidR="00697B98" w:rsidRDefault="00697B98" w:rsidP="00697B98">
            <w:pPr>
              <w:spacing w:after="0" w:line="240" w:lineRule="auto"/>
              <w:jc w:val="center"/>
              <w:rPr>
                <w:color w:val="000000"/>
                <w:sz w:val="16"/>
                <w:szCs w:val="16"/>
              </w:rPr>
            </w:pPr>
            <w:r>
              <w:rPr>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center"/>
          </w:tcPr>
          <w:p w14:paraId="49C27EFF" w14:textId="628E53B2" w:rsidR="00697B98" w:rsidRDefault="00697B98" w:rsidP="00697B98">
            <w:pPr>
              <w:spacing w:after="0" w:line="240" w:lineRule="auto"/>
              <w:jc w:val="center"/>
              <w:rPr>
                <w:color w:val="000000"/>
                <w:sz w:val="16"/>
                <w:szCs w:val="16"/>
              </w:rPr>
            </w:pPr>
            <w:r>
              <w:rPr>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center"/>
          </w:tcPr>
          <w:p w14:paraId="458ED7D3" w14:textId="3AA4E5AC" w:rsidR="00697B98" w:rsidRDefault="00697B98" w:rsidP="00697B98">
            <w:pPr>
              <w:spacing w:after="0" w:line="240" w:lineRule="auto"/>
              <w:jc w:val="center"/>
              <w:rPr>
                <w:color w:val="000000"/>
                <w:sz w:val="16"/>
                <w:szCs w:val="16"/>
              </w:rPr>
            </w:pPr>
            <w:r>
              <w:rPr>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center"/>
          </w:tcPr>
          <w:p w14:paraId="13FA95AB" w14:textId="54900FAC" w:rsidR="00697B98" w:rsidRDefault="00697B98" w:rsidP="00697B98">
            <w:pPr>
              <w:spacing w:after="0" w:line="240" w:lineRule="auto"/>
              <w:jc w:val="center"/>
              <w:rPr>
                <w:color w:val="000000"/>
                <w:sz w:val="16"/>
                <w:szCs w:val="16"/>
              </w:rPr>
            </w:pPr>
            <w:r>
              <w:rPr>
                <w:color w:val="000000"/>
                <w:sz w:val="16"/>
                <w:szCs w:val="16"/>
              </w:rPr>
              <w:t>0</w:t>
            </w:r>
          </w:p>
        </w:tc>
        <w:tc>
          <w:tcPr>
            <w:tcW w:w="1120" w:type="dxa"/>
            <w:tcBorders>
              <w:top w:val="nil"/>
              <w:left w:val="nil"/>
              <w:bottom w:val="single" w:sz="4" w:space="0" w:color="auto"/>
              <w:right w:val="single" w:sz="4" w:space="0" w:color="auto"/>
            </w:tcBorders>
            <w:shd w:val="clear" w:color="000000" w:fill="F2F2F2"/>
            <w:noWrap/>
            <w:vAlign w:val="center"/>
          </w:tcPr>
          <w:p w14:paraId="0036D045" w14:textId="26A296B8" w:rsidR="00697B98" w:rsidRDefault="00697B98" w:rsidP="00697B98">
            <w:pPr>
              <w:spacing w:after="0" w:line="240" w:lineRule="auto"/>
              <w:jc w:val="center"/>
              <w:rPr>
                <w:b/>
                <w:bCs/>
                <w:color w:val="000000"/>
                <w:sz w:val="16"/>
                <w:szCs w:val="16"/>
              </w:rPr>
            </w:pPr>
            <w:r>
              <w:rPr>
                <w:b/>
                <w:bCs/>
                <w:color w:val="000000"/>
                <w:sz w:val="16"/>
                <w:szCs w:val="16"/>
              </w:rPr>
              <w:t>0</w:t>
            </w:r>
          </w:p>
        </w:tc>
      </w:tr>
      <w:tr w:rsidR="00697B98" w14:paraId="00A2172C" w14:textId="77777777" w:rsidTr="00697B98">
        <w:trPr>
          <w:trHeight w:val="720"/>
        </w:trPr>
        <w:tc>
          <w:tcPr>
            <w:tcW w:w="1780" w:type="dxa"/>
            <w:tcBorders>
              <w:top w:val="nil"/>
              <w:left w:val="single" w:sz="4" w:space="0" w:color="auto"/>
              <w:bottom w:val="single" w:sz="4" w:space="0" w:color="auto"/>
              <w:right w:val="single" w:sz="4" w:space="0" w:color="auto"/>
            </w:tcBorders>
            <w:shd w:val="clear" w:color="000000" w:fill="F2F2F2"/>
            <w:vAlign w:val="center"/>
          </w:tcPr>
          <w:p w14:paraId="30F19408" w14:textId="77777777" w:rsidR="00697B98" w:rsidRDefault="00697B98" w:rsidP="00697B98">
            <w:pPr>
              <w:spacing w:after="0" w:line="240" w:lineRule="auto"/>
              <w:jc w:val="center"/>
              <w:rPr>
                <w:b/>
                <w:bCs/>
                <w:sz w:val="16"/>
                <w:szCs w:val="16"/>
              </w:rPr>
            </w:pPr>
            <w:r>
              <w:rPr>
                <w:b/>
                <w:bCs/>
                <w:sz w:val="16"/>
                <w:szCs w:val="16"/>
              </w:rPr>
              <w:t>3. Provozní náklady nebo výdaje, náklady nebo výdaje na služby</w:t>
            </w:r>
          </w:p>
        </w:tc>
        <w:tc>
          <w:tcPr>
            <w:tcW w:w="980" w:type="dxa"/>
            <w:tcBorders>
              <w:top w:val="nil"/>
              <w:left w:val="nil"/>
              <w:bottom w:val="single" w:sz="4" w:space="0" w:color="auto"/>
              <w:right w:val="single" w:sz="4" w:space="0" w:color="auto"/>
            </w:tcBorders>
            <w:shd w:val="clear" w:color="auto" w:fill="auto"/>
            <w:noWrap/>
            <w:vAlign w:val="center"/>
          </w:tcPr>
          <w:p w14:paraId="3EC8CDE6" w14:textId="40F9509C" w:rsidR="00697B98" w:rsidRDefault="00697B98" w:rsidP="00697B98">
            <w:pPr>
              <w:spacing w:after="0" w:line="240" w:lineRule="auto"/>
              <w:jc w:val="center"/>
              <w:rPr>
                <w:color w:val="000000"/>
                <w:sz w:val="16"/>
                <w:szCs w:val="16"/>
              </w:rPr>
            </w:pPr>
            <w:r>
              <w:rPr>
                <w:color w:val="000000"/>
                <w:sz w:val="16"/>
                <w:szCs w:val="16"/>
              </w:rPr>
              <w:t>150 000</w:t>
            </w:r>
          </w:p>
        </w:tc>
        <w:tc>
          <w:tcPr>
            <w:tcW w:w="960" w:type="dxa"/>
            <w:tcBorders>
              <w:top w:val="nil"/>
              <w:left w:val="nil"/>
              <w:bottom w:val="single" w:sz="4" w:space="0" w:color="auto"/>
              <w:right w:val="single" w:sz="4" w:space="0" w:color="auto"/>
            </w:tcBorders>
            <w:shd w:val="clear" w:color="auto" w:fill="auto"/>
            <w:noWrap/>
            <w:vAlign w:val="center"/>
          </w:tcPr>
          <w:p w14:paraId="388FC5F9" w14:textId="1A7363C0" w:rsidR="00697B98" w:rsidRDefault="00697B98" w:rsidP="00697B98">
            <w:pPr>
              <w:spacing w:after="0" w:line="240" w:lineRule="auto"/>
              <w:jc w:val="center"/>
              <w:rPr>
                <w:color w:val="000000"/>
                <w:sz w:val="16"/>
                <w:szCs w:val="16"/>
              </w:rPr>
            </w:pPr>
            <w:r>
              <w:rPr>
                <w:color w:val="000000"/>
                <w:sz w:val="16"/>
                <w:szCs w:val="16"/>
              </w:rPr>
              <w:t>130 000</w:t>
            </w:r>
          </w:p>
        </w:tc>
        <w:tc>
          <w:tcPr>
            <w:tcW w:w="960" w:type="dxa"/>
            <w:tcBorders>
              <w:top w:val="nil"/>
              <w:left w:val="nil"/>
              <w:bottom w:val="single" w:sz="4" w:space="0" w:color="auto"/>
              <w:right w:val="single" w:sz="4" w:space="0" w:color="auto"/>
            </w:tcBorders>
            <w:shd w:val="clear" w:color="auto" w:fill="auto"/>
            <w:noWrap/>
            <w:vAlign w:val="center"/>
          </w:tcPr>
          <w:p w14:paraId="7EAABDFD" w14:textId="72E8F172" w:rsidR="00697B98" w:rsidRDefault="00697B98" w:rsidP="00697B98">
            <w:pPr>
              <w:spacing w:after="0" w:line="240" w:lineRule="auto"/>
              <w:jc w:val="center"/>
              <w:rPr>
                <w:color w:val="000000"/>
                <w:sz w:val="16"/>
                <w:szCs w:val="16"/>
              </w:rPr>
            </w:pPr>
            <w:r>
              <w:rPr>
                <w:color w:val="000000"/>
                <w:sz w:val="16"/>
                <w:szCs w:val="16"/>
              </w:rPr>
              <w:t>159 000</w:t>
            </w:r>
          </w:p>
        </w:tc>
        <w:tc>
          <w:tcPr>
            <w:tcW w:w="960" w:type="dxa"/>
            <w:tcBorders>
              <w:top w:val="nil"/>
              <w:left w:val="nil"/>
              <w:bottom w:val="single" w:sz="4" w:space="0" w:color="auto"/>
              <w:right w:val="single" w:sz="4" w:space="0" w:color="auto"/>
            </w:tcBorders>
            <w:shd w:val="clear" w:color="auto" w:fill="auto"/>
            <w:noWrap/>
            <w:vAlign w:val="center"/>
          </w:tcPr>
          <w:p w14:paraId="77479F9F" w14:textId="6D83DED5" w:rsidR="00697B98" w:rsidRDefault="00697B98" w:rsidP="00697B98">
            <w:pPr>
              <w:spacing w:after="0" w:line="240" w:lineRule="auto"/>
              <w:jc w:val="center"/>
              <w:rPr>
                <w:color w:val="000000"/>
                <w:sz w:val="16"/>
                <w:szCs w:val="16"/>
              </w:rPr>
            </w:pPr>
            <w:r>
              <w:rPr>
                <w:color w:val="000000"/>
                <w:sz w:val="16"/>
                <w:szCs w:val="16"/>
              </w:rPr>
              <w:t>190 000</w:t>
            </w:r>
          </w:p>
        </w:tc>
        <w:tc>
          <w:tcPr>
            <w:tcW w:w="1120" w:type="dxa"/>
            <w:tcBorders>
              <w:top w:val="nil"/>
              <w:left w:val="nil"/>
              <w:bottom w:val="single" w:sz="4" w:space="0" w:color="auto"/>
              <w:right w:val="single" w:sz="4" w:space="0" w:color="auto"/>
            </w:tcBorders>
            <w:shd w:val="clear" w:color="000000" w:fill="F2F2F2"/>
            <w:noWrap/>
            <w:vAlign w:val="center"/>
          </w:tcPr>
          <w:p w14:paraId="3FDF9D4B" w14:textId="1E30599A" w:rsidR="00697B98" w:rsidRDefault="00697B98" w:rsidP="00697B98">
            <w:pPr>
              <w:spacing w:after="0" w:line="240" w:lineRule="auto"/>
              <w:jc w:val="center"/>
              <w:rPr>
                <w:b/>
                <w:bCs/>
                <w:color w:val="000000"/>
                <w:sz w:val="16"/>
                <w:szCs w:val="16"/>
              </w:rPr>
            </w:pPr>
            <w:r>
              <w:rPr>
                <w:b/>
                <w:bCs/>
                <w:color w:val="000000"/>
                <w:sz w:val="16"/>
                <w:szCs w:val="16"/>
              </w:rPr>
              <w:t>629 000</w:t>
            </w:r>
          </w:p>
        </w:tc>
      </w:tr>
      <w:tr w:rsidR="00697B98" w14:paraId="24D40A8D" w14:textId="77777777" w:rsidTr="00697B98">
        <w:trPr>
          <w:trHeight w:val="300"/>
        </w:trPr>
        <w:tc>
          <w:tcPr>
            <w:tcW w:w="1780" w:type="dxa"/>
            <w:vMerge w:val="restart"/>
            <w:tcBorders>
              <w:top w:val="nil"/>
              <w:left w:val="single" w:sz="4" w:space="0" w:color="auto"/>
              <w:bottom w:val="single" w:sz="4" w:space="0" w:color="auto"/>
              <w:right w:val="single" w:sz="4" w:space="0" w:color="auto"/>
            </w:tcBorders>
            <w:shd w:val="clear" w:color="000000" w:fill="F2F2F2"/>
            <w:vAlign w:val="center"/>
          </w:tcPr>
          <w:p w14:paraId="655FAD0D" w14:textId="77777777" w:rsidR="00697B98" w:rsidRDefault="00697B98" w:rsidP="00697B98">
            <w:pPr>
              <w:spacing w:after="0" w:line="240" w:lineRule="auto"/>
              <w:jc w:val="center"/>
              <w:rPr>
                <w:b/>
                <w:bCs/>
                <w:color w:val="000000"/>
                <w:sz w:val="16"/>
                <w:szCs w:val="16"/>
              </w:rPr>
            </w:pPr>
            <w:r>
              <w:rPr>
                <w:b/>
                <w:bCs/>
                <w:color w:val="000000"/>
                <w:sz w:val="16"/>
                <w:szCs w:val="16"/>
              </w:rPr>
              <w:t>4. Doplňkové náklady</w:t>
            </w:r>
            <w:r>
              <w:rPr>
                <w:b/>
                <w:bCs/>
                <w:color w:val="000000"/>
                <w:sz w:val="16"/>
                <w:szCs w:val="16"/>
              </w:rPr>
              <w:br/>
              <w:t xml:space="preserve"> nebo výdaje (režie)</w:t>
            </w:r>
          </w:p>
        </w:tc>
        <w:tc>
          <w:tcPr>
            <w:tcW w:w="980" w:type="dxa"/>
            <w:tcBorders>
              <w:top w:val="nil"/>
              <w:left w:val="nil"/>
              <w:bottom w:val="single" w:sz="4" w:space="0" w:color="auto"/>
              <w:right w:val="single" w:sz="4" w:space="0" w:color="auto"/>
            </w:tcBorders>
            <w:shd w:val="clear" w:color="auto" w:fill="auto"/>
            <w:noWrap/>
            <w:vAlign w:val="center"/>
          </w:tcPr>
          <w:p w14:paraId="227EC329" w14:textId="17AC7ABB" w:rsidR="00697B98" w:rsidRDefault="00697B98" w:rsidP="00697B98">
            <w:pPr>
              <w:spacing w:after="0" w:line="240" w:lineRule="auto"/>
              <w:jc w:val="center"/>
              <w:rPr>
                <w:color w:val="000000"/>
                <w:sz w:val="16"/>
                <w:szCs w:val="16"/>
              </w:rPr>
            </w:pPr>
            <w:r>
              <w:rPr>
                <w:color w:val="000000"/>
                <w:sz w:val="16"/>
                <w:szCs w:val="16"/>
              </w:rPr>
              <w:t>91 020</w:t>
            </w:r>
          </w:p>
        </w:tc>
        <w:tc>
          <w:tcPr>
            <w:tcW w:w="960" w:type="dxa"/>
            <w:tcBorders>
              <w:top w:val="nil"/>
              <w:left w:val="nil"/>
              <w:bottom w:val="single" w:sz="4" w:space="0" w:color="auto"/>
              <w:right w:val="single" w:sz="4" w:space="0" w:color="auto"/>
            </w:tcBorders>
            <w:shd w:val="clear" w:color="auto" w:fill="auto"/>
            <w:noWrap/>
            <w:vAlign w:val="center"/>
          </w:tcPr>
          <w:p w14:paraId="7411CF5D" w14:textId="78A1B861" w:rsidR="00697B98" w:rsidRDefault="00697B98" w:rsidP="00697B98">
            <w:pPr>
              <w:spacing w:after="0" w:line="240" w:lineRule="auto"/>
              <w:jc w:val="center"/>
              <w:rPr>
                <w:color w:val="000000"/>
                <w:sz w:val="16"/>
                <w:szCs w:val="16"/>
              </w:rPr>
            </w:pPr>
            <w:r>
              <w:rPr>
                <w:color w:val="000000"/>
                <w:sz w:val="16"/>
                <w:szCs w:val="16"/>
              </w:rPr>
              <w:t>269 350</w:t>
            </w:r>
          </w:p>
        </w:tc>
        <w:tc>
          <w:tcPr>
            <w:tcW w:w="960" w:type="dxa"/>
            <w:tcBorders>
              <w:top w:val="nil"/>
              <w:left w:val="nil"/>
              <w:bottom w:val="single" w:sz="4" w:space="0" w:color="auto"/>
              <w:right w:val="single" w:sz="4" w:space="0" w:color="auto"/>
            </w:tcBorders>
            <w:shd w:val="clear" w:color="auto" w:fill="auto"/>
            <w:noWrap/>
            <w:vAlign w:val="center"/>
          </w:tcPr>
          <w:p w14:paraId="6A4D09F6" w14:textId="6E5CFCC3" w:rsidR="00697B98" w:rsidRDefault="00697B98" w:rsidP="00697B98">
            <w:pPr>
              <w:spacing w:after="0" w:line="240" w:lineRule="auto"/>
              <w:jc w:val="center"/>
              <w:rPr>
                <w:color w:val="000000"/>
                <w:sz w:val="16"/>
                <w:szCs w:val="16"/>
              </w:rPr>
            </w:pPr>
            <w:r>
              <w:rPr>
                <w:color w:val="000000"/>
                <w:sz w:val="16"/>
                <w:szCs w:val="16"/>
              </w:rPr>
              <w:t>405 786</w:t>
            </w:r>
          </w:p>
        </w:tc>
        <w:tc>
          <w:tcPr>
            <w:tcW w:w="960" w:type="dxa"/>
            <w:tcBorders>
              <w:top w:val="nil"/>
              <w:left w:val="nil"/>
              <w:bottom w:val="single" w:sz="4" w:space="0" w:color="auto"/>
              <w:right w:val="single" w:sz="4" w:space="0" w:color="auto"/>
            </w:tcBorders>
            <w:shd w:val="clear" w:color="auto" w:fill="auto"/>
            <w:noWrap/>
            <w:vAlign w:val="center"/>
          </w:tcPr>
          <w:p w14:paraId="288400DB" w14:textId="0AF53645" w:rsidR="00697B98" w:rsidRDefault="00697B98" w:rsidP="00697B98">
            <w:pPr>
              <w:spacing w:after="0" w:line="240" w:lineRule="auto"/>
              <w:jc w:val="center"/>
              <w:rPr>
                <w:color w:val="000000"/>
                <w:sz w:val="16"/>
                <w:szCs w:val="16"/>
              </w:rPr>
            </w:pPr>
            <w:r>
              <w:rPr>
                <w:color w:val="000000"/>
                <w:sz w:val="16"/>
                <w:szCs w:val="16"/>
              </w:rPr>
              <w:t>413 536</w:t>
            </w:r>
          </w:p>
        </w:tc>
        <w:tc>
          <w:tcPr>
            <w:tcW w:w="1120" w:type="dxa"/>
            <w:tcBorders>
              <w:top w:val="nil"/>
              <w:left w:val="nil"/>
              <w:bottom w:val="single" w:sz="4" w:space="0" w:color="auto"/>
              <w:right w:val="single" w:sz="4" w:space="0" w:color="auto"/>
            </w:tcBorders>
            <w:shd w:val="clear" w:color="000000" w:fill="F2F2F2"/>
            <w:noWrap/>
            <w:vAlign w:val="center"/>
          </w:tcPr>
          <w:p w14:paraId="02A591B9" w14:textId="4B47DDB5" w:rsidR="00697B98" w:rsidRDefault="00697B98" w:rsidP="00697B98">
            <w:pPr>
              <w:spacing w:after="0" w:line="240" w:lineRule="auto"/>
              <w:jc w:val="center"/>
              <w:rPr>
                <w:b/>
                <w:bCs/>
                <w:color w:val="000000"/>
                <w:sz w:val="16"/>
                <w:szCs w:val="16"/>
              </w:rPr>
            </w:pPr>
            <w:r>
              <w:rPr>
                <w:b/>
                <w:bCs/>
                <w:color w:val="000000"/>
                <w:sz w:val="16"/>
                <w:szCs w:val="16"/>
              </w:rPr>
              <w:t>1 179 692</w:t>
            </w:r>
          </w:p>
        </w:tc>
      </w:tr>
      <w:tr w:rsidR="00697B98" w14:paraId="7C89922C" w14:textId="77777777" w:rsidTr="00697B98">
        <w:trPr>
          <w:trHeight w:val="300"/>
        </w:trPr>
        <w:tc>
          <w:tcPr>
            <w:tcW w:w="1780" w:type="dxa"/>
            <w:vMerge/>
            <w:tcBorders>
              <w:top w:val="nil"/>
              <w:left w:val="single" w:sz="4" w:space="0" w:color="auto"/>
              <w:bottom w:val="single" w:sz="4" w:space="0" w:color="auto"/>
              <w:right w:val="single" w:sz="4" w:space="0" w:color="auto"/>
            </w:tcBorders>
            <w:vAlign w:val="center"/>
          </w:tcPr>
          <w:p w14:paraId="75A57A5F" w14:textId="77777777" w:rsidR="00697B98" w:rsidRDefault="00697B98" w:rsidP="00697B98">
            <w:pPr>
              <w:spacing w:after="0" w:line="240" w:lineRule="auto"/>
              <w:jc w:val="center"/>
              <w:rPr>
                <w:b/>
                <w:bCs/>
                <w:color w:val="000000"/>
                <w:sz w:val="16"/>
                <w:szCs w:val="16"/>
              </w:rPr>
            </w:pPr>
          </w:p>
        </w:tc>
        <w:tc>
          <w:tcPr>
            <w:tcW w:w="980" w:type="dxa"/>
            <w:tcBorders>
              <w:top w:val="nil"/>
              <w:left w:val="nil"/>
              <w:bottom w:val="single" w:sz="4" w:space="0" w:color="auto"/>
              <w:right w:val="single" w:sz="4" w:space="0" w:color="auto"/>
            </w:tcBorders>
            <w:shd w:val="clear" w:color="000000" w:fill="F2F2F2"/>
            <w:noWrap/>
            <w:vAlign w:val="center"/>
          </w:tcPr>
          <w:p w14:paraId="6854735D" w14:textId="76B2B62D" w:rsidR="00697B98" w:rsidRDefault="00697B98" w:rsidP="00697B98">
            <w:pPr>
              <w:spacing w:after="0" w:line="240" w:lineRule="auto"/>
              <w:jc w:val="center"/>
              <w:rPr>
                <w:color w:val="0070C0"/>
                <w:sz w:val="16"/>
                <w:szCs w:val="16"/>
              </w:rPr>
            </w:pPr>
            <w:r>
              <w:rPr>
                <w:color w:val="0070C0"/>
                <w:sz w:val="16"/>
                <w:szCs w:val="16"/>
              </w:rPr>
              <w:t>25,00%</w:t>
            </w:r>
          </w:p>
        </w:tc>
        <w:tc>
          <w:tcPr>
            <w:tcW w:w="960" w:type="dxa"/>
            <w:tcBorders>
              <w:top w:val="nil"/>
              <w:left w:val="nil"/>
              <w:bottom w:val="single" w:sz="4" w:space="0" w:color="auto"/>
              <w:right w:val="single" w:sz="4" w:space="0" w:color="auto"/>
            </w:tcBorders>
            <w:shd w:val="clear" w:color="000000" w:fill="F2F2F2"/>
            <w:noWrap/>
            <w:vAlign w:val="center"/>
          </w:tcPr>
          <w:p w14:paraId="0ADAA382" w14:textId="4CFFD5A8" w:rsidR="00697B98" w:rsidRDefault="00697B98" w:rsidP="00697B98">
            <w:pPr>
              <w:spacing w:after="0" w:line="240" w:lineRule="auto"/>
              <w:jc w:val="center"/>
              <w:rPr>
                <w:color w:val="0070C0"/>
                <w:sz w:val="16"/>
                <w:szCs w:val="16"/>
              </w:rPr>
            </w:pPr>
            <w:r>
              <w:rPr>
                <w:color w:val="0070C0"/>
                <w:sz w:val="16"/>
                <w:szCs w:val="16"/>
              </w:rPr>
              <w:t>25,00%</w:t>
            </w:r>
          </w:p>
        </w:tc>
        <w:tc>
          <w:tcPr>
            <w:tcW w:w="960" w:type="dxa"/>
            <w:tcBorders>
              <w:top w:val="nil"/>
              <w:left w:val="nil"/>
              <w:bottom w:val="single" w:sz="4" w:space="0" w:color="auto"/>
              <w:right w:val="single" w:sz="4" w:space="0" w:color="auto"/>
            </w:tcBorders>
            <w:shd w:val="clear" w:color="000000" w:fill="F2F2F2"/>
            <w:noWrap/>
            <w:vAlign w:val="center"/>
          </w:tcPr>
          <w:p w14:paraId="00BF7B36" w14:textId="5F82AAD8" w:rsidR="00697B98" w:rsidRDefault="00697B98" w:rsidP="00697B98">
            <w:pPr>
              <w:spacing w:after="0" w:line="240" w:lineRule="auto"/>
              <w:jc w:val="center"/>
              <w:rPr>
                <w:color w:val="0070C0"/>
                <w:sz w:val="16"/>
                <w:szCs w:val="16"/>
              </w:rPr>
            </w:pPr>
            <w:r>
              <w:rPr>
                <w:color w:val="0070C0"/>
                <w:sz w:val="16"/>
                <w:szCs w:val="16"/>
              </w:rPr>
              <w:t>25,00%</w:t>
            </w:r>
          </w:p>
        </w:tc>
        <w:tc>
          <w:tcPr>
            <w:tcW w:w="960" w:type="dxa"/>
            <w:tcBorders>
              <w:top w:val="nil"/>
              <w:left w:val="nil"/>
              <w:bottom w:val="single" w:sz="4" w:space="0" w:color="auto"/>
              <w:right w:val="single" w:sz="4" w:space="0" w:color="auto"/>
            </w:tcBorders>
            <w:shd w:val="clear" w:color="000000" w:fill="F2F2F2"/>
            <w:noWrap/>
            <w:vAlign w:val="center"/>
          </w:tcPr>
          <w:p w14:paraId="4CE676F2" w14:textId="7C20582B" w:rsidR="00697B98" w:rsidRDefault="00697B98" w:rsidP="00697B98">
            <w:pPr>
              <w:spacing w:after="0" w:line="240" w:lineRule="auto"/>
              <w:jc w:val="center"/>
              <w:rPr>
                <w:color w:val="0070C0"/>
                <w:sz w:val="16"/>
                <w:szCs w:val="16"/>
              </w:rPr>
            </w:pPr>
            <w:r>
              <w:rPr>
                <w:color w:val="0070C0"/>
                <w:sz w:val="16"/>
                <w:szCs w:val="16"/>
              </w:rPr>
              <w:t>25,00%</w:t>
            </w:r>
          </w:p>
        </w:tc>
        <w:tc>
          <w:tcPr>
            <w:tcW w:w="1120" w:type="dxa"/>
            <w:tcBorders>
              <w:top w:val="nil"/>
              <w:left w:val="nil"/>
              <w:bottom w:val="single" w:sz="4" w:space="0" w:color="auto"/>
              <w:right w:val="single" w:sz="4" w:space="0" w:color="auto"/>
            </w:tcBorders>
            <w:shd w:val="clear" w:color="000000" w:fill="F2F2F2"/>
            <w:noWrap/>
            <w:vAlign w:val="center"/>
          </w:tcPr>
          <w:p w14:paraId="044F9812" w14:textId="534E2ABD" w:rsidR="00697B98" w:rsidRDefault="00697B98" w:rsidP="00697B98">
            <w:pPr>
              <w:spacing w:after="0" w:line="240" w:lineRule="auto"/>
              <w:jc w:val="center"/>
              <w:rPr>
                <w:b/>
                <w:bCs/>
                <w:color w:val="0070C0"/>
                <w:sz w:val="16"/>
                <w:szCs w:val="16"/>
              </w:rPr>
            </w:pPr>
            <w:r>
              <w:rPr>
                <w:b/>
                <w:bCs/>
                <w:color w:val="0070C0"/>
                <w:sz w:val="16"/>
                <w:szCs w:val="16"/>
              </w:rPr>
              <w:t>25,00%</w:t>
            </w:r>
          </w:p>
        </w:tc>
      </w:tr>
      <w:tr w:rsidR="00697B98" w14:paraId="0054B19B" w14:textId="77777777" w:rsidTr="00697B98">
        <w:trPr>
          <w:trHeight w:val="300"/>
        </w:trPr>
        <w:tc>
          <w:tcPr>
            <w:tcW w:w="1780" w:type="dxa"/>
            <w:tcBorders>
              <w:top w:val="nil"/>
              <w:left w:val="single" w:sz="4" w:space="0" w:color="auto"/>
              <w:bottom w:val="single" w:sz="4" w:space="0" w:color="auto"/>
              <w:right w:val="single" w:sz="4" w:space="0" w:color="auto"/>
            </w:tcBorders>
            <w:shd w:val="clear" w:color="000000" w:fill="F2F2F2"/>
            <w:noWrap/>
            <w:vAlign w:val="center"/>
          </w:tcPr>
          <w:p w14:paraId="44B9A58F" w14:textId="77777777" w:rsidR="00697B98" w:rsidRDefault="00697B98" w:rsidP="00697B98">
            <w:pPr>
              <w:spacing w:after="0" w:line="240" w:lineRule="auto"/>
              <w:jc w:val="center"/>
              <w:rPr>
                <w:b/>
                <w:bCs/>
                <w:color w:val="000000"/>
                <w:sz w:val="16"/>
                <w:szCs w:val="16"/>
              </w:rPr>
            </w:pPr>
            <w:r>
              <w:rPr>
                <w:b/>
                <w:bCs/>
                <w:color w:val="000000"/>
                <w:sz w:val="16"/>
                <w:szCs w:val="16"/>
              </w:rPr>
              <w:t>CELKEM</w:t>
            </w:r>
          </w:p>
        </w:tc>
        <w:tc>
          <w:tcPr>
            <w:tcW w:w="980" w:type="dxa"/>
            <w:tcBorders>
              <w:top w:val="nil"/>
              <w:left w:val="nil"/>
              <w:bottom w:val="single" w:sz="4" w:space="0" w:color="auto"/>
              <w:right w:val="single" w:sz="4" w:space="0" w:color="auto"/>
            </w:tcBorders>
            <w:shd w:val="clear" w:color="000000" w:fill="F2F2F2"/>
            <w:noWrap/>
            <w:vAlign w:val="center"/>
          </w:tcPr>
          <w:p w14:paraId="2111374B" w14:textId="2C8BD1C5" w:rsidR="00366AD3" w:rsidRDefault="00366AD3" w:rsidP="00697B98">
            <w:pPr>
              <w:spacing w:after="0" w:line="240" w:lineRule="auto"/>
              <w:jc w:val="center"/>
              <w:rPr>
                <w:b/>
                <w:bCs/>
                <w:color w:val="000000"/>
                <w:sz w:val="16"/>
                <w:szCs w:val="16"/>
              </w:rPr>
            </w:pPr>
            <w:r>
              <w:rPr>
                <w:b/>
                <w:bCs/>
                <w:color w:val="000000"/>
                <w:sz w:val="16"/>
                <w:szCs w:val="16"/>
              </w:rPr>
              <w:t>863 100</w:t>
            </w:r>
          </w:p>
        </w:tc>
        <w:tc>
          <w:tcPr>
            <w:tcW w:w="960" w:type="dxa"/>
            <w:tcBorders>
              <w:top w:val="nil"/>
              <w:left w:val="nil"/>
              <w:bottom w:val="single" w:sz="4" w:space="0" w:color="auto"/>
              <w:right w:val="single" w:sz="4" w:space="0" w:color="auto"/>
            </w:tcBorders>
            <w:shd w:val="clear" w:color="000000" w:fill="F2F2F2"/>
            <w:noWrap/>
            <w:vAlign w:val="center"/>
          </w:tcPr>
          <w:p w14:paraId="2C82F1A5" w14:textId="2FE1AAE4" w:rsidR="00366AD3" w:rsidRDefault="00366AD3" w:rsidP="00697B98">
            <w:pPr>
              <w:spacing w:after="0" w:line="240" w:lineRule="auto"/>
              <w:jc w:val="center"/>
              <w:rPr>
                <w:b/>
                <w:bCs/>
                <w:color w:val="000000"/>
                <w:sz w:val="16"/>
                <w:szCs w:val="16"/>
              </w:rPr>
            </w:pPr>
            <w:r>
              <w:rPr>
                <w:b/>
                <w:bCs/>
                <w:color w:val="000000"/>
                <w:sz w:val="16"/>
                <w:szCs w:val="16"/>
              </w:rPr>
              <w:t>1 754 750</w:t>
            </w:r>
          </w:p>
        </w:tc>
        <w:tc>
          <w:tcPr>
            <w:tcW w:w="960" w:type="dxa"/>
            <w:tcBorders>
              <w:top w:val="nil"/>
              <w:left w:val="nil"/>
              <w:bottom w:val="single" w:sz="4" w:space="0" w:color="auto"/>
              <w:right w:val="single" w:sz="4" w:space="0" w:color="auto"/>
            </w:tcBorders>
            <w:shd w:val="clear" w:color="000000" w:fill="F2F2F2"/>
            <w:noWrap/>
            <w:vAlign w:val="center"/>
          </w:tcPr>
          <w:p w14:paraId="367CFFAA" w14:textId="12569225" w:rsidR="00E10AE4" w:rsidRDefault="00E10AE4" w:rsidP="00697B98">
            <w:pPr>
              <w:spacing w:after="0" w:line="240" w:lineRule="auto"/>
              <w:jc w:val="center"/>
              <w:rPr>
                <w:b/>
                <w:bCs/>
                <w:color w:val="000000"/>
                <w:sz w:val="16"/>
                <w:szCs w:val="16"/>
              </w:rPr>
            </w:pPr>
            <w:r>
              <w:rPr>
                <w:b/>
                <w:bCs/>
                <w:color w:val="000000"/>
                <w:sz w:val="16"/>
                <w:szCs w:val="16"/>
              </w:rPr>
              <w:t xml:space="preserve">2 436 </w:t>
            </w:r>
            <w:r w:rsidR="00831BB9">
              <w:rPr>
                <w:b/>
                <w:bCs/>
                <w:color w:val="000000"/>
                <w:sz w:val="16"/>
                <w:szCs w:val="16"/>
              </w:rPr>
              <w:t>931</w:t>
            </w:r>
          </w:p>
        </w:tc>
        <w:tc>
          <w:tcPr>
            <w:tcW w:w="960" w:type="dxa"/>
            <w:tcBorders>
              <w:top w:val="nil"/>
              <w:left w:val="nil"/>
              <w:bottom w:val="single" w:sz="4" w:space="0" w:color="auto"/>
              <w:right w:val="single" w:sz="4" w:space="0" w:color="auto"/>
            </w:tcBorders>
            <w:shd w:val="clear" w:color="000000" w:fill="F2F2F2"/>
            <w:noWrap/>
            <w:vAlign w:val="center"/>
          </w:tcPr>
          <w:p w14:paraId="7468E37D" w14:textId="72EBBC89" w:rsidR="00831BB9" w:rsidRDefault="00831BB9" w:rsidP="00697B98">
            <w:pPr>
              <w:spacing w:after="0" w:line="240" w:lineRule="auto"/>
              <w:jc w:val="center"/>
              <w:rPr>
                <w:b/>
                <w:bCs/>
                <w:color w:val="000000"/>
                <w:sz w:val="16"/>
                <w:szCs w:val="16"/>
              </w:rPr>
            </w:pPr>
            <w:r>
              <w:rPr>
                <w:b/>
                <w:bCs/>
                <w:color w:val="000000"/>
                <w:sz w:val="16"/>
                <w:szCs w:val="16"/>
              </w:rPr>
              <w:t>2 475 681</w:t>
            </w:r>
          </w:p>
        </w:tc>
        <w:tc>
          <w:tcPr>
            <w:tcW w:w="1120" w:type="dxa"/>
            <w:tcBorders>
              <w:top w:val="nil"/>
              <w:left w:val="nil"/>
              <w:bottom w:val="single" w:sz="4" w:space="0" w:color="auto"/>
              <w:right w:val="single" w:sz="4" w:space="0" w:color="auto"/>
            </w:tcBorders>
            <w:shd w:val="clear" w:color="000000" w:fill="F2F2F2"/>
            <w:noWrap/>
            <w:vAlign w:val="center"/>
          </w:tcPr>
          <w:p w14:paraId="30EFF347" w14:textId="17CBEE6C" w:rsidR="00831BB9" w:rsidRDefault="00831BB9" w:rsidP="00697B98">
            <w:pPr>
              <w:spacing w:after="0" w:line="240" w:lineRule="auto"/>
              <w:jc w:val="center"/>
              <w:rPr>
                <w:b/>
                <w:bCs/>
                <w:color w:val="000000"/>
                <w:sz w:val="16"/>
                <w:szCs w:val="16"/>
              </w:rPr>
            </w:pPr>
            <w:r>
              <w:rPr>
                <w:b/>
                <w:bCs/>
                <w:color w:val="000000"/>
                <w:sz w:val="16"/>
                <w:szCs w:val="16"/>
              </w:rPr>
              <w:t xml:space="preserve">7 530 462 </w:t>
            </w:r>
          </w:p>
        </w:tc>
      </w:tr>
    </w:tbl>
    <w:p w14:paraId="4C2E2D5F" w14:textId="77777777" w:rsidR="00104BDD" w:rsidRDefault="00BD5DD5">
      <w:pPr>
        <w:spacing w:before="240" w:after="240" w:line="240" w:lineRule="auto"/>
        <w:jc w:val="both"/>
        <w:rPr>
          <w:b/>
          <w:bCs/>
        </w:rPr>
      </w:pPr>
      <w:r>
        <w:rPr>
          <w:b/>
          <w:bCs/>
        </w:rPr>
        <w:t>Kategorie osobní náklady nebo výdaje</w:t>
      </w:r>
    </w:p>
    <w:p w14:paraId="228F79D8" w14:textId="1F37D199" w:rsidR="00104BDD" w:rsidRDefault="00BD5DD5">
      <w:pPr>
        <w:spacing w:after="0" w:line="240" w:lineRule="auto"/>
        <w:jc w:val="both"/>
      </w:pPr>
      <w:r>
        <w:t>Náklady v této kategorii představují mzdy kmenových zaměstnanců SOÚ AV</w:t>
      </w:r>
      <w:r w:rsidR="00337AA6">
        <w:t xml:space="preserve"> </w:t>
      </w:r>
      <w:r>
        <w:t>ČR a odměny externím odborníkům (tj. dohody mimo pracovní poměr), kteří se budou přímo podílet na aktivitách projektu, včetně zákonných odvodů zdravotního a sociálního pojištění, náhrad za dovolenou a případnou náhradu za nemoc.</w:t>
      </w:r>
    </w:p>
    <w:p w14:paraId="75421DA5" w14:textId="77777777" w:rsidR="00104BDD" w:rsidRDefault="00104BDD">
      <w:pPr>
        <w:spacing w:after="0" w:line="240" w:lineRule="auto"/>
        <w:jc w:val="both"/>
      </w:pPr>
    </w:p>
    <w:p w14:paraId="04783C67" w14:textId="46A0E907" w:rsidR="00104BDD" w:rsidRDefault="00BD5DD5">
      <w:pPr>
        <w:spacing w:line="240" w:lineRule="auto"/>
        <w:jc w:val="both"/>
      </w:pPr>
      <w:r>
        <w:t xml:space="preserve">Předpokládá se postupný nárůst aktivit. V roce 2021 budou pokryty </w:t>
      </w:r>
      <w:r w:rsidR="00697B98">
        <w:t xml:space="preserve">pouze ostatní </w:t>
      </w:r>
      <w:r>
        <w:t xml:space="preserve">osobní náklady pracovníků, v roce 2022 </w:t>
      </w:r>
      <w:r w:rsidR="00697B98">
        <w:t xml:space="preserve">bude pokryt </w:t>
      </w:r>
      <w:r>
        <w:t>1,</w:t>
      </w:r>
      <w:r w:rsidR="00697B98">
        <w:t xml:space="preserve">0 </w:t>
      </w:r>
      <w:r>
        <w:t>FTE úvazku</w:t>
      </w:r>
      <w:r w:rsidR="00697B98">
        <w:t xml:space="preserve"> a v letech</w:t>
      </w:r>
      <w:r>
        <w:t xml:space="preserve"> 2023</w:t>
      </w:r>
      <w:r w:rsidR="00697B98">
        <w:t xml:space="preserve"> a 2024</w:t>
      </w:r>
      <w:r>
        <w:t xml:space="preserve"> 1,</w:t>
      </w:r>
      <w:r w:rsidR="00697B98">
        <w:t xml:space="preserve">7 </w:t>
      </w:r>
      <w:r>
        <w:t>FTE</w:t>
      </w:r>
      <w:r w:rsidR="00145422">
        <w:t xml:space="preserve"> úvazku</w:t>
      </w:r>
      <w:r>
        <w:t>.</w:t>
      </w:r>
    </w:p>
    <w:p w14:paraId="13B1FFD5" w14:textId="77777777" w:rsidR="00104BDD" w:rsidRDefault="00BD5DD5">
      <w:pPr>
        <w:spacing w:before="240" w:after="240" w:line="240" w:lineRule="auto"/>
        <w:jc w:val="both"/>
        <w:rPr>
          <w:b/>
          <w:bCs/>
        </w:rPr>
      </w:pPr>
      <w:r>
        <w:rPr>
          <w:b/>
          <w:bCs/>
        </w:rPr>
        <w:t>Kategorie provozní náklady nebo výdaje, náklady nebo výdaje na služby</w:t>
      </w:r>
    </w:p>
    <w:p w14:paraId="2EB03BA3" w14:textId="77777777" w:rsidR="00104BDD" w:rsidRDefault="00BD5DD5">
      <w:pPr>
        <w:spacing w:before="240" w:after="240" w:line="240" w:lineRule="auto"/>
        <w:jc w:val="both"/>
        <w:rPr>
          <w:bCs/>
        </w:rPr>
      </w:pPr>
      <w:r>
        <w:rPr>
          <w:bCs/>
        </w:rPr>
        <w:t>Tuto kategorii představují:</w:t>
      </w:r>
    </w:p>
    <w:p w14:paraId="6CD49C0C" w14:textId="77777777" w:rsidR="00104BDD" w:rsidRDefault="00BD5DD5">
      <w:pPr>
        <w:spacing w:before="240" w:after="240" w:line="240" w:lineRule="auto"/>
        <w:jc w:val="both"/>
        <w:rPr>
          <w:bCs/>
          <w:u w:val="single"/>
        </w:rPr>
      </w:pPr>
      <w:r>
        <w:rPr>
          <w:bCs/>
          <w:u w:val="single"/>
        </w:rPr>
        <w:t>Ostatní běžné výdaje a služby:</w:t>
      </w:r>
    </w:p>
    <w:p w14:paraId="33735BDE" w14:textId="6809F4A0" w:rsidR="00104BDD" w:rsidRDefault="00BD5DD5">
      <w:pPr>
        <w:spacing w:line="240" w:lineRule="auto"/>
        <w:jc w:val="both"/>
      </w:pPr>
      <w:r>
        <w:lastRenderedPageBreak/>
        <w:t xml:space="preserve">Náklady v kategorii ostatní zboží a služby zahrnuje plánované náklady na práce a případně tisk k </w:t>
      </w:r>
      <w:proofErr w:type="spellStart"/>
      <w:r>
        <w:t>infografice</w:t>
      </w:r>
      <w:proofErr w:type="spellEnd"/>
      <w:r>
        <w:t xml:space="preserve"> a ke zpracovávání </w:t>
      </w:r>
      <w:proofErr w:type="spellStart"/>
      <w:r>
        <w:rPr>
          <w:i/>
        </w:rPr>
        <w:t>She</w:t>
      </w:r>
      <w:proofErr w:type="spellEnd"/>
      <w:r>
        <w:rPr>
          <w:i/>
        </w:rPr>
        <w:t xml:space="preserve"> </w:t>
      </w:r>
      <w:proofErr w:type="spellStart"/>
      <w:r>
        <w:rPr>
          <w:i/>
        </w:rPr>
        <w:t>Figures</w:t>
      </w:r>
      <w:proofErr w:type="spellEnd"/>
      <w:r>
        <w:rPr>
          <w:i/>
        </w:rPr>
        <w:t xml:space="preserve"> Czech Republic</w:t>
      </w:r>
      <w:r>
        <w:t xml:space="preserve"> (tj. vytvoření nového grafické zpracování statistických ročenek </w:t>
      </w:r>
      <w:proofErr w:type="spellStart"/>
      <w:r>
        <w:rPr>
          <w:i/>
        </w:rPr>
        <w:t>She</w:t>
      </w:r>
      <w:proofErr w:type="spellEnd"/>
      <w:r>
        <w:rPr>
          <w:i/>
        </w:rPr>
        <w:t xml:space="preserve"> </w:t>
      </w:r>
      <w:proofErr w:type="spellStart"/>
      <w:r>
        <w:rPr>
          <w:i/>
        </w:rPr>
        <w:t>Figures</w:t>
      </w:r>
      <w:proofErr w:type="spellEnd"/>
      <w:r>
        <w:t>). Z tohoto důvodu je částka v prvním roce vyšší (</w:t>
      </w:r>
      <w:r w:rsidR="00F3148C">
        <w:t xml:space="preserve">úprava </w:t>
      </w:r>
      <w:r>
        <w:t xml:space="preserve">textů + grafů + tabulek, zpracování </w:t>
      </w:r>
      <w:proofErr w:type="spellStart"/>
      <w:r>
        <w:t>infografiky</w:t>
      </w:r>
      <w:proofErr w:type="spellEnd"/>
      <w:r>
        <w:t>).</w:t>
      </w:r>
    </w:p>
    <w:p w14:paraId="3D312EEE" w14:textId="77777777" w:rsidR="001E58DD" w:rsidRDefault="001E58DD" w:rsidP="001E58DD">
      <w:pPr>
        <w:spacing w:after="0" w:line="240" w:lineRule="auto"/>
        <w:jc w:val="both"/>
      </w:pPr>
      <w:r>
        <w:t xml:space="preserve">Do této kategorie lze zařadit také </w:t>
      </w:r>
      <w:r w:rsidRPr="00BA472D">
        <w:rPr>
          <w:lang w:eastAsia="en-US"/>
        </w:rPr>
        <w:t>financování nákladů spojených se zajištěním dočasné služby péče (např. hlídání na konferencích).</w:t>
      </w:r>
    </w:p>
    <w:p w14:paraId="6B980F84" w14:textId="77777777" w:rsidR="00104BDD" w:rsidRDefault="00BD5DD5">
      <w:pPr>
        <w:spacing w:before="240" w:after="240" w:line="240" w:lineRule="auto"/>
        <w:jc w:val="both"/>
        <w:rPr>
          <w:bCs/>
          <w:u w:val="single"/>
        </w:rPr>
      </w:pPr>
      <w:r>
        <w:rPr>
          <w:bCs/>
          <w:u w:val="single"/>
        </w:rPr>
        <w:t>Cestovné:</w:t>
      </w:r>
    </w:p>
    <w:p w14:paraId="439819D0" w14:textId="77777777" w:rsidR="00104BDD" w:rsidRDefault="00BD5DD5">
      <w:pPr>
        <w:spacing w:line="240" w:lineRule="auto"/>
        <w:jc w:val="both"/>
        <w:rPr>
          <w:bCs/>
        </w:rPr>
      </w:pPr>
      <w:r>
        <w:rPr>
          <w:bCs/>
        </w:rPr>
        <w:t xml:space="preserve">Návrh rozpočtu obsahuje náklady na </w:t>
      </w:r>
      <w:r>
        <w:rPr>
          <w:color w:val="000000"/>
        </w:rPr>
        <w:t>služební cesty na odborné konference a semináře v ČR i v zahraničí.</w:t>
      </w:r>
    </w:p>
    <w:p w14:paraId="3D2318E7" w14:textId="77777777" w:rsidR="00104BDD" w:rsidRDefault="00BD5DD5">
      <w:pPr>
        <w:keepNext/>
        <w:spacing w:before="240" w:after="240" w:line="240" w:lineRule="auto"/>
        <w:jc w:val="both"/>
        <w:rPr>
          <w:b/>
          <w:bCs/>
        </w:rPr>
      </w:pPr>
      <w:r>
        <w:rPr>
          <w:b/>
          <w:bCs/>
        </w:rPr>
        <w:t>Kategorie doplňkové náklady nebo výdaje (režie)</w:t>
      </w:r>
    </w:p>
    <w:p w14:paraId="067F35AE" w14:textId="77777777" w:rsidR="00104BDD" w:rsidRDefault="00BD5DD5">
      <w:pPr>
        <w:spacing w:line="240" w:lineRule="auto"/>
        <w:jc w:val="both"/>
      </w:pPr>
      <w:r>
        <w:t xml:space="preserve">Režijní náklady jsou rozpočtovány metodou </w:t>
      </w:r>
      <w:proofErr w:type="spellStart"/>
      <w:r>
        <w:t>flat</w:t>
      </w:r>
      <w:proofErr w:type="spellEnd"/>
      <w:r>
        <w:t xml:space="preserve"> </w:t>
      </w:r>
      <w:proofErr w:type="spellStart"/>
      <w:r>
        <w:t>rate</w:t>
      </w:r>
      <w:proofErr w:type="spellEnd"/>
      <w:r>
        <w:t xml:space="preserve"> ve výši 25 % z přímých nákladů (tzn., bez investic).</w:t>
      </w:r>
    </w:p>
    <w:p w14:paraId="593B0CEE" w14:textId="5447B92C" w:rsidR="00104BDD" w:rsidRDefault="00BD5DD5">
      <w:pPr>
        <w:keepNext/>
        <w:spacing w:before="240" w:after="240" w:line="240" w:lineRule="auto"/>
        <w:jc w:val="both"/>
        <w:rPr>
          <w:b/>
          <w:sz w:val="24"/>
        </w:rPr>
      </w:pPr>
      <w:r>
        <w:rPr>
          <w:b/>
          <w:sz w:val="24"/>
        </w:rPr>
        <w:t>Rozpočet dalšího účastníka: Středisko společných činností AV ČR, v.</w:t>
      </w:r>
      <w:r w:rsidR="00BD7B6A">
        <w:rPr>
          <w:b/>
          <w:sz w:val="24"/>
        </w:rPr>
        <w:t xml:space="preserve"> </w:t>
      </w:r>
      <w:r>
        <w:rPr>
          <w:b/>
          <w:sz w:val="24"/>
        </w:rPr>
        <w:t>v.</w:t>
      </w:r>
      <w:r w:rsidR="00BD7B6A">
        <w:rPr>
          <w:b/>
          <w:sz w:val="24"/>
        </w:rPr>
        <w:t xml:space="preserve"> </w:t>
      </w:r>
      <w:r>
        <w:rPr>
          <w:b/>
          <w:sz w:val="24"/>
        </w:rPr>
        <w:t>i.</w:t>
      </w:r>
    </w:p>
    <w:p w14:paraId="496BF38E" w14:textId="77777777" w:rsidR="00104BDD" w:rsidRDefault="00BD5DD5">
      <w:pPr>
        <w:keepNext/>
        <w:spacing w:before="240" w:after="240" w:line="240" w:lineRule="auto"/>
        <w:jc w:val="both"/>
        <w:rPr>
          <w:b/>
          <w:sz w:val="24"/>
        </w:rPr>
      </w:pPr>
      <w:r>
        <w:rPr>
          <w:b/>
          <w:bCs/>
          <w:color w:val="000000"/>
        </w:rPr>
        <w:t>Náklady / výdaje v jednotlivých letech v Kč</w:t>
      </w:r>
    </w:p>
    <w:tbl>
      <w:tblPr>
        <w:tblW w:w="6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80"/>
        <w:gridCol w:w="958"/>
        <w:gridCol w:w="957"/>
        <w:gridCol w:w="957"/>
        <w:gridCol w:w="957"/>
        <w:gridCol w:w="1160"/>
      </w:tblGrid>
      <w:tr w:rsidR="006E17D9" w14:paraId="61563446" w14:textId="77777777" w:rsidTr="006E17D9">
        <w:trPr>
          <w:trHeight w:val="300"/>
        </w:trPr>
        <w:tc>
          <w:tcPr>
            <w:tcW w:w="1780" w:type="dxa"/>
            <w:shd w:val="clear" w:color="000000" w:fill="F2F2F2"/>
            <w:noWrap/>
            <w:vAlign w:val="center"/>
          </w:tcPr>
          <w:p w14:paraId="4D6B7A68" w14:textId="77777777" w:rsidR="006E17D9" w:rsidRDefault="006E17D9">
            <w:pPr>
              <w:spacing w:after="0" w:line="240" w:lineRule="auto"/>
              <w:jc w:val="center"/>
              <w:rPr>
                <w:b/>
                <w:bCs/>
                <w:color w:val="000000"/>
                <w:sz w:val="16"/>
                <w:szCs w:val="16"/>
              </w:rPr>
            </w:pPr>
            <w:r>
              <w:rPr>
                <w:b/>
                <w:bCs/>
                <w:color w:val="000000"/>
                <w:sz w:val="16"/>
                <w:szCs w:val="16"/>
              </w:rPr>
              <w:t>Kategorie / Rok</w:t>
            </w:r>
          </w:p>
        </w:tc>
        <w:tc>
          <w:tcPr>
            <w:tcW w:w="958" w:type="dxa"/>
            <w:shd w:val="clear" w:color="000000" w:fill="F2F2F2"/>
            <w:noWrap/>
            <w:vAlign w:val="center"/>
          </w:tcPr>
          <w:p w14:paraId="2F43D03C" w14:textId="77777777" w:rsidR="006E17D9" w:rsidRDefault="006E17D9">
            <w:pPr>
              <w:spacing w:after="0" w:line="240" w:lineRule="auto"/>
              <w:jc w:val="center"/>
              <w:rPr>
                <w:b/>
                <w:bCs/>
                <w:color w:val="000000"/>
                <w:sz w:val="16"/>
                <w:szCs w:val="16"/>
              </w:rPr>
            </w:pPr>
            <w:r>
              <w:rPr>
                <w:b/>
                <w:bCs/>
                <w:color w:val="000000"/>
                <w:sz w:val="16"/>
                <w:szCs w:val="16"/>
              </w:rPr>
              <w:t>2021</w:t>
            </w:r>
          </w:p>
        </w:tc>
        <w:tc>
          <w:tcPr>
            <w:tcW w:w="957" w:type="dxa"/>
            <w:shd w:val="clear" w:color="000000" w:fill="F2F2F2"/>
            <w:noWrap/>
            <w:vAlign w:val="center"/>
          </w:tcPr>
          <w:p w14:paraId="57984937" w14:textId="77777777" w:rsidR="006E17D9" w:rsidRDefault="006E17D9">
            <w:pPr>
              <w:spacing w:after="0" w:line="240" w:lineRule="auto"/>
              <w:jc w:val="center"/>
              <w:rPr>
                <w:b/>
                <w:bCs/>
                <w:color w:val="000000"/>
                <w:sz w:val="16"/>
                <w:szCs w:val="16"/>
              </w:rPr>
            </w:pPr>
            <w:r>
              <w:rPr>
                <w:b/>
                <w:bCs/>
                <w:color w:val="000000"/>
                <w:sz w:val="16"/>
                <w:szCs w:val="16"/>
              </w:rPr>
              <w:t>2022</w:t>
            </w:r>
          </w:p>
        </w:tc>
        <w:tc>
          <w:tcPr>
            <w:tcW w:w="957" w:type="dxa"/>
            <w:shd w:val="clear" w:color="000000" w:fill="F2F2F2"/>
            <w:noWrap/>
            <w:vAlign w:val="center"/>
          </w:tcPr>
          <w:p w14:paraId="083D9E66" w14:textId="77777777" w:rsidR="006E17D9" w:rsidRDefault="006E17D9">
            <w:pPr>
              <w:spacing w:after="0" w:line="240" w:lineRule="auto"/>
              <w:jc w:val="center"/>
              <w:rPr>
                <w:b/>
                <w:bCs/>
                <w:color w:val="000000"/>
                <w:sz w:val="16"/>
                <w:szCs w:val="16"/>
              </w:rPr>
            </w:pPr>
            <w:r>
              <w:rPr>
                <w:b/>
                <w:bCs/>
                <w:color w:val="000000"/>
                <w:sz w:val="16"/>
                <w:szCs w:val="16"/>
              </w:rPr>
              <w:t>2023</w:t>
            </w:r>
          </w:p>
        </w:tc>
        <w:tc>
          <w:tcPr>
            <w:tcW w:w="957" w:type="dxa"/>
            <w:shd w:val="clear" w:color="000000" w:fill="F2F2F2"/>
            <w:noWrap/>
            <w:vAlign w:val="center"/>
          </w:tcPr>
          <w:p w14:paraId="3EF2533F" w14:textId="77777777" w:rsidR="006E17D9" w:rsidRDefault="006E17D9">
            <w:pPr>
              <w:spacing w:after="0" w:line="240" w:lineRule="auto"/>
              <w:jc w:val="center"/>
              <w:rPr>
                <w:b/>
                <w:bCs/>
                <w:color w:val="000000"/>
                <w:sz w:val="16"/>
                <w:szCs w:val="16"/>
              </w:rPr>
            </w:pPr>
            <w:r>
              <w:rPr>
                <w:b/>
                <w:bCs/>
                <w:color w:val="000000"/>
                <w:sz w:val="16"/>
                <w:szCs w:val="16"/>
              </w:rPr>
              <w:t>2024</w:t>
            </w:r>
          </w:p>
        </w:tc>
        <w:tc>
          <w:tcPr>
            <w:tcW w:w="1160" w:type="dxa"/>
            <w:shd w:val="clear" w:color="000000" w:fill="F2F2F2"/>
            <w:noWrap/>
            <w:vAlign w:val="center"/>
          </w:tcPr>
          <w:p w14:paraId="16B2B854" w14:textId="77777777" w:rsidR="006E17D9" w:rsidRDefault="006E17D9">
            <w:pPr>
              <w:spacing w:after="0" w:line="240" w:lineRule="auto"/>
              <w:jc w:val="center"/>
              <w:rPr>
                <w:b/>
                <w:bCs/>
                <w:color w:val="000000"/>
                <w:sz w:val="16"/>
                <w:szCs w:val="16"/>
              </w:rPr>
            </w:pPr>
            <w:r>
              <w:rPr>
                <w:b/>
                <w:bCs/>
                <w:color w:val="000000"/>
                <w:sz w:val="16"/>
                <w:szCs w:val="16"/>
              </w:rPr>
              <w:t>CELKEM</w:t>
            </w:r>
          </w:p>
        </w:tc>
      </w:tr>
      <w:tr w:rsidR="006E17D9" w14:paraId="28FC2B84" w14:textId="77777777" w:rsidTr="006E17D9">
        <w:trPr>
          <w:trHeight w:val="480"/>
        </w:trPr>
        <w:tc>
          <w:tcPr>
            <w:tcW w:w="1780" w:type="dxa"/>
            <w:shd w:val="clear" w:color="000000" w:fill="F2F2F2"/>
            <w:vAlign w:val="center"/>
          </w:tcPr>
          <w:p w14:paraId="43203F64" w14:textId="77777777" w:rsidR="006E17D9" w:rsidRDefault="006E17D9" w:rsidP="006E17D9">
            <w:pPr>
              <w:spacing w:after="0" w:line="240" w:lineRule="auto"/>
              <w:jc w:val="center"/>
              <w:rPr>
                <w:b/>
                <w:bCs/>
                <w:color w:val="000000"/>
                <w:sz w:val="16"/>
                <w:szCs w:val="16"/>
              </w:rPr>
            </w:pPr>
            <w:r>
              <w:rPr>
                <w:b/>
                <w:bCs/>
                <w:color w:val="000000"/>
                <w:sz w:val="16"/>
                <w:szCs w:val="16"/>
              </w:rPr>
              <w:t xml:space="preserve">1. Osobní náklady </w:t>
            </w:r>
            <w:r>
              <w:rPr>
                <w:b/>
                <w:bCs/>
                <w:color w:val="000000"/>
                <w:sz w:val="16"/>
                <w:szCs w:val="16"/>
              </w:rPr>
              <w:br/>
              <w:t>nebo výdaje</w:t>
            </w:r>
          </w:p>
        </w:tc>
        <w:tc>
          <w:tcPr>
            <w:tcW w:w="958" w:type="dxa"/>
            <w:shd w:val="clear" w:color="auto" w:fill="auto"/>
            <w:noWrap/>
            <w:vAlign w:val="center"/>
          </w:tcPr>
          <w:p w14:paraId="472CB0A0" w14:textId="374A89E0" w:rsidR="006E17D9" w:rsidRDefault="006E17D9" w:rsidP="006E17D9">
            <w:pPr>
              <w:spacing w:after="0" w:line="240" w:lineRule="auto"/>
              <w:jc w:val="center"/>
              <w:rPr>
                <w:color w:val="000000"/>
                <w:sz w:val="16"/>
                <w:szCs w:val="16"/>
              </w:rPr>
            </w:pPr>
            <w:r>
              <w:rPr>
                <w:color w:val="000000"/>
                <w:sz w:val="16"/>
                <w:szCs w:val="16"/>
              </w:rPr>
              <w:t>630 248</w:t>
            </w:r>
          </w:p>
        </w:tc>
        <w:tc>
          <w:tcPr>
            <w:tcW w:w="957" w:type="dxa"/>
            <w:shd w:val="clear" w:color="auto" w:fill="auto"/>
            <w:noWrap/>
            <w:vAlign w:val="center"/>
          </w:tcPr>
          <w:p w14:paraId="1880C70A" w14:textId="074A9679" w:rsidR="006E17D9" w:rsidRDefault="006E17D9" w:rsidP="006E17D9">
            <w:pPr>
              <w:spacing w:after="0" w:line="240" w:lineRule="auto"/>
              <w:jc w:val="center"/>
              <w:rPr>
                <w:color w:val="000000"/>
                <w:sz w:val="16"/>
                <w:szCs w:val="16"/>
              </w:rPr>
            </w:pPr>
            <w:r>
              <w:rPr>
                <w:color w:val="000000"/>
                <w:sz w:val="16"/>
                <w:szCs w:val="16"/>
              </w:rPr>
              <w:t>606 239</w:t>
            </w:r>
          </w:p>
        </w:tc>
        <w:tc>
          <w:tcPr>
            <w:tcW w:w="957" w:type="dxa"/>
            <w:shd w:val="clear" w:color="auto" w:fill="auto"/>
            <w:noWrap/>
            <w:vAlign w:val="center"/>
          </w:tcPr>
          <w:p w14:paraId="1F60871A" w14:textId="3F506312" w:rsidR="006E17D9" w:rsidRDefault="006E17D9" w:rsidP="006E17D9">
            <w:pPr>
              <w:spacing w:after="0" w:line="240" w:lineRule="auto"/>
              <w:jc w:val="center"/>
              <w:rPr>
                <w:color w:val="000000"/>
                <w:sz w:val="16"/>
                <w:szCs w:val="16"/>
              </w:rPr>
            </w:pPr>
            <w:r>
              <w:rPr>
                <w:color w:val="000000"/>
                <w:sz w:val="16"/>
                <w:szCs w:val="16"/>
              </w:rPr>
              <w:t>639 251</w:t>
            </w:r>
          </w:p>
        </w:tc>
        <w:tc>
          <w:tcPr>
            <w:tcW w:w="957" w:type="dxa"/>
            <w:shd w:val="clear" w:color="auto" w:fill="auto"/>
            <w:noWrap/>
            <w:vAlign w:val="center"/>
          </w:tcPr>
          <w:p w14:paraId="552BBA53" w14:textId="2B678A48" w:rsidR="006E17D9" w:rsidRDefault="006E17D9" w:rsidP="006E17D9">
            <w:pPr>
              <w:spacing w:after="0" w:line="240" w:lineRule="auto"/>
              <w:jc w:val="center"/>
              <w:rPr>
                <w:color w:val="000000"/>
                <w:sz w:val="16"/>
                <w:szCs w:val="16"/>
              </w:rPr>
            </w:pPr>
            <w:r>
              <w:rPr>
                <w:color w:val="000000"/>
                <w:sz w:val="16"/>
                <w:szCs w:val="16"/>
              </w:rPr>
              <w:t>660 260</w:t>
            </w:r>
          </w:p>
        </w:tc>
        <w:tc>
          <w:tcPr>
            <w:tcW w:w="1160" w:type="dxa"/>
            <w:shd w:val="clear" w:color="000000" w:fill="F2F2F2"/>
            <w:noWrap/>
            <w:vAlign w:val="center"/>
          </w:tcPr>
          <w:p w14:paraId="0944A1B4" w14:textId="266FF75B" w:rsidR="006E17D9" w:rsidRDefault="006E17D9" w:rsidP="006E17D9">
            <w:pPr>
              <w:spacing w:after="0" w:line="240" w:lineRule="auto"/>
              <w:jc w:val="center"/>
              <w:rPr>
                <w:b/>
                <w:bCs/>
                <w:color w:val="000000"/>
                <w:sz w:val="16"/>
                <w:szCs w:val="16"/>
              </w:rPr>
            </w:pPr>
            <w:r>
              <w:rPr>
                <w:b/>
                <w:bCs/>
                <w:color w:val="000000"/>
                <w:sz w:val="16"/>
                <w:szCs w:val="16"/>
              </w:rPr>
              <w:t>2 535 99</w:t>
            </w:r>
            <w:r w:rsidR="00705539">
              <w:rPr>
                <w:b/>
                <w:bCs/>
                <w:color w:val="000000"/>
                <w:sz w:val="16"/>
                <w:szCs w:val="16"/>
              </w:rPr>
              <w:t>8</w:t>
            </w:r>
          </w:p>
        </w:tc>
      </w:tr>
      <w:tr w:rsidR="006E17D9" w14:paraId="3F1D43B1" w14:textId="77777777" w:rsidTr="006E17D9">
        <w:trPr>
          <w:trHeight w:val="960"/>
        </w:trPr>
        <w:tc>
          <w:tcPr>
            <w:tcW w:w="1780" w:type="dxa"/>
            <w:shd w:val="clear" w:color="000000" w:fill="F2F2F2"/>
            <w:vAlign w:val="center"/>
          </w:tcPr>
          <w:p w14:paraId="6D1E3879" w14:textId="77777777" w:rsidR="006E17D9" w:rsidRDefault="006E17D9" w:rsidP="006E17D9">
            <w:pPr>
              <w:spacing w:after="0" w:line="240" w:lineRule="auto"/>
              <w:jc w:val="center"/>
              <w:rPr>
                <w:b/>
                <w:bCs/>
                <w:sz w:val="16"/>
                <w:szCs w:val="16"/>
              </w:rPr>
            </w:pPr>
            <w:r>
              <w:rPr>
                <w:b/>
                <w:bCs/>
                <w:sz w:val="16"/>
                <w:szCs w:val="16"/>
              </w:rPr>
              <w:t>2. Náklady nebo výdaje na pořízení hmotného a nehmotného majetku</w:t>
            </w:r>
          </w:p>
        </w:tc>
        <w:tc>
          <w:tcPr>
            <w:tcW w:w="958" w:type="dxa"/>
            <w:shd w:val="clear" w:color="auto" w:fill="auto"/>
            <w:noWrap/>
            <w:vAlign w:val="center"/>
          </w:tcPr>
          <w:p w14:paraId="3B696BC6" w14:textId="7EA13D6F" w:rsidR="006E17D9" w:rsidRDefault="006E17D9" w:rsidP="006E17D9">
            <w:pPr>
              <w:spacing w:after="0" w:line="240" w:lineRule="auto"/>
              <w:jc w:val="center"/>
              <w:rPr>
                <w:color w:val="000000"/>
                <w:sz w:val="16"/>
                <w:szCs w:val="16"/>
              </w:rPr>
            </w:pPr>
            <w:r>
              <w:rPr>
                <w:color w:val="000000"/>
                <w:sz w:val="16"/>
                <w:szCs w:val="16"/>
              </w:rPr>
              <w:t>0</w:t>
            </w:r>
          </w:p>
        </w:tc>
        <w:tc>
          <w:tcPr>
            <w:tcW w:w="957" w:type="dxa"/>
            <w:shd w:val="clear" w:color="auto" w:fill="auto"/>
            <w:noWrap/>
            <w:vAlign w:val="center"/>
          </w:tcPr>
          <w:p w14:paraId="56586179" w14:textId="514891C2" w:rsidR="006E17D9" w:rsidRDefault="006E17D9" w:rsidP="006E17D9">
            <w:pPr>
              <w:spacing w:after="0" w:line="240" w:lineRule="auto"/>
              <w:jc w:val="center"/>
              <w:rPr>
                <w:color w:val="000000"/>
                <w:sz w:val="16"/>
                <w:szCs w:val="16"/>
              </w:rPr>
            </w:pPr>
            <w:r>
              <w:rPr>
                <w:color w:val="000000"/>
                <w:sz w:val="16"/>
                <w:szCs w:val="16"/>
              </w:rPr>
              <w:t>0</w:t>
            </w:r>
          </w:p>
        </w:tc>
        <w:tc>
          <w:tcPr>
            <w:tcW w:w="957" w:type="dxa"/>
            <w:shd w:val="clear" w:color="auto" w:fill="auto"/>
            <w:noWrap/>
            <w:vAlign w:val="center"/>
          </w:tcPr>
          <w:p w14:paraId="17A030EE" w14:textId="4562B59C" w:rsidR="006E17D9" w:rsidRDefault="006E17D9" w:rsidP="006E17D9">
            <w:pPr>
              <w:spacing w:after="0" w:line="240" w:lineRule="auto"/>
              <w:jc w:val="center"/>
              <w:rPr>
                <w:color w:val="000000"/>
                <w:sz w:val="16"/>
                <w:szCs w:val="16"/>
              </w:rPr>
            </w:pPr>
            <w:r>
              <w:rPr>
                <w:color w:val="000000"/>
                <w:sz w:val="16"/>
                <w:szCs w:val="16"/>
              </w:rPr>
              <w:t>0</w:t>
            </w:r>
          </w:p>
        </w:tc>
        <w:tc>
          <w:tcPr>
            <w:tcW w:w="957" w:type="dxa"/>
            <w:shd w:val="clear" w:color="auto" w:fill="auto"/>
            <w:noWrap/>
            <w:vAlign w:val="center"/>
          </w:tcPr>
          <w:p w14:paraId="7781E95B" w14:textId="3A6EA023" w:rsidR="006E17D9" w:rsidRDefault="006E17D9" w:rsidP="006E17D9">
            <w:pPr>
              <w:spacing w:after="0" w:line="240" w:lineRule="auto"/>
              <w:jc w:val="center"/>
              <w:rPr>
                <w:color w:val="000000"/>
                <w:sz w:val="16"/>
                <w:szCs w:val="16"/>
              </w:rPr>
            </w:pPr>
            <w:r>
              <w:rPr>
                <w:color w:val="000000"/>
                <w:sz w:val="16"/>
                <w:szCs w:val="16"/>
              </w:rPr>
              <w:t>0</w:t>
            </w:r>
          </w:p>
        </w:tc>
        <w:tc>
          <w:tcPr>
            <w:tcW w:w="1160" w:type="dxa"/>
            <w:shd w:val="clear" w:color="000000" w:fill="F2F2F2"/>
            <w:noWrap/>
            <w:vAlign w:val="center"/>
          </w:tcPr>
          <w:p w14:paraId="1B1CE8D7" w14:textId="0C20FE32" w:rsidR="006E17D9" w:rsidRDefault="006E17D9" w:rsidP="006E17D9">
            <w:pPr>
              <w:spacing w:after="0" w:line="240" w:lineRule="auto"/>
              <w:jc w:val="center"/>
              <w:rPr>
                <w:b/>
                <w:bCs/>
                <w:color w:val="000000"/>
                <w:sz w:val="16"/>
                <w:szCs w:val="16"/>
              </w:rPr>
            </w:pPr>
            <w:r>
              <w:rPr>
                <w:b/>
                <w:bCs/>
                <w:color w:val="000000"/>
                <w:sz w:val="16"/>
                <w:szCs w:val="16"/>
              </w:rPr>
              <w:t>0</w:t>
            </w:r>
          </w:p>
        </w:tc>
      </w:tr>
      <w:tr w:rsidR="006E17D9" w14:paraId="058CB2A2" w14:textId="77777777" w:rsidTr="006E17D9">
        <w:trPr>
          <w:trHeight w:val="720"/>
        </w:trPr>
        <w:tc>
          <w:tcPr>
            <w:tcW w:w="1780" w:type="dxa"/>
            <w:shd w:val="clear" w:color="000000" w:fill="F2F2F2"/>
            <w:vAlign w:val="center"/>
          </w:tcPr>
          <w:p w14:paraId="60BAB0FE" w14:textId="77777777" w:rsidR="006E17D9" w:rsidRDefault="006E17D9" w:rsidP="006E17D9">
            <w:pPr>
              <w:spacing w:after="0" w:line="240" w:lineRule="auto"/>
              <w:jc w:val="center"/>
              <w:rPr>
                <w:b/>
                <w:bCs/>
                <w:sz w:val="16"/>
                <w:szCs w:val="16"/>
              </w:rPr>
            </w:pPr>
            <w:r>
              <w:rPr>
                <w:b/>
                <w:bCs/>
                <w:sz w:val="16"/>
                <w:szCs w:val="16"/>
              </w:rPr>
              <w:t>3. Provozní náklady nebo výdaje, náklady nebo výdaje na služby</w:t>
            </w:r>
          </w:p>
        </w:tc>
        <w:tc>
          <w:tcPr>
            <w:tcW w:w="958" w:type="dxa"/>
            <w:shd w:val="clear" w:color="auto" w:fill="auto"/>
            <w:noWrap/>
            <w:vAlign w:val="center"/>
          </w:tcPr>
          <w:p w14:paraId="7524FC5A" w14:textId="52A1F219" w:rsidR="006E17D9" w:rsidRDefault="006E17D9" w:rsidP="006E17D9">
            <w:pPr>
              <w:spacing w:after="0" w:line="240" w:lineRule="auto"/>
              <w:jc w:val="center"/>
              <w:rPr>
                <w:color w:val="000000"/>
                <w:sz w:val="16"/>
                <w:szCs w:val="16"/>
              </w:rPr>
            </w:pPr>
            <w:r>
              <w:rPr>
                <w:color w:val="000000"/>
                <w:sz w:val="16"/>
                <w:szCs w:val="16"/>
              </w:rPr>
              <w:t>0</w:t>
            </w:r>
          </w:p>
        </w:tc>
        <w:tc>
          <w:tcPr>
            <w:tcW w:w="957" w:type="dxa"/>
            <w:shd w:val="clear" w:color="auto" w:fill="auto"/>
            <w:noWrap/>
            <w:vAlign w:val="center"/>
          </w:tcPr>
          <w:p w14:paraId="26F2011B" w14:textId="648475D2" w:rsidR="006E17D9" w:rsidRDefault="006E17D9" w:rsidP="006E17D9">
            <w:pPr>
              <w:spacing w:after="0" w:line="240" w:lineRule="auto"/>
              <w:jc w:val="center"/>
              <w:rPr>
                <w:color w:val="000000"/>
                <w:sz w:val="16"/>
                <w:szCs w:val="16"/>
              </w:rPr>
            </w:pPr>
            <w:r>
              <w:rPr>
                <w:color w:val="000000"/>
                <w:sz w:val="16"/>
                <w:szCs w:val="16"/>
              </w:rPr>
              <w:t>0</w:t>
            </w:r>
          </w:p>
        </w:tc>
        <w:tc>
          <w:tcPr>
            <w:tcW w:w="957" w:type="dxa"/>
            <w:shd w:val="clear" w:color="auto" w:fill="auto"/>
            <w:noWrap/>
            <w:vAlign w:val="center"/>
          </w:tcPr>
          <w:p w14:paraId="2D213EC1" w14:textId="117316BF" w:rsidR="006E17D9" w:rsidRDefault="006E17D9" w:rsidP="006E17D9">
            <w:pPr>
              <w:spacing w:after="0" w:line="240" w:lineRule="auto"/>
              <w:jc w:val="center"/>
              <w:rPr>
                <w:color w:val="000000"/>
                <w:sz w:val="16"/>
                <w:szCs w:val="16"/>
              </w:rPr>
            </w:pPr>
            <w:r>
              <w:rPr>
                <w:color w:val="000000"/>
                <w:sz w:val="16"/>
                <w:szCs w:val="16"/>
              </w:rPr>
              <w:t>0</w:t>
            </w:r>
          </w:p>
        </w:tc>
        <w:tc>
          <w:tcPr>
            <w:tcW w:w="957" w:type="dxa"/>
            <w:shd w:val="clear" w:color="auto" w:fill="auto"/>
            <w:noWrap/>
            <w:vAlign w:val="center"/>
          </w:tcPr>
          <w:p w14:paraId="6F7132B3" w14:textId="32866279" w:rsidR="006E17D9" w:rsidRDefault="006E17D9" w:rsidP="006E17D9">
            <w:pPr>
              <w:spacing w:after="0" w:line="240" w:lineRule="auto"/>
              <w:jc w:val="center"/>
              <w:rPr>
                <w:color w:val="000000"/>
                <w:sz w:val="16"/>
                <w:szCs w:val="16"/>
              </w:rPr>
            </w:pPr>
            <w:r>
              <w:rPr>
                <w:color w:val="000000"/>
                <w:sz w:val="16"/>
                <w:szCs w:val="16"/>
              </w:rPr>
              <w:t>0</w:t>
            </w:r>
          </w:p>
        </w:tc>
        <w:tc>
          <w:tcPr>
            <w:tcW w:w="1160" w:type="dxa"/>
            <w:shd w:val="clear" w:color="000000" w:fill="F2F2F2"/>
            <w:noWrap/>
            <w:vAlign w:val="center"/>
          </w:tcPr>
          <w:p w14:paraId="3E6D6371" w14:textId="0BA5E627" w:rsidR="006E17D9" w:rsidRDefault="006E17D9" w:rsidP="006E17D9">
            <w:pPr>
              <w:spacing w:after="0" w:line="240" w:lineRule="auto"/>
              <w:jc w:val="center"/>
              <w:rPr>
                <w:b/>
                <w:bCs/>
                <w:color w:val="000000"/>
                <w:sz w:val="16"/>
                <w:szCs w:val="16"/>
              </w:rPr>
            </w:pPr>
            <w:r>
              <w:rPr>
                <w:b/>
                <w:bCs/>
                <w:color w:val="000000"/>
                <w:sz w:val="16"/>
                <w:szCs w:val="16"/>
              </w:rPr>
              <w:t>0</w:t>
            </w:r>
          </w:p>
        </w:tc>
      </w:tr>
      <w:tr w:rsidR="006E17D9" w14:paraId="652FC1D6" w14:textId="77777777" w:rsidTr="006E17D9">
        <w:trPr>
          <w:trHeight w:val="300"/>
        </w:trPr>
        <w:tc>
          <w:tcPr>
            <w:tcW w:w="1780" w:type="dxa"/>
            <w:vMerge w:val="restart"/>
            <w:shd w:val="clear" w:color="000000" w:fill="F2F2F2"/>
            <w:vAlign w:val="center"/>
          </w:tcPr>
          <w:p w14:paraId="01AD9665" w14:textId="77777777" w:rsidR="006E17D9" w:rsidRDefault="006E17D9" w:rsidP="006E17D9">
            <w:pPr>
              <w:spacing w:after="0" w:line="240" w:lineRule="auto"/>
              <w:jc w:val="center"/>
              <w:rPr>
                <w:b/>
                <w:bCs/>
                <w:color w:val="000000"/>
                <w:sz w:val="16"/>
                <w:szCs w:val="16"/>
              </w:rPr>
            </w:pPr>
            <w:r>
              <w:rPr>
                <w:b/>
                <w:bCs/>
                <w:color w:val="000000"/>
                <w:sz w:val="16"/>
                <w:szCs w:val="16"/>
              </w:rPr>
              <w:t>4. Doplňkové náklady</w:t>
            </w:r>
            <w:r>
              <w:rPr>
                <w:b/>
                <w:bCs/>
                <w:color w:val="000000"/>
                <w:sz w:val="16"/>
                <w:szCs w:val="16"/>
              </w:rPr>
              <w:br/>
              <w:t xml:space="preserve"> nebo výdaje (režie)</w:t>
            </w:r>
          </w:p>
        </w:tc>
        <w:tc>
          <w:tcPr>
            <w:tcW w:w="958" w:type="dxa"/>
            <w:shd w:val="clear" w:color="auto" w:fill="auto"/>
            <w:noWrap/>
            <w:vAlign w:val="center"/>
          </w:tcPr>
          <w:p w14:paraId="7B6F543D" w14:textId="69DEB445" w:rsidR="006E17D9" w:rsidRDefault="006E17D9" w:rsidP="006E17D9">
            <w:pPr>
              <w:spacing w:after="0" w:line="240" w:lineRule="auto"/>
              <w:jc w:val="center"/>
              <w:rPr>
                <w:color w:val="000000"/>
                <w:sz w:val="16"/>
                <w:szCs w:val="16"/>
              </w:rPr>
            </w:pPr>
            <w:r>
              <w:rPr>
                <w:color w:val="000000"/>
                <w:sz w:val="16"/>
                <w:szCs w:val="16"/>
              </w:rPr>
              <w:t>157 562</w:t>
            </w:r>
          </w:p>
        </w:tc>
        <w:tc>
          <w:tcPr>
            <w:tcW w:w="957" w:type="dxa"/>
            <w:shd w:val="clear" w:color="auto" w:fill="auto"/>
            <w:noWrap/>
            <w:vAlign w:val="center"/>
          </w:tcPr>
          <w:p w14:paraId="78FFA72A" w14:textId="3C52C4BF" w:rsidR="006E17D9" w:rsidRDefault="006E17D9" w:rsidP="006E17D9">
            <w:pPr>
              <w:spacing w:after="0" w:line="240" w:lineRule="auto"/>
              <w:jc w:val="center"/>
              <w:rPr>
                <w:color w:val="000000"/>
                <w:sz w:val="16"/>
                <w:szCs w:val="16"/>
              </w:rPr>
            </w:pPr>
            <w:r>
              <w:rPr>
                <w:color w:val="000000"/>
                <w:sz w:val="16"/>
                <w:szCs w:val="16"/>
              </w:rPr>
              <w:t>151 560</w:t>
            </w:r>
          </w:p>
        </w:tc>
        <w:tc>
          <w:tcPr>
            <w:tcW w:w="957" w:type="dxa"/>
            <w:shd w:val="clear" w:color="auto" w:fill="auto"/>
            <w:noWrap/>
            <w:vAlign w:val="center"/>
          </w:tcPr>
          <w:p w14:paraId="02BCE289" w14:textId="512EC562" w:rsidR="006E17D9" w:rsidRDefault="006E17D9" w:rsidP="006E17D9">
            <w:pPr>
              <w:spacing w:after="0" w:line="240" w:lineRule="auto"/>
              <w:jc w:val="center"/>
              <w:rPr>
                <w:color w:val="000000"/>
                <w:sz w:val="16"/>
                <w:szCs w:val="16"/>
              </w:rPr>
            </w:pPr>
            <w:r>
              <w:rPr>
                <w:color w:val="000000"/>
                <w:sz w:val="16"/>
                <w:szCs w:val="16"/>
              </w:rPr>
              <w:t>159 813</w:t>
            </w:r>
          </w:p>
        </w:tc>
        <w:tc>
          <w:tcPr>
            <w:tcW w:w="957" w:type="dxa"/>
            <w:shd w:val="clear" w:color="auto" w:fill="auto"/>
            <w:noWrap/>
            <w:vAlign w:val="center"/>
          </w:tcPr>
          <w:p w14:paraId="234B4104" w14:textId="4DF10C71" w:rsidR="006E17D9" w:rsidRDefault="006E17D9" w:rsidP="006E17D9">
            <w:pPr>
              <w:spacing w:after="0" w:line="240" w:lineRule="auto"/>
              <w:jc w:val="center"/>
              <w:rPr>
                <w:color w:val="000000"/>
                <w:sz w:val="16"/>
                <w:szCs w:val="16"/>
              </w:rPr>
            </w:pPr>
            <w:r>
              <w:rPr>
                <w:color w:val="000000"/>
                <w:sz w:val="16"/>
                <w:szCs w:val="16"/>
              </w:rPr>
              <w:t>165 065</w:t>
            </w:r>
          </w:p>
        </w:tc>
        <w:tc>
          <w:tcPr>
            <w:tcW w:w="1160" w:type="dxa"/>
            <w:shd w:val="clear" w:color="000000" w:fill="F2F2F2"/>
            <w:noWrap/>
            <w:vAlign w:val="center"/>
          </w:tcPr>
          <w:p w14:paraId="304F16F0" w14:textId="37AF69D8" w:rsidR="006E17D9" w:rsidRDefault="006E17D9" w:rsidP="006E17D9">
            <w:pPr>
              <w:spacing w:after="0" w:line="240" w:lineRule="auto"/>
              <w:jc w:val="center"/>
              <w:rPr>
                <w:b/>
                <w:bCs/>
                <w:color w:val="000000"/>
                <w:sz w:val="16"/>
                <w:szCs w:val="16"/>
              </w:rPr>
            </w:pPr>
            <w:r>
              <w:rPr>
                <w:b/>
                <w:bCs/>
                <w:color w:val="000000"/>
                <w:sz w:val="16"/>
                <w:szCs w:val="16"/>
              </w:rPr>
              <w:t>63</w:t>
            </w:r>
            <w:r w:rsidR="00B61A1A">
              <w:rPr>
                <w:b/>
                <w:bCs/>
                <w:color w:val="000000"/>
                <w:sz w:val="16"/>
                <w:szCs w:val="16"/>
              </w:rPr>
              <w:t>4</w:t>
            </w:r>
            <w:r>
              <w:rPr>
                <w:b/>
                <w:bCs/>
                <w:color w:val="000000"/>
                <w:sz w:val="16"/>
                <w:szCs w:val="16"/>
              </w:rPr>
              <w:t xml:space="preserve"> </w:t>
            </w:r>
            <w:r w:rsidR="00B61A1A">
              <w:rPr>
                <w:b/>
                <w:bCs/>
                <w:color w:val="000000"/>
                <w:sz w:val="16"/>
                <w:szCs w:val="16"/>
              </w:rPr>
              <w:t>000</w:t>
            </w:r>
          </w:p>
        </w:tc>
      </w:tr>
      <w:tr w:rsidR="006E17D9" w14:paraId="66DDE092" w14:textId="77777777" w:rsidTr="006E17D9">
        <w:trPr>
          <w:trHeight w:val="300"/>
        </w:trPr>
        <w:tc>
          <w:tcPr>
            <w:tcW w:w="1780" w:type="dxa"/>
            <w:vMerge/>
            <w:vAlign w:val="center"/>
          </w:tcPr>
          <w:p w14:paraId="742C27F9" w14:textId="77777777" w:rsidR="006E17D9" w:rsidRDefault="006E17D9" w:rsidP="006E17D9">
            <w:pPr>
              <w:spacing w:after="0" w:line="240" w:lineRule="auto"/>
              <w:jc w:val="center"/>
              <w:rPr>
                <w:b/>
                <w:bCs/>
                <w:color w:val="000000"/>
                <w:sz w:val="16"/>
                <w:szCs w:val="16"/>
              </w:rPr>
            </w:pPr>
          </w:p>
        </w:tc>
        <w:tc>
          <w:tcPr>
            <w:tcW w:w="958" w:type="dxa"/>
            <w:shd w:val="clear" w:color="000000" w:fill="F2F2F2"/>
            <w:noWrap/>
            <w:vAlign w:val="center"/>
          </w:tcPr>
          <w:p w14:paraId="5D06779D" w14:textId="4775C800" w:rsidR="006E17D9" w:rsidRDefault="006E17D9" w:rsidP="006E17D9">
            <w:pPr>
              <w:spacing w:after="0" w:line="240" w:lineRule="auto"/>
              <w:jc w:val="center"/>
              <w:rPr>
                <w:color w:val="0070C0"/>
                <w:sz w:val="16"/>
                <w:szCs w:val="16"/>
              </w:rPr>
            </w:pPr>
            <w:r>
              <w:rPr>
                <w:color w:val="0070C0"/>
                <w:sz w:val="16"/>
                <w:szCs w:val="16"/>
              </w:rPr>
              <w:t>25,00%</w:t>
            </w:r>
          </w:p>
        </w:tc>
        <w:tc>
          <w:tcPr>
            <w:tcW w:w="957" w:type="dxa"/>
            <w:shd w:val="clear" w:color="000000" w:fill="F2F2F2"/>
            <w:noWrap/>
            <w:vAlign w:val="center"/>
          </w:tcPr>
          <w:p w14:paraId="5C279B20" w14:textId="1E2492CF" w:rsidR="006E17D9" w:rsidRDefault="006E17D9" w:rsidP="006E17D9">
            <w:pPr>
              <w:spacing w:after="0" w:line="240" w:lineRule="auto"/>
              <w:jc w:val="center"/>
              <w:rPr>
                <w:color w:val="0070C0"/>
                <w:sz w:val="16"/>
                <w:szCs w:val="16"/>
              </w:rPr>
            </w:pPr>
            <w:r>
              <w:rPr>
                <w:color w:val="0070C0"/>
                <w:sz w:val="16"/>
                <w:szCs w:val="16"/>
              </w:rPr>
              <w:t>25,00%</w:t>
            </w:r>
          </w:p>
        </w:tc>
        <w:tc>
          <w:tcPr>
            <w:tcW w:w="957" w:type="dxa"/>
            <w:shd w:val="clear" w:color="000000" w:fill="F2F2F2"/>
            <w:noWrap/>
            <w:vAlign w:val="center"/>
          </w:tcPr>
          <w:p w14:paraId="7676F356" w14:textId="0FB999F2" w:rsidR="006E17D9" w:rsidRDefault="006E17D9" w:rsidP="006E17D9">
            <w:pPr>
              <w:spacing w:after="0" w:line="240" w:lineRule="auto"/>
              <w:jc w:val="center"/>
              <w:rPr>
                <w:color w:val="0070C0"/>
                <w:sz w:val="16"/>
                <w:szCs w:val="16"/>
              </w:rPr>
            </w:pPr>
            <w:r>
              <w:rPr>
                <w:color w:val="0070C0"/>
                <w:sz w:val="16"/>
                <w:szCs w:val="16"/>
              </w:rPr>
              <w:t>25,00%</w:t>
            </w:r>
          </w:p>
        </w:tc>
        <w:tc>
          <w:tcPr>
            <w:tcW w:w="957" w:type="dxa"/>
            <w:shd w:val="clear" w:color="000000" w:fill="F2F2F2"/>
            <w:noWrap/>
            <w:vAlign w:val="center"/>
          </w:tcPr>
          <w:p w14:paraId="4C622CD7" w14:textId="473A9E9F" w:rsidR="006E17D9" w:rsidRDefault="006E17D9" w:rsidP="006E17D9">
            <w:pPr>
              <w:spacing w:after="0" w:line="240" w:lineRule="auto"/>
              <w:jc w:val="center"/>
              <w:rPr>
                <w:color w:val="0070C0"/>
                <w:sz w:val="16"/>
                <w:szCs w:val="16"/>
              </w:rPr>
            </w:pPr>
            <w:r>
              <w:rPr>
                <w:color w:val="0070C0"/>
                <w:sz w:val="16"/>
                <w:szCs w:val="16"/>
              </w:rPr>
              <w:t>25,00%</w:t>
            </w:r>
          </w:p>
        </w:tc>
        <w:tc>
          <w:tcPr>
            <w:tcW w:w="1160" w:type="dxa"/>
            <w:shd w:val="clear" w:color="000000" w:fill="F2F2F2"/>
            <w:noWrap/>
            <w:vAlign w:val="center"/>
          </w:tcPr>
          <w:p w14:paraId="0A39CF99" w14:textId="7C24AB65" w:rsidR="006E17D9" w:rsidRDefault="006E17D9" w:rsidP="006E17D9">
            <w:pPr>
              <w:spacing w:after="0" w:line="240" w:lineRule="auto"/>
              <w:jc w:val="center"/>
              <w:rPr>
                <w:b/>
                <w:bCs/>
                <w:color w:val="0070C0"/>
                <w:sz w:val="16"/>
                <w:szCs w:val="16"/>
              </w:rPr>
            </w:pPr>
            <w:r>
              <w:rPr>
                <w:b/>
                <w:bCs/>
                <w:color w:val="0070C0"/>
                <w:sz w:val="16"/>
                <w:szCs w:val="16"/>
              </w:rPr>
              <w:t>25,00%</w:t>
            </w:r>
          </w:p>
        </w:tc>
      </w:tr>
      <w:tr w:rsidR="006E17D9" w14:paraId="52509204" w14:textId="77777777" w:rsidTr="006E17D9">
        <w:trPr>
          <w:trHeight w:val="300"/>
        </w:trPr>
        <w:tc>
          <w:tcPr>
            <w:tcW w:w="1780" w:type="dxa"/>
            <w:shd w:val="clear" w:color="000000" w:fill="F2F2F2"/>
            <w:noWrap/>
            <w:vAlign w:val="center"/>
          </w:tcPr>
          <w:p w14:paraId="68FD1F85" w14:textId="77777777" w:rsidR="006E17D9" w:rsidRDefault="006E17D9" w:rsidP="006E17D9">
            <w:pPr>
              <w:spacing w:after="0" w:line="240" w:lineRule="auto"/>
              <w:jc w:val="center"/>
              <w:rPr>
                <w:b/>
                <w:bCs/>
                <w:color w:val="000000"/>
                <w:sz w:val="16"/>
                <w:szCs w:val="16"/>
              </w:rPr>
            </w:pPr>
            <w:r>
              <w:rPr>
                <w:b/>
                <w:bCs/>
                <w:color w:val="000000"/>
                <w:sz w:val="16"/>
                <w:szCs w:val="16"/>
              </w:rPr>
              <w:t>CELKEM</w:t>
            </w:r>
          </w:p>
        </w:tc>
        <w:tc>
          <w:tcPr>
            <w:tcW w:w="958" w:type="dxa"/>
            <w:shd w:val="clear" w:color="000000" w:fill="F2F2F2"/>
            <w:noWrap/>
            <w:vAlign w:val="center"/>
          </w:tcPr>
          <w:p w14:paraId="51AF3364" w14:textId="3EED5D6D" w:rsidR="006E17D9" w:rsidRDefault="006E17D9" w:rsidP="006E17D9">
            <w:pPr>
              <w:spacing w:after="0" w:line="240" w:lineRule="auto"/>
              <w:jc w:val="center"/>
              <w:rPr>
                <w:b/>
                <w:bCs/>
                <w:color w:val="000000"/>
                <w:sz w:val="16"/>
                <w:szCs w:val="16"/>
              </w:rPr>
            </w:pPr>
            <w:r>
              <w:rPr>
                <w:b/>
                <w:bCs/>
                <w:color w:val="000000"/>
                <w:sz w:val="16"/>
                <w:szCs w:val="16"/>
              </w:rPr>
              <w:t>787 810</w:t>
            </w:r>
          </w:p>
        </w:tc>
        <w:tc>
          <w:tcPr>
            <w:tcW w:w="957" w:type="dxa"/>
            <w:shd w:val="clear" w:color="000000" w:fill="F2F2F2"/>
            <w:noWrap/>
            <w:vAlign w:val="center"/>
          </w:tcPr>
          <w:p w14:paraId="495369C1" w14:textId="2A21342E" w:rsidR="006E17D9" w:rsidRDefault="006E17D9" w:rsidP="006E17D9">
            <w:pPr>
              <w:spacing w:after="0" w:line="240" w:lineRule="auto"/>
              <w:jc w:val="center"/>
              <w:rPr>
                <w:b/>
                <w:bCs/>
                <w:color w:val="000000"/>
                <w:sz w:val="16"/>
                <w:szCs w:val="16"/>
              </w:rPr>
            </w:pPr>
            <w:r>
              <w:rPr>
                <w:b/>
                <w:bCs/>
                <w:color w:val="000000"/>
                <w:sz w:val="16"/>
                <w:szCs w:val="16"/>
              </w:rPr>
              <w:t>757 79</w:t>
            </w:r>
            <w:r w:rsidR="00E75A61">
              <w:rPr>
                <w:b/>
                <w:bCs/>
                <w:color w:val="000000"/>
                <w:sz w:val="16"/>
                <w:szCs w:val="16"/>
              </w:rPr>
              <w:t>9</w:t>
            </w:r>
          </w:p>
        </w:tc>
        <w:tc>
          <w:tcPr>
            <w:tcW w:w="957" w:type="dxa"/>
            <w:shd w:val="clear" w:color="000000" w:fill="F2F2F2"/>
            <w:noWrap/>
            <w:vAlign w:val="center"/>
          </w:tcPr>
          <w:p w14:paraId="200CF692" w14:textId="49C062B5" w:rsidR="006E17D9" w:rsidRDefault="006E17D9" w:rsidP="006E17D9">
            <w:pPr>
              <w:spacing w:after="0" w:line="240" w:lineRule="auto"/>
              <w:jc w:val="center"/>
              <w:rPr>
                <w:b/>
                <w:bCs/>
                <w:color w:val="000000"/>
                <w:sz w:val="16"/>
                <w:szCs w:val="16"/>
              </w:rPr>
            </w:pPr>
            <w:r>
              <w:rPr>
                <w:b/>
                <w:bCs/>
                <w:color w:val="000000"/>
                <w:sz w:val="16"/>
                <w:szCs w:val="16"/>
              </w:rPr>
              <w:t>799 064</w:t>
            </w:r>
          </w:p>
        </w:tc>
        <w:tc>
          <w:tcPr>
            <w:tcW w:w="957" w:type="dxa"/>
            <w:shd w:val="clear" w:color="000000" w:fill="F2F2F2"/>
            <w:noWrap/>
            <w:vAlign w:val="center"/>
          </w:tcPr>
          <w:p w14:paraId="2C5BF045" w14:textId="78F9FDE0" w:rsidR="006E17D9" w:rsidRDefault="006E17D9" w:rsidP="006E17D9">
            <w:pPr>
              <w:spacing w:after="0" w:line="240" w:lineRule="auto"/>
              <w:jc w:val="center"/>
              <w:rPr>
                <w:b/>
                <w:bCs/>
                <w:color w:val="000000"/>
                <w:sz w:val="16"/>
                <w:szCs w:val="16"/>
              </w:rPr>
            </w:pPr>
            <w:r>
              <w:rPr>
                <w:b/>
                <w:bCs/>
                <w:color w:val="000000"/>
                <w:sz w:val="16"/>
                <w:szCs w:val="16"/>
              </w:rPr>
              <w:t>825 325</w:t>
            </w:r>
          </w:p>
        </w:tc>
        <w:tc>
          <w:tcPr>
            <w:tcW w:w="1160" w:type="dxa"/>
            <w:shd w:val="clear" w:color="000000" w:fill="F2F2F2"/>
            <w:noWrap/>
            <w:vAlign w:val="center"/>
          </w:tcPr>
          <w:p w14:paraId="019F2B66" w14:textId="09373E6F" w:rsidR="006E17D9" w:rsidRDefault="006E17D9" w:rsidP="006E17D9">
            <w:pPr>
              <w:spacing w:after="0" w:line="240" w:lineRule="auto"/>
              <w:jc w:val="center"/>
              <w:rPr>
                <w:b/>
                <w:bCs/>
                <w:color w:val="000000"/>
                <w:sz w:val="16"/>
                <w:szCs w:val="16"/>
              </w:rPr>
            </w:pPr>
            <w:r>
              <w:rPr>
                <w:b/>
                <w:bCs/>
                <w:color w:val="000000"/>
                <w:sz w:val="16"/>
                <w:szCs w:val="16"/>
              </w:rPr>
              <w:t>3 169 99</w:t>
            </w:r>
            <w:r w:rsidR="000D35CE">
              <w:rPr>
                <w:b/>
                <w:bCs/>
                <w:color w:val="000000"/>
                <w:sz w:val="16"/>
                <w:szCs w:val="16"/>
              </w:rPr>
              <w:t>8</w:t>
            </w:r>
          </w:p>
        </w:tc>
      </w:tr>
    </w:tbl>
    <w:p w14:paraId="77FE7280" w14:textId="77777777" w:rsidR="00104BDD" w:rsidRDefault="00BD5DD5">
      <w:pPr>
        <w:spacing w:before="240" w:after="240" w:line="240" w:lineRule="auto"/>
        <w:jc w:val="both"/>
        <w:rPr>
          <w:b/>
          <w:bCs/>
        </w:rPr>
      </w:pPr>
      <w:r>
        <w:rPr>
          <w:b/>
          <w:bCs/>
        </w:rPr>
        <w:t>Kategorie osobní náklady nebo výdaje</w:t>
      </w:r>
    </w:p>
    <w:p w14:paraId="777B9600" w14:textId="5DA6B957" w:rsidR="00104BDD" w:rsidRDefault="00BD5DD5">
      <w:pPr>
        <w:spacing w:line="240" w:lineRule="auto"/>
        <w:jc w:val="both"/>
      </w:pPr>
      <w:r>
        <w:t>Osobní náklady jsou počítány z hrubé mzdy zaměstnance na pozici Senior analytik podle mzdového standardu organizace a zákonných odvodů (24,8 % sociální pojištění, 9 % zdravotní pojištění, 2 % sociální fond)</w:t>
      </w:r>
      <w:r w:rsidR="006E17D9">
        <w:t xml:space="preserve"> v kapacitě 0,85 FTE ročně</w:t>
      </w:r>
      <w:r>
        <w:t>.</w:t>
      </w:r>
    </w:p>
    <w:p w14:paraId="7168B6F0" w14:textId="77777777" w:rsidR="001E58DD" w:rsidRDefault="001E58DD" w:rsidP="001E58DD">
      <w:pPr>
        <w:spacing w:after="0" w:line="240" w:lineRule="auto"/>
        <w:jc w:val="both"/>
      </w:pPr>
      <w:r>
        <w:t xml:space="preserve">Do této kategorie lze zařadit také </w:t>
      </w:r>
      <w:r w:rsidRPr="00BA472D">
        <w:rPr>
          <w:lang w:eastAsia="en-US"/>
        </w:rPr>
        <w:t>financování nákladů spojených se zajištěním dočasné služby péče (např. hlídání na konferencích).</w:t>
      </w:r>
    </w:p>
    <w:p w14:paraId="5B3687CB" w14:textId="77777777" w:rsidR="00104BDD" w:rsidRDefault="00BD5DD5">
      <w:pPr>
        <w:spacing w:before="240" w:after="240" w:line="240" w:lineRule="auto"/>
        <w:jc w:val="both"/>
        <w:rPr>
          <w:b/>
          <w:bCs/>
        </w:rPr>
      </w:pPr>
      <w:r>
        <w:rPr>
          <w:b/>
          <w:bCs/>
        </w:rPr>
        <w:t>Kategorie doplňkové náklady nebo výdaje (režie)</w:t>
      </w:r>
    </w:p>
    <w:p w14:paraId="56045215" w14:textId="593487A9" w:rsidR="00104BDD" w:rsidRDefault="00BD5DD5">
      <w:pPr>
        <w:spacing w:line="240" w:lineRule="auto"/>
        <w:jc w:val="both"/>
      </w:pPr>
      <w:r>
        <w:t xml:space="preserve">Režijní náklady jsou rozpočtovány metodou </w:t>
      </w:r>
      <w:proofErr w:type="spellStart"/>
      <w:r>
        <w:t>flat</w:t>
      </w:r>
      <w:proofErr w:type="spellEnd"/>
      <w:r>
        <w:t xml:space="preserve"> </w:t>
      </w:r>
      <w:proofErr w:type="spellStart"/>
      <w:r>
        <w:t>rate</w:t>
      </w:r>
      <w:proofErr w:type="spellEnd"/>
      <w:r>
        <w:t xml:space="preserve"> ve výši 25 % z přímých nákladů (tzn., bez investic).</w:t>
      </w:r>
    </w:p>
    <w:p w14:paraId="4F454AD1" w14:textId="77777777" w:rsidR="00227EEB" w:rsidRDefault="00227EEB">
      <w:pPr>
        <w:spacing w:line="240" w:lineRule="auto"/>
        <w:jc w:val="both"/>
        <w:rPr>
          <w:rFonts w:eastAsia="Verdana"/>
          <w:color w:val="000000"/>
        </w:rPr>
      </w:pPr>
    </w:p>
    <w:p w14:paraId="7ECDD993" w14:textId="77777777" w:rsidR="00104BDD" w:rsidRDefault="00BD5DD5">
      <w:pPr>
        <w:pStyle w:val="Nadpis1"/>
        <w:numPr>
          <w:ilvl w:val="0"/>
          <w:numId w:val="2"/>
        </w:numPr>
        <w:spacing w:before="240" w:after="240" w:line="240" w:lineRule="auto"/>
        <w:ind w:left="431" w:hanging="431"/>
        <w:jc w:val="both"/>
      </w:pPr>
      <w:bookmarkStart w:id="60" w:name="_Toc40123748"/>
      <w:bookmarkStart w:id="61" w:name="_Toc67906091"/>
      <w:r>
        <w:lastRenderedPageBreak/>
        <w:t>IMPLEMENTACE</w:t>
      </w:r>
      <w:bookmarkEnd w:id="60"/>
      <w:bookmarkEnd w:id="61"/>
    </w:p>
    <w:p w14:paraId="3A20D676" w14:textId="77777777" w:rsidR="00104BDD" w:rsidRDefault="00BD5DD5">
      <w:pPr>
        <w:spacing w:after="0" w:line="240" w:lineRule="auto"/>
        <w:jc w:val="both"/>
      </w:pPr>
      <w:r>
        <w:rPr>
          <w:rFonts w:eastAsia="Verdana"/>
        </w:rPr>
        <w:t>Implementační struktura projektu sdílených činností bude sestávat z projektových orgánů, jež spolu budou na pravidelné bázi interagovat, a to řídicího výboru, výkonného výboru a garantů jednotlivých modulů projektu, jak ilustruje organigram výše. Součástí implementační struktury projektu bude poté i mezinárodní vědecká rada.</w:t>
      </w:r>
    </w:p>
    <w:p w14:paraId="18D042AA" w14:textId="77777777" w:rsidR="00104BDD" w:rsidRDefault="00BD5DD5">
      <w:pPr>
        <w:spacing w:line="240" w:lineRule="auto"/>
        <w:jc w:val="both"/>
        <w:rPr>
          <w:rFonts w:cstheme="minorHAnsi"/>
        </w:rPr>
      </w:pPr>
      <w:r>
        <w:rPr>
          <w:noProof/>
        </w:rPr>
        <mc:AlternateContent>
          <mc:Choice Requires="wpc">
            <w:drawing>
              <wp:inline distT="0" distB="0" distL="0" distR="0" wp14:anchorId="6EA4AFFF" wp14:editId="3F00B2D6">
                <wp:extent cx="5248910" cy="3346450"/>
                <wp:effectExtent l="38100" t="19050" r="27940" b="25400"/>
                <wp:docPr id="6" name="Plátno 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9" name="Zaoblený obdélník 9"/>
                        <wps:cNvSpPr/>
                        <wps:spPr>
                          <a:xfrm>
                            <a:off x="78249" y="36527"/>
                            <a:ext cx="2063750" cy="584200"/>
                          </a:xfrm>
                          <a:prstGeom prst="roundRect">
                            <a:avLst/>
                          </a:prstGeom>
                        </wps:spPr>
                        <wps:style>
                          <a:lnRef idx="3">
                            <a:schemeClr val="lt1"/>
                          </a:lnRef>
                          <a:fillRef idx="1">
                            <a:schemeClr val="accent2"/>
                          </a:fillRef>
                          <a:effectRef idx="1">
                            <a:schemeClr val="accent2"/>
                          </a:effectRef>
                          <a:fontRef idx="minor">
                            <a:schemeClr val="lt1"/>
                          </a:fontRef>
                        </wps:style>
                        <wps:txbx>
                          <w:txbxContent>
                            <w:p w14:paraId="0A879778" w14:textId="77777777" w:rsidR="00086EA9" w:rsidRDefault="00086EA9">
                              <w:pPr>
                                <w:jc w:val="center"/>
                                <w:rPr>
                                  <w:rFonts w:cstheme="minorHAnsi"/>
                                </w:rPr>
                              </w:pPr>
                              <w:r>
                                <w:rPr>
                                  <w:rFonts w:cstheme="minorHAnsi"/>
                                </w:rPr>
                                <w:t>ŘÍDICÍ VÝBOR</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 name="Zaoblený obdélník 13"/>
                        <wps:cNvSpPr/>
                        <wps:spPr>
                          <a:xfrm>
                            <a:off x="402099" y="461977"/>
                            <a:ext cx="2139950" cy="51435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0BC93E96" w14:textId="77777777" w:rsidR="00086EA9" w:rsidRDefault="00086EA9">
                              <w:pPr>
                                <w:spacing w:after="0"/>
                                <w:jc w:val="center"/>
                                <w:rPr>
                                  <w:rFonts w:cstheme="minorHAnsi"/>
                                  <w:sz w:val="18"/>
                                </w:rPr>
                              </w:pPr>
                              <w:r>
                                <w:rPr>
                                  <w:rFonts w:cstheme="minorHAnsi"/>
                                  <w:sz w:val="18"/>
                                </w:rPr>
                                <w:t>MŠMT, MPO,</w:t>
                              </w:r>
                            </w:p>
                            <w:p w14:paraId="4272A68E" w14:textId="3B708CEF" w:rsidR="00086EA9" w:rsidRDefault="00086EA9">
                              <w:pPr>
                                <w:spacing w:after="0"/>
                                <w:jc w:val="center"/>
                                <w:rPr>
                                  <w:rFonts w:cstheme="minorHAnsi"/>
                                </w:rPr>
                              </w:pPr>
                              <w:r>
                                <w:rPr>
                                  <w:rFonts w:cstheme="minorHAnsi"/>
                                  <w:sz w:val="18"/>
                                </w:rPr>
                                <w:t>ČKR, AV ČR,</w:t>
                              </w:r>
                              <w:r>
                                <w:t xml:space="preserve"> </w:t>
                              </w:r>
                              <w:r>
                                <w:rPr>
                                  <w:rFonts w:cstheme="minorHAnsi"/>
                                  <w:sz w:val="18"/>
                                </w:rPr>
                                <w:t>TAČR, GAČR</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8" name="Zaoblený obdélník 18"/>
                        <wps:cNvSpPr/>
                        <wps:spPr>
                          <a:xfrm>
                            <a:off x="78249" y="1315077"/>
                            <a:ext cx="2063750" cy="584200"/>
                          </a:xfrm>
                          <a:prstGeom prst="roundRect">
                            <a:avLst/>
                          </a:prstGeom>
                        </wps:spPr>
                        <wps:style>
                          <a:lnRef idx="3">
                            <a:schemeClr val="lt1"/>
                          </a:lnRef>
                          <a:fillRef idx="1">
                            <a:schemeClr val="accent1"/>
                          </a:fillRef>
                          <a:effectRef idx="1">
                            <a:schemeClr val="accent1"/>
                          </a:effectRef>
                          <a:fontRef idx="minor">
                            <a:schemeClr val="lt1"/>
                          </a:fontRef>
                        </wps:style>
                        <wps:txbx>
                          <w:txbxContent>
                            <w:p w14:paraId="338DE82A" w14:textId="77777777" w:rsidR="00086EA9" w:rsidRDefault="00086EA9">
                              <w:pPr>
                                <w:pStyle w:val="Normlnweb"/>
                                <w:spacing w:before="0" w:beforeAutospacing="0" w:after="0" w:afterAutospacing="0"/>
                                <w:jc w:val="center"/>
                                <w:rPr>
                                  <w:rFonts w:asciiTheme="minorHAnsi" w:hAnsiTheme="minorHAnsi" w:cstheme="minorHAnsi"/>
                                  <w:sz w:val="22"/>
                                  <w:szCs w:val="22"/>
                                </w:rPr>
                              </w:pPr>
                              <w:r>
                                <w:rPr>
                                  <w:rFonts w:asciiTheme="minorHAnsi" w:hAnsiTheme="minorHAnsi" w:cstheme="minorHAnsi"/>
                                  <w:sz w:val="22"/>
                                  <w:szCs w:val="22"/>
                                </w:rPr>
                                <w:t>VÝKONNÝ VÝBOR</w:t>
                              </w:r>
                            </w:p>
                          </w:txbxContent>
                        </wps:txbx>
                        <wps:bodyPr rot="0" spcFirstLastPara="0" vert="horz" wrap="square" lIns="91440" tIns="45720" rIns="91440" bIns="45720" numCol="1" spcCol="0" rtlCol="0" fromWordArt="0" anchor="ctr" anchorCtr="0" forceAA="0" compatLnSpc="1">
                          <a:noAutofit/>
                        </wps:bodyPr>
                      </wps:wsp>
                      <wps:wsp>
                        <wps:cNvPr id="19" name="Zaoblený obdélník 19"/>
                        <wps:cNvSpPr/>
                        <wps:spPr>
                          <a:xfrm>
                            <a:off x="402099" y="1740527"/>
                            <a:ext cx="2139950" cy="4550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1EEB6D1E" w14:textId="77777777" w:rsidR="00086EA9" w:rsidRDefault="00086EA9">
                              <w:pPr>
                                <w:pStyle w:val="Normlnweb"/>
                                <w:spacing w:before="0" w:beforeAutospacing="0" w:after="0" w:afterAutospacing="0"/>
                                <w:jc w:val="center"/>
                                <w:rPr>
                                  <w:rFonts w:asciiTheme="minorHAnsi" w:hAnsiTheme="minorHAnsi" w:cstheme="minorHAnsi"/>
                                  <w:sz w:val="18"/>
                                  <w:szCs w:val="22"/>
                                </w:rPr>
                              </w:pPr>
                              <w:r>
                                <w:rPr>
                                  <w:rFonts w:asciiTheme="minorHAnsi" w:hAnsiTheme="minorHAnsi" w:cstheme="minorHAnsi"/>
                                  <w:sz w:val="18"/>
                                  <w:szCs w:val="22"/>
                                </w:rPr>
                                <w:t>TC AV ČR, NVF, SOÚ AVČR – NKC, SSČ AV ČR – EURAXESS ČR</w:t>
                              </w:r>
                              <w:r>
                                <w:rPr>
                                  <w:rFonts w:asciiTheme="minorHAnsi" w:hAnsiTheme="minorHAnsi" w:cstheme="minorHAnsi"/>
                                  <w:sz w:val="22"/>
                                  <w:szCs w:val="22"/>
                                </w:rPr>
                                <w:t> </w:t>
                              </w:r>
                            </w:p>
                            <w:p w14:paraId="48C5E958" w14:textId="77777777" w:rsidR="00086EA9" w:rsidRDefault="00086EA9">
                              <w:pPr>
                                <w:pStyle w:val="Normlnweb"/>
                                <w:jc w:val="center"/>
                                <w:rPr>
                                  <w:rFonts w:asciiTheme="minorHAnsi" w:hAnsiTheme="minorHAnsi" w:cstheme="minorHAnsi"/>
                                  <w:sz w:val="22"/>
                                  <w:szCs w:val="22"/>
                                </w:rPr>
                              </w:pPr>
                            </w:p>
                          </w:txbxContent>
                        </wps:txbx>
                        <wps:bodyPr rot="0" spcFirstLastPara="0" vert="horz" wrap="square" lIns="91440" tIns="45720" rIns="91440" bIns="45720" numCol="1" spcCol="0" rtlCol="0" fromWordArt="0" anchor="ctr" anchorCtr="0" forceAA="0" compatLnSpc="1">
                          <a:noAutofit/>
                        </wps:bodyPr>
                      </wps:wsp>
                      <wps:wsp>
                        <wps:cNvPr id="21" name="Zaoblený obdélník 21"/>
                        <wps:cNvSpPr/>
                        <wps:spPr>
                          <a:xfrm>
                            <a:off x="2785549" y="1315077"/>
                            <a:ext cx="2063750" cy="584200"/>
                          </a:xfrm>
                          <a:prstGeom prst="roundRect">
                            <a:avLst/>
                          </a:prstGeom>
                        </wps:spPr>
                        <wps:style>
                          <a:lnRef idx="3">
                            <a:schemeClr val="lt1"/>
                          </a:lnRef>
                          <a:fillRef idx="1">
                            <a:schemeClr val="accent6"/>
                          </a:fillRef>
                          <a:effectRef idx="1">
                            <a:schemeClr val="accent6"/>
                          </a:effectRef>
                          <a:fontRef idx="minor">
                            <a:schemeClr val="lt1"/>
                          </a:fontRef>
                        </wps:style>
                        <wps:txbx>
                          <w:txbxContent>
                            <w:p w14:paraId="6AEC8F83" w14:textId="77777777" w:rsidR="00086EA9" w:rsidRDefault="00086EA9">
                              <w:pPr>
                                <w:pStyle w:val="Normlnweb"/>
                                <w:spacing w:before="0" w:beforeAutospacing="0" w:after="0" w:afterAutospacing="0"/>
                                <w:jc w:val="center"/>
                                <w:rPr>
                                  <w:rFonts w:asciiTheme="minorHAnsi" w:hAnsiTheme="minorHAnsi" w:cstheme="minorHAnsi"/>
                                  <w:sz w:val="22"/>
                                  <w:szCs w:val="22"/>
                                </w:rPr>
                              </w:pPr>
                              <w:r>
                                <w:rPr>
                                  <w:rFonts w:asciiTheme="minorHAnsi" w:hAnsiTheme="minorHAnsi" w:cstheme="minorHAnsi"/>
                                  <w:sz w:val="22"/>
                                  <w:szCs w:val="22"/>
                                </w:rPr>
                                <w:t>VĚDECKÁ RADA</w:t>
                              </w:r>
                            </w:p>
                          </w:txbxContent>
                        </wps:txbx>
                        <wps:bodyPr rot="0" spcFirstLastPara="0" vert="horz" wrap="square" lIns="91440" tIns="45720" rIns="91440" bIns="45720" numCol="1" spcCol="0" rtlCol="0" fromWordArt="0" anchor="ctr" anchorCtr="0" forceAA="0" compatLnSpc="1">
                          <a:noAutofit/>
                        </wps:bodyPr>
                      </wps:wsp>
                      <wps:wsp>
                        <wps:cNvPr id="22" name="Zaoblený obdélník 22"/>
                        <wps:cNvSpPr/>
                        <wps:spPr>
                          <a:xfrm>
                            <a:off x="3109399" y="1740527"/>
                            <a:ext cx="2139950" cy="33655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15F65B9F" w14:textId="77777777" w:rsidR="00086EA9" w:rsidRDefault="00086EA9">
                              <w:pPr>
                                <w:pStyle w:val="Normlnweb"/>
                                <w:spacing w:before="0" w:beforeAutospacing="0" w:after="0" w:afterAutospacing="0"/>
                                <w:jc w:val="center"/>
                                <w:rPr>
                                  <w:rFonts w:asciiTheme="minorHAnsi" w:hAnsiTheme="minorHAnsi" w:cstheme="minorHAnsi"/>
                                  <w:sz w:val="18"/>
                                  <w:szCs w:val="22"/>
                                </w:rPr>
                              </w:pPr>
                              <w:r>
                                <w:rPr>
                                  <w:rFonts w:asciiTheme="minorHAnsi" w:hAnsiTheme="minorHAnsi" w:cstheme="minorHAnsi"/>
                                  <w:sz w:val="18"/>
                                  <w:szCs w:val="22"/>
                                </w:rPr>
                                <w:t>ZAHRANIČNÍ ODBORNÍCI </w:t>
                              </w:r>
                            </w:p>
                          </w:txbxContent>
                        </wps:txbx>
                        <wps:bodyPr rot="0" spcFirstLastPara="0" vert="horz" wrap="square" lIns="91440" tIns="45720" rIns="91440" bIns="45720" numCol="1" spcCol="0" rtlCol="0" fromWordArt="0" anchor="ctr" anchorCtr="0" forceAA="0" compatLnSpc="1">
                          <a:noAutofit/>
                        </wps:bodyPr>
                      </wps:wsp>
                      <wps:wsp>
                        <wps:cNvPr id="23" name="Zaoblený obdélník 23"/>
                        <wps:cNvSpPr/>
                        <wps:spPr>
                          <a:xfrm>
                            <a:off x="35999" y="2585077"/>
                            <a:ext cx="2063750" cy="584200"/>
                          </a:xfrm>
                          <a:prstGeom prst="roundRect">
                            <a:avLst/>
                          </a:prstGeom>
                        </wps:spPr>
                        <wps:style>
                          <a:lnRef idx="3">
                            <a:schemeClr val="lt1"/>
                          </a:lnRef>
                          <a:fillRef idx="1">
                            <a:schemeClr val="accent3"/>
                          </a:fillRef>
                          <a:effectRef idx="1">
                            <a:schemeClr val="accent3"/>
                          </a:effectRef>
                          <a:fontRef idx="minor">
                            <a:schemeClr val="lt1"/>
                          </a:fontRef>
                        </wps:style>
                        <wps:txbx>
                          <w:txbxContent>
                            <w:p w14:paraId="6740DC7F" w14:textId="77777777" w:rsidR="00086EA9" w:rsidRDefault="00086EA9">
                              <w:pPr>
                                <w:pStyle w:val="Normlnweb"/>
                                <w:spacing w:before="0" w:beforeAutospacing="0" w:after="0" w:afterAutospacing="0"/>
                                <w:jc w:val="center"/>
                                <w:rPr>
                                  <w:rFonts w:asciiTheme="minorHAnsi" w:hAnsiTheme="minorHAnsi" w:cstheme="minorHAnsi"/>
                                  <w:sz w:val="22"/>
                                  <w:szCs w:val="22"/>
                                </w:rPr>
                              </w:pPr>
                              <w:r>
                                <w:rPr>
                                  <w:rFonts w:asciiTheme="minorHAnsi" w:hAnsiTheme="minorHAnsi" w:cstheme="minorHAnsi"/>
                                  <w:sz w:val="22"/>
                                  <w:szCs w:val="22"/>
                                </w:rPr>
                                <w:t xml:space="preserve">MODULY PROJEKTU </w:t>
                              </w:r>
                            </w:p>
                          </w:txbxContent>
                        </wps:txbx>
                        <wps:bodyPr rot="0" spcFirstLastPara="0" vert="horz" wrap="square" lIns="91440" tIns="45720" rIns="91440" bIns="45720" numCol="1" spcCol="0" rtlCol="0" fromWordArt="0" anchor="ctr" anchorCtr="0" forceAA="0" compatLnSpc="1">
                          <a:noAutofit/>
                        </wps:bodyPr>
                      </wps:wsp>
                      <wps:wsp>
                        <wps:cNvPr id="24" name="Zaoblený obdélník 24"/>
                        <wps:cNvSpPr/>
                        <wps:spPr>
                          <a:xfrm>
                            <a:off x="359849" y="3010527"/>
                            <a:ext cx="2139950" cy="336550"/>
                          </a:xfrm>
                          <a:prstGeom prst="roundRect">
                            <a:avLst/>
                          </a:prstGeom>
                        </wps:spPr>
                        <wps:style>
                          <a:lnRef idx="2">
                            <a:schemeClr val="accent3"/>
                          </a:lnRef>
                          <a:fillRef idx="1">
                            <a:schemeClr val="lt1"/>
                          </a:fillRef>
                          <a:effectRef idx="0">
                            <a:schemeClr val="accent3"/>
                          </a:effectRef>
                          <a:fontRef idx="minor">
                            <a:schemeClr val="dk1"/>
                          </a:fontRef>
                        </wps:style>
                        <wps:txbx>
                          <w:txbxContent>
                            <w:p w14:paraId="4A96D535" w14:textId="77777777" w:rsidR="00086EA9" w:rsidRDefault="00086EA9">
                              <w:pPr>
                                <w:pStyle w:val="Normlnweb"/>
                                <w:spacing w:before="0" w:beforeAutospacing="0" w:after="0" w:afterAutospacing="0"/>
                                <w:jc w:val="center"/>
                                <w:rPr>
                                  <w:rFonts w:asciiTheme="minorHAnsi" w:hAnsiTheme="minorHAnsi" w:cstheme="minorHAnsi"/>
                                  <w:sz w:val="22"/>
                                  <w:szCs w:val="22"/>
                                </w:rPr>
                              </w:pPr>
                              <w:r>
                                <w:rPr>
                                  <w:rFonts w:asciiTheme="minorHAnsi" w:hAnsiTheme="minorHAnsi" w:cstheme="minorHAnsi"/>
                                  <w:sz w:val="18"/>
                                  <w:szCs w:val="22"/>
                                </w:rPr>
                                <w:t>GARANTI MODULŮ</w:t>
                              </w:r>
                              <w:r>
                                <w:rPr>
                                  <w:rFonts w:asciiTheme="minorHAnsi" w:hAnsiTheme="minorHAnsi" w:cstheme="minorHAnsi"/>
                                  <w:sz w:val="22"/>
                                  <w:szCs w:val="22"/>
                                </w:rPr>
                                <w:t> </w:t>
                              </w:r>
                            </w:p>
                          </w:txbxContent>
                        </wps:txbx>
                        <wps:bodyPr rot="0" spcFirstLastPara="0" vert="horz" wrap="square" lIns="91440" tIns="45720" rIns="91440" bIns="45720" numCol="1" spcCol="0" rtlCol="0" fromWordArt="0" anchor="ctr" anchorCtr="0" forceAA="0" compatLnSpc="1">
                          <a:noAutofit/>
                        </wps:bodyPr>
                      </wps:wsp>
                      <wps:wsp>
                        <wps:cNvPr id="25" name="Přímá spojnice 25"/>
                        <wps:cNvCnPr/>
                        <wps:spPr>
                          <a:xfrm>
                            <a:off x="224299" y="665177"/>
                            <a:ext cx="0" cy="615950"/>
                          </a:xfrm>
                          <a:prstGeom prst="line">
                            <a:avLst/>
                          </a:prstGeom>
                        </wps:spPr>
                        <wps:style>
                          <a:lnRef idx="2">
                            <a:schemeClr val="dk1"/>
                          </a:lnRef>
                          <a:fillRef idx="0">
                            <a:schemeClr val="dk1"/>
                          </a:fillRef>
                          <a:effectRef idx="1">
                            <a:schemeClr val="dk1"/>
                          </a:effectRef>
                          <a:fontRef idx="minor">
                            <a:schemeClr val="tx1"/>
                          </a:fontRef>
                        </wps:style>
                        <wps:bodyPr/>
                      </wps:wsp>
                      <wps:wsp>
                        <wps:cNvPr id="26" name="Přímá spojnice 26"/>
                        <wps:cNvCnPr/>
                        <wps:spPr>
                          <a:xfrm>
                            <a:off x="226499" y="1931027"/>
                            <a:ext cx="0" cy="660400"/>
                          </a:xfrm>
                          <a:prstGeom prst="line">
                            <a:avLst/>
                          </a:prstGeom>
                        </wps:spPr>
                        <wps:style>
                          <a:lnRef idx="2">
                            <a:schemeClr val="dk1"/>
                          </a:lnRef>
                          <a:fillRef idx="0">
                            <a:schemeClr val="dk1"/>
                          </a:fillRef>
                          <a:effectRef idx="1">
                            <a:schemeClr val="dk1"/>
                          </a:effectRef>
                          <a:fontRef idx="minor">
                            <a:schemeClr val="tx1"/>
                          </a:fontRef>
                        </wps:style>
                        <wps:bodyPr/>
                      </wps:wsp>
                      <wps:wsp>
                        <wps:cNvPr id="27" name="Přímá spojnice 27"/>
                        <wps:cNvCnPr/>
                        <wps:spPr>
                          <a:xfrm>
                            <a:off x="2194999" y="1575427"/>
                            <a:ext cx="531200" cy="0"/>
                          </a:xfrm>
                          <a:prstGeom prst="line">
                            <a:avLst/>
                          </a:prstGeom>
                        </wps:spPr>
                        <wps:style>
                          <a:lnRef idx="2">
                            <a:schemeClr val="dk1"/>
                          </a:lnRef>
                          <a:fillRef idx="0">
                            <a:schemeClr val="dk1"/>
                          </a:fillRef>
                          <a:effectRef idx="1">
                            <a:schemeClr val="dk1"/>
                          </a:effectRef>
                          <a:fontRef idx="minor">
                            <a:schemeClr val="tx1"/>
                          </a:fontRef>
                        </wps:style>
                        <wps:bodyPr/>
                      </wps:wsp>
                      <wps:wsp>
                        <wps:cNvPr id="28" name="Pravoúhlá spojnice 28"/>
                        <wps:cNvCnPr>
                          <a:stCxn id="9" idx="3"/>
                          <a:endCxn id="21" idx="0"/>
                        </wps:cNvCnPr>
                        <wps:spPr>
                          <a:xfrm>
                            <a:off x="2141999" y="328627"/>
                            <a:ext cx="1675425" cy="986450"/>
                          </a:xfrm>
                          <a:prstGeom prst="bentConnector2">
                            <a:avLst/>
                          </a:prstGeom>
                          <a:ln>
                            <a:prstDash val="dash"/>
                          </a:ln>
                        </wps:spPr>
                        <wps:style>
                          <a:lnRef idx="2">
                            <a:schemeClr val="dk1"/>
                          </a:lnRef>
                          <a:fillRef idx="0">
                            <a:schemeClr val="dk1"/>
                          </a:fillRef>
                          <a:effectRef idx="1">
                            <a:schemeClr val="dk1"/>
                          </a:effectRef>
                          <a:fontRef idx="minor">
                            <a:schemeClr val="tx1"/>
                          </a:fontRef>
                        </wps:style>
                        <wps:bodyPr/>
                      </wps:wsp>
                    </wpc:wpc>
                  </a:graphicData>
                </a:graphic>
              </wp:inline>
            </w:drawing>
          </mc:Choice>
          <mc:Fallback>
            <w:pict>
              <v:group w14:anchorId="6EA4AFFF" id="Plátno 6" o:spid="_x0000_s1026" editas="canvas" style="width:413.3pt;height:263.5pt;mso-position-horizontal-relative:char;mso-position-vertical-relative:line" coordsize="52489,33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">
                <v:shape id="_x0000_s1027" type="#_x0000_t75" style="position:absolute;width:52489;height:33464;visibility:visible;mso-wrap-style:square">
                  <v:fill o:detectmouseclick="t"/>
                  <v:path o:connecttype="none"/>
                </v:shape>
                <v:roundrect id="Zaoblený obdélník 9" o:spid="_x0000_s1028" style="position:absolute;left:782;top:365;width:20637;height:58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" fillcolor="#c0504d [3205]" strokecolor="white [3201]" strokeweight="3pt">
                  <v:shadow on="t" color="black" opacity="24903f" origin=",.5" offset="0,.55556mm"/>
                  <v:textbox>
                    <w:txbxContent>
                      <w:p w14:paraId="0A879778" w14:textId="77777777" w:rsidR="00086EA9" w:rsidRDefault="00086EA9">
                        <w:pPr>
                          <w:jc w:val="center"/>
                          <w:rPr>
                            <w:rFonts w:cstheme="minorHAnsi"/>
                          </w:rPr>
                        </w:pPr>
                        <w:r>
                          <w:rPr>
                            <w:rFonts w:cstheme="minorHAnsi"/>
                          </w:rPr>
                          <w:t>ŘÍDICÍ VÝBOR</w:t>
                        </w:r>
                      </w:p>
                    </w:txbxContent>
                  </v:textbox>
                </v:roundrect>
                <v:roundrect id="Zaoblený obdélník 13" o:spid="_x0000_s1029" style="position:absolute;left:4020;top:4619;width:21400;height:51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" fillcolor="white [3201]" strokecolor="#c0504d [3205]" strokeweight="2pt">
                  <v:textbox>
                    <w:txbxContent>
                      <w:p w14:paraId="0BC93E96" w14:textId="77777777" w:rsidR="00086EA9" w:rsidRDefault="00086EA9">
                        <w:pPr>
                          <w:spacing w:after="0"/>
                          <w:jc w:val="center"/>
                          <w:rPr>
                            <w:rFonts w:cstheme="minorHAnsi"/>
                            <w:sz w:val="18"/>
                          </w:rPr>
                        </w:pPr>
                        <w:r>
                          <w:rPr>
                            <w:rFonts w:cstheme="minorHAnsi"/>
                            <w:sz w:val="18"/>
                          </w:rPr>
                          <w:t>MŠMT, MPO,</w:t>
                        </w:r>
                      </w:p>
                      <w:p w14:paraId="4272A68E" w14:textId="3B708CEF" w:rsidR="00086EA9" w:rsidRDefault="00086EA9">
                        <w:pPr>
                          <w:spacing w:after="0"/>
                          <w:jc w:val="center"/>
                          <w:rPr>
                            <w:rFonts w:cstheme="minorHAnsi"/>
                          </w:rPr>
                        </w:pPr>
                        <w:r>
                          <w:rPr>
                            <w:rFonts w:cstheme="minorHAnsi"/>
                            <w:sz w:val="18"/>
                          </w:rPr>
                          <w:t>ČKR, AV ČR,</w:t>
                        </w:r>
                        <w:r>
                          <w:t xml:space="preserve"> </w:t>
                        </w:r>
                        <w:r>
                          <w:rPr>
                            <w:rFonts w:cstheme="minorHAnsi"/>
                            <w:sz w:val="18"/>
                          </w:rPr>
                          <w:t>TAČR, GAČR</w:t>
                        </w:r>
                      </w:p>
                    </w:txbxContent>
                  </v:textbox>
                </v:roundrect>
                <v:roundrect id="Zaoblený obdélník 18" o:spid="_x0000_s1030" style="position:absolute;left:782;top:13150;width:20637;height:58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" fillcolor="#4f81bd [3204]" strokecolor="white [3201]" strokeweight="3pt">
                  <v:shadow on="t" color="black" opacity="24903f" origin=",.5" offset="0,.55556mm"/>
                  <v:textbox>
                    <w:txbxContent>
                      <w:p w14:paraId="338DE82A" w14:textId="77777777" w:rsidR="00086EA9" w:rsidRDefault="00086EA9">
                        <w:pPr>
                          <w:pStyle w:val="Normlnweb"/>
                          <w:spacing w:before="0" w:beforeAutospacing="0" w:after="0" w:afterAutospacing="0"/>
                          <w:jc w:val="center"/>
                          <w:rPr>
                            <w:rFonts w:asciiTheme="minorHAnsi" w:hAnsiTheme="minorHAnsi" w:cstheme="minorHAnsi"/>
                            <w:sz w:val="22"/>
                            <w:szCs w:val="22"/>
                          </w:rPr>
                        </w:pPr>
                        <w:r>
                          <w:rPr>
                            <w:rFonts w:asciiTheme="minorHAnsi" w:hAnsiTheme="minorHAnsi" w:cstheme="minorHAnsi"/>
                            <w:sz w:val="22"/>
                            <w:szCs w:val="22"/>
                          </w:rPr>
                          <w:t>VÝKONNÝ VÝBOR</w:t>
                        </w:r>
                      </w:p>
                    </w:txbxContent>
                  </v:textbox>
                </v:roundrect>
                <v:roundrect id="Zaoblený obdélník 19" o:spid="_x0000_s1031" style="position:absolute;left:4020;top:17405;width:21400;height:45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" fillcolor="white [3201]" strokecolor="#4f81bd [3204]" strokeweight="2pt">
                  <v:textbox>
                    <w:txbxContent>
                      <w:p w14:paraId="1EEB6D1E" w14:textId="77777777" w:rsidR="00086EA9" w:rsidRDefault="00086EA9">
                        <w:pPr>
                          <w:pStyle w:val="Normlnweb"/>
                          <w:spacing w:before="0" w:beforeAutospacing="0" w:after="0" w:afterAutospacing="0"/>
                          <w:jc w:val="center"/>
                          <w:rPr>
                            <w:rFonts w:asciiTheme="minorHAnsi" w:hAnsiTheme="minorHAnsi" w:cstheme="minorHAnsi"/>
                            <w:sz w:val="18"/>
                            <w:szCs w:val="22"/>
                          </w:rPr>
                        </w:pPr>
                        <w:r>
                          <w:rPr>
                            <w:rFonts w:asciiTheme="minorHAnsi" w:hAnsiTheme="minorHAnsi" w:cstheme="minorHAnsi"/>
                            <w:sz w:val="18"/>
                            <w:szCs w:val="22"/>
                          </w:rPr>
                          <w:t>TC AV ČR, NVF, SOÚ AVČR – NKC, SSČ AV ČR – EURAXESS ČR</w:t>
                        </w:r>
                        <w:r>
                          <w:rPr>
                            <w:rFonts w:asciiTheme="minorHAnsi" w:hAnsiTheme="minorHAnsi" w:cstheme="minorHAnsi"/>
                            <w:sz w:val="22"/>
                            <w:szCs w:val="22"/>
                          </w:rPr>
                          <w:t> </w:t>
                        </w:r>
                      </w:p>
                      <w:p w14:paraId="48C5E958" w14:textId="77777777" w:rsidR="00086EA9" w:rsidRDefault="00086EA9">
                        <w:pPr>
                          <w:pStyle w:val="Normlnweb"/>
                          <w:jc w:val="center"/>
                          <w:rPr>
                            <w:rFonts w:asciiTheme="minorHAnsi" w:hAnsiTheme="minorHAnsi" w:cstheme="minorHAnsi"/>
                            <w:sz w:val="22"/>
                            <w:szCs w:val="22"/>
                          </w:rPr>
                        </w:pPr>
                      </w:p>
                    </w:txbxContent>
                  </v:textbox>
                </v:roundrect>
                <v:roundrect id="Zaoblený obdélník 21" o:spid="_x0000_s1032" style="position:absolute;left:27855;top:13150;width:20637;height:58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" fillcolor="#f79646 [3209]" strokecolor="white [3201]" strokeweight="3pt">
                  <v:shadow on="t" color="black" opacity="24903f" origin=",.5" offset="0,.55556mm"/>
                  <v:textbox>
                    <w:txbxContent>
                      <w:p w14:paraId="6AEC8F83" w14:textId="77777777" w:rsidR="00086EA9" w:rsidRDefault="00086EA9">
                        <w:pPr>
                          <w:pStyle w:val="Normlnweb"/>
                          <w:spacing w:before="0" w:beforeAutospacing="0" w:after="0" w:afterAutospacing="0"/>
                          <w:jc w:val="center"/>
                          <w:rPr>
                            <w:rFonts w:asciiTheme="minorHAnsi" w:hAnsiTheme="minorHAnsi" w:cstheme="minorHAnsi"/>
                            <w:sz w:val="22"/>
                            <w:szCs w:val="22"/>
                          </w:rPr>
                        </w:pPr>
                        <w:r>
                          <w:rPr>
                            <w:rFonts w:asciiTheme="minorHAnsi" w:hAnsiTheme="minorHAnsi" w:cstheme="minorHAnsi"/>
                            <w:sz w:val="22"/>
                            <w:szCs w:val="22"/>
                          </w:rPr>
                          <w:t>VĚDECKÁ RADA</w:t>
                        </w:r>
                      </w:p>
                    </w:txbxContent>
                  </v:textbox>
                </v:roundrect>
                <v:roundrect id="Zaoblený obdélník 22" o:spid="_x0000_s1033" style="position:absolute;left:31093;top:17405;width:21400;height:33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" fillcolor="white [3201]" strokecolor="#f79646 [3209]" strokeweight="2pt">
                  <v:textbox>
                    <w:txbxContent>
                      <w:p w14:paraId="15F65B9F" w14:textId="77777777" w:rsidR="00086EA9" w:rsidRDefault="00086EA9">
                        <w:pPr>
                          <w:pStyle w:val="Normlnweb"/>
                          <w:spacing w:before="0" w:beforeAutospacing="0" w:after="0" w:afterAutospacing="0"/>
                          <w:jc w:val="center"/>
                          <w:rPr>
                            <w:rFonts w:asciiTheme="minorHAnsi" w:hAnsiTheme="minorHAnsi" w:cstheme="minorHAnsi"/>
                            <w:sz w:val="18"/>
                            <w:szCs w:val="22"/>
                          </w:rPr>
                        </w:pPr>
                        <w:r>
                          <w:rPr>
                            <w:rFonts w:asciiTheme="minorHAnsi" w:hAnsiTheme="minorHAnsi" w:cstheme="minorHAnsi"/>
                            <w:sz w:val="18"/>
                            <w:szCs w:val="22"/>
                          </w:rPr>
                          <w:t>ZAHRANIČNÍ ODBORNÍCI </w:t>
                        </w:r>
                      </w:p>
                    </w:txbxContent>
                  </v:textbox>
                </v:roundrect>
                <v:roundrect id="Zaoblený obdélník 23" o:spid="_x0000_s1034" style="position:absolute;left:359;top:25850;width:20638;height:58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" fillcolor="#9bbb59 [3206]" strokecolor="white [3201]" strokeweight="3pt">
                  <v:shadow on="t" color="black" opacity="24903f" origin=",.5" offset="0,.55556mm"/>
                  <v:textbox>
                    <w:txbxContent>
                      <w:p w14:paraId="6740DC7F" w14:textId="77777777" w:rsidR="00086EA9" w:rsidRDefault="00086EA9">
                        <w:pPr>
                          <w:pStyle w:val="Normlnweb"/>
                          <w:spacing w:before="0" w:beforeAutospacing="0" w:after="0" w:afterAutospacing="0"/>
                          <w:jc w:val="center"/>
                          <w:rPr>
                            <w:rFonts w:asciiTheme="minorHAnsi" w:hAnsiTheme="minorHAnsi" w:cstheme="minorHAnsi"/>
                            <w:sz w:val="22"/>
                            <w:szCs w:val="22"/>
                          </w:rPr>
                        </w:pPr>
                        <w:r>
                          <w:rPr>
                            <w:rFonts w:asciiTheme="minorHAnsi" w:hAnsiTheme="minorHAnsi" w:cstheme="minorHAnsi"/>
                            <w:sz w:val="22"/>
                            <w:szCs w:val="22"/>
                          </w:rPr>
                          <w:t xml:space="preserve">MODULY PROJEKTU </w:t>
                        </w:r>
                      </w:p>
                    </w:txbxContent>
                  </v:textbox>
                </v:roundrect>
                <v:roundrect id="Zaoblený obdélník 24" o:spid="_x0000_s1035" style="position:absolute;left:3598;top:30105;width:21399;height:33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" fillcolor="white [3201]" strokecolor="#9bbb59 [3206]" strokeweight="2pt">
                  <v:textbox>
                    <w:txbxContent>
                      <w:p w14:paraId="4A96D535" w14:textId="77777777" w:rsidR="00086EA9" w:rsidRDefault="00086EA9">
                        <w:pPr>
                          <w:pStyle w:val="Normlnweb"/>
                          <w:spacing w:before="0" w:beforeAutospacing="0" w:after="0" w:afterAutospacing="0"/>
                          <w:jc w:val="center"/>
                          <w:rPr>
                            <w:rFonts w:asciiTheme="minorHAnsi" w:hAnsiTheme="minorHAnsi" w:cstheme="minorHAnsi"/>
                            <w:sz w:val="22"/>
                            <w:szCs w:val="22"/>
                          </w:rPr>
                        </w:pPr>
                        <w:r>
                          <w:rPr>
                            <w:rFonts w:asciiTheme="minorHAnsi" w:hAnsiTheme="minorHAnsi" w:cstheme="minorHAnsi"/>
                            <w:sz w:val="18"/>
                            <w:szCs w:val="22"/>
                          </w:rPr>
                          <w:t>GARANTI MODULŮ</w:t>
                        </w:r>
                        <w:r>
                          <w:rPr>
                            <w:rFonts w:asciiTheme="minorHAnsi" w:hAnsiTheme="minorHAnsi" w:cstheme="minorHAnsi"/>
                            <w:sz w:val="22"/>
                            <w:szCs w:val="22"/>
                          </w:rPr>
                          <w:t> </w:t>
                        </w:r>
                      </w:p>
                    </w:txbxContent>
                  </v:textbox>
                </v:roundrect>
                <v:line id="Přímá spojnice 25" o:spid="_x0000_s1036" style="position:absolute;visibility:visible;mso-wrap-style:square" from="2242,6651" to="2242,12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" strokecolor="black [3200]" strokeweight="2pt">
                  <v:shadow on="t" color="black" opacity="24903f" origin=",.5" offset="0,.55556mm"/>
                </v:line>
                <v:line id="Přímá spojnice 26" o:spid="_x0000_s1037" style="position:absolute;visibility:visible;mso-wrap-style:square" from="2264,19310" to="2264,25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" strokecolor="black [3200]" strokeweight="2pt">
                  <v:shadow on="t" color="black" opacity="24903f" origin=",.5" offset="0,.55556mm"/>
                </v:line>
                <v:line id="Přímá spojnice 27" o:spid="_x0000_s1038" style="position:absolute;visibility:visible;mso-wrap-style:square" from="21949,15754" to="27261,15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" strokecolor="black [3200]" strokeweight="2pt">
                  <v:shadow on="t" color="black" opacity="24903f" origin=",.5" offset="0,.55556mm"/>
                </v:line>
                <v:shapetype id="_x0000_t33" coordsize="21600,21600" o:spt="33" o:oned="t" path="m,l21600,r,21600e" filled="f">
                  <v:stroke joinstyle="miter"/>
                  <v:path arrowok="t" fillok="f" o:connecttype="none"/>
                  <o:lock v:ext="edit" shapetype="t"/>
                </v:shapetype>
                <v:shape id="Pravoúhlá spojnice 28" o:spid="_x0000_s1039" type="#_x0000_t33" style="position:absolute;left:21419;top:3286;width:16755;height:986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" strokecolor="black [3200]" strokeweight="2pt">
                  <v:stroke dashstyle="dash"/>
                  <v:shadow on="t" color="black" opacity="24903f" origin=",.5" offset="0,.55556mm"/>
                </v:shape>
                <w10:anchorlock/>
              </v:group>
            </w:pict>
          </mc:Fallback>
        </mc:AlternateContent>
      </w:r>
    </w:p>
    <w:p w14:paraId="089A266A" w14:textId="77777777" w:rsidR="00104BDD" w:rsidRDefault="00BD5DD5">
      <w:pPr>
        <w:pStyle w:val="Nadpis2"/>
      </w:pPr>
      <w:r>
        <w:t xml:space="preserve"> </w:t>
      </w:r>
      <w:bookmarkStart w:id="62" w:name="_Toc67906092"/>
      <w:r>
        <w:t>Řídicí výbor</w:t>
      </w:r>
      <w:bookmarkEnd w:id="62"/>
    </w:p>
    <w:p w14:paraId="1CC05BE5" w14:textId="2525FDA6" w:rsidR="00104BDD" w:rsidRPr="00CB3158" w:rsidRDefault="00BD5DD5">
      <w:pPr>
        <w:spacing w:after="0" w:line="240" w:lineRule="auto"/>
        <w:jc w:val="both"/>
      </w:pPr>
      <w:bookmarkStart w:id="63" w:name="_Hlk64983207"/>
      <w:r>
        <w:t xml:space="preserve">Řídicí výbor bude </w:t>
      </w:r>
      <w:r>
        <w:rPr>
          <w:b/>
        </w:rPr>
        <w:t>dohlížet, zda jsou</w:t>
      </w:r>
      <w:r>
        <w:t xml:space="preserve"> </w:t>
      </w:r>
      <w:r>
        <w:rPr>
          <w:b/>
        </w:rPr>
        <w:t xml:space="preserve">aktivity projektu sdílených činností realizovány plně v souladu s projektovým záměrem a odpovídají i potřebám cílové / uživatelské komunity </w:t>
      </w:r>
      <w:r>
        <w:t xml:space="preserve">projektu sdílených činností. V tomto ohledu bude moci řídicí výbor navrhovat modifikaci dílčích aktivit projektu sdílených činností tak, aby poptávku cílové / uživatelské komunity reflektovaly vhodnějším způsobem, pokud bude zjištěno, že jednotlivé aktivity projektu sdílených činností potřebám cílové / uživatelské komunity plně neodpovídají. </w:t>
      </w:r>
      <w:r>
        <w:rPr>
          <w:b/>
        </w:rPr>
        <w:t xml:space="preserve">Řídicí výbor </w:t>
      </w:r>
      <w:r w:rsidR="00A0255D">
        <w:rPr>
          <w:b/>
        </w:rPr>
        <w:t>bude takto určovat</w:t>
      </w:r>
      <w:r>
        <w:rPr>
          <w:b/>
        </w:rPr>
        <w:t xml:space="preserve"> strategick</w:t>
      </w:r>
      <w:r w:rsidR="00A0255D">
        <w:rPr>
          <w:b/>
        </w:rPr>
        <w:t>ou</w:t>
      </w:r>
      <w:r>
        <w:rPr>
          <w:b/>
        </w:rPr>
        <w:t xml:space="preserve"> orientaci projektu sdílených činností</w:t>
      </w:r>
      <w:r>
        <w:t>. Ve spolupráci s výkonným výborem bude vyhodnocovat efektivitu vykonávaných aktivit a navrhovat i jejich eventuální úpravy.</w:t>
      </w:r>
      <w:r w:rsidR="00151755">
        <w:t xml:space="preserve"> </w:t>
      </w:r>
      <w:r w:rsidR="00151755" w:rsidRPr="00CB3158">
        <w:rPr>
          <w:iCs/>
        </w:rPr>
        <w:t>V</w:t>
      </w:r>
      <w:r w:rsidR="001C49E0" w:rsidRPr="00CB3158">
        <w:rPr>
          <w:iCs/>
        </w:rPr>
        <w:t> </w:t>
      </w:r>
      <w:r w:rsidR="00151755" w:rsidRPr="00CB3158">
        <w:rPr>
          <w:iCs/>
        </w:rPr>
        <w:t>případě, že by projekt sdílených činností nenaplňoval potřeby cílové / uživatelské komunity uspokojivým způsobem, bude jeho realizace na základě materiálu předloženého vládě ČR ukončena.</w:t>
      </w:r>
    </w:p>
    <w:bookmarkEnd w:id="63"/>
    <w:p w14:paraId="1A921A30" w14:textId="3D5B0920" w:rsidR="00104BDD" w:rsidRDefault="00104BDD">
      <w:pPr>
        <w:spacing w:after="0" w:line="240" w:lineRule="auto"/>
        <w:jc w:val="both"/>
      </w:pPr>
    </w:p>
    <w:p w14:paraId="2963BA8D" w14:textId="3D80A0AC" w:rsidR="007A57F0" w:rsidRPr="00531CD6" w:rsidRDefault="007A57F0" w:rsidP="004663F1">
      <w:pPr>
        <w:spacing w:line="240" w:lineRule="auto"/>
        <w:jc w:val="both"/>
        <w:rPr>
          <w:b/>
          <w:iCs/>
          <w:color w:val="000000"/>
        </w:rPr>
      </w:pPr>
      <w:r w:rsidRPr="00531CD6">
        <w:rPr>
          <w:b/>
          <w:iCs/>
          <w:color w:val="000000"/>
        </w:rPr>
        <w:t>V případě pozitivních zkušeností a na základě kladného hodnocení v rámci evaluace projektu může Řídicí výbor doporučit neukončovat projekt na konci roku 2024 a</w:t>
      </w:r>
      <w:r w:rsidR="002B1791">
        <w:rPr>
          <w:b/>
          <w:iCs/>
          <w:color w:val="000000"/>
        </w:rPr>
        <w:t> </w:t>
      </w:r>
      <w:r w:rsidRPr="00531CD6">
        <w:rPr>
          <w:b/>
          <w:iCs/>
          <w:color w:val="000000"/>
        </w:rPr>
        <w:t xml:space="preserve">navrhnout jeho pokračování do konce programového období, které může na základě tohoto doporučení schválit </w:t>
      </w:r>
      <w:r w:rsidR="00531CD6">
        <w:rPr>
          <w:b/>
          <w:iCs/>
          <w:color w:val="000000"/>
        </w:rPr>
        <w:t>v</w:t>
      </w:r>
      <w:r w:rsidRPr="00531CD6">
        <w:rPr>
          <w:b/>
          <w:iCs/>
          <w:color w:val="000000"/>
        </w:rPr>
        <w:t>láda</w:t>
      </w:r>
      <w:r w:rsidR="00531CD6">
        <w:rPr>
          <w:b/>
          <w:iCs/>
          <w:color w:val="000000"/>
        </w:rPr>
        <w:t xml:space="preserve"> ČR</w:t>
      </w:r>
      <w:r w:rsidRPr="00531CD6">
        <w:rPr>
          <w:b/>
          <w:iCs/>
          <w:color w:val="000000"/>
        </w:rPr>
        <w:t>.</w:t>
      </w:r>
    </w:p>
    <w:p w14:paraId="72036D8A" w14:textId="67DB890F" w:rsidR="00104BDD" w:rsidRDefault="00BD5DD5">
      <w:pPr>
        <w:spacing w:after="0" w:line="240" w:lineRule="auto"/>
        <w:jc w:val="both"/>
      </w:pPr>
      <w:r>
        <w:t xml:space="preserve">Řídicí výbor bude složen ze </w:t>
      </w:r>
      <w:r>
        <w:rPr>
          <w:b/>
        </w:rPr>
        <w:t>zástupců</w:t>
      </w:r>
      <w:r>
        <w:t xml:space="preserve"> </w:t>
      </w:r>
      <w:r>
        <w:rPr>
          <w:b/>
        </w:rPr>
        <w:t>relevantních orgánů státní správy ČR odpovědných za tvorbu výzkumné politiky a její implementaci i z představitelů stěžejních výzkumných subjektů</w:t>
      </w:r>
      <w:r>
        <w:t>. Členy řídicího výboru takto budou zástupci MŠMT, MPO, České konference rektorů, AV</w:t>
      </w:r>
      <w:r w:rsidR="00337AA6">
        <w:t xml:space="preserve"> </w:t>
      </w:r>
      <w:r>
        <w:t xml:space="preserve">ČR, TAČR, Grantové agentury ČR, případně dalších ústředních a jiných správních úřadů odpovědných za </w:t>
      </w:r>
      <w:proofErr w:type="spellStart"/>
      <w:r>
        <w:t>VaVaI</w:t>
      </w:r>
      <w:proofErr w:type="spellEnd"/>
      <w:r>
        <w:t xml:space="preserve"> v oblasti jejich působností. Každou z uvedených institucí bude na fóru řídicího výboru reprezentovat vždy </w:t>
      </w:r>
      <w:r>
        <w:rPr>
          <w:b/>
        </w:rPr>
        <w:t>1 zástupce s možností doplnění delegace o 1 dalšího experta</w:t>
      </w:r>
      <w:r>
        <w:t>. Předsedou řídicího výboru se stane zástupce MŠMT.</w:t>
      </w:r>
    </w:p>
    <w:p w14:paraId="5C81DBF2" w14:textId="1D8F5365" w:rsidR="00120671" w:rsidRDefault="00120671">
      <w:pPr>
        <w:spacing w:after="0" w:line="240" w:lineRule="auto"/>
        <w:jc w:val="both"/>
      </w:pPr>
    </w:p>
    <w:p w14:paraId="1E7EFF91" w14:textId="23B69C42" w:rsidR="00120671" w:rsidRDefault="00120671">
      <w:pPr>
        <w:spacing w:after="0" w:line="240" w:lineRule="auto"/>
        <w:jc w:val="both"/>
      </w:pPr>
      <w:r>
        <w:lastRenderedPageBreak/>
        <w:t xml:space="preserve">Zástupce Rady pro výzkum, vývoj a inovace </w:t>
      </w:r>
      <w:r w:rsidR="009F7B55">
        <w:t xml:space="preserve">a zástupce Svazu průmyslu a dopravy </w:t>
      </w:r>
      <w:r>
        <w:t>bud</w:t>
      </w:r>
      <w:r w:rsidR="009F7B55">
        <w:t>ou</w:t>
      </w:r>
      <w:r>
        <w:t xml:space="preserve"> zván</w:t>
      </w:r>
      <w:r w:rsidR="009F7B55">
        <w:t>i</w:t>
      </w:r>
      <w:r>
        <w:t xml:space="preserve"> na zasedání řídicího výboru jako host</w:t>
      </w:r>
      <w:r w:rsidR="009F7B55">
        <w:t>é</w:t>
      </w:r>
      <w:bookmarkStart w:id="64" w:name="_GoBack"/>
      <w:bookmarkEnd w:id="64"/>
      <w:r>
        <w:t>.</w:t>
      </w:r>
    </w:p>
    <w:p w14:paraId="088E39A0" w14:textId="77777777" w:rsidR="00104BDD" w:rsidRDefault="00104BDD">
      <w:pPr>
        <w:spacing w:after="0" w:line="240" w:lineRule="auto"/>
        <w:jc w:val="both"/>
      </w:pPr>
    </w:p>
    <w:p w14:paraId="53457794" w14:textId="77777777" w:rsidR="00104BDD" w:rsidRDefault="00BD5DD5">
      <w:pPr>
        <w:spacing w:after="120" w:line="240" w:lineRule="auto"/>
        <w:jc w:val="both"/>
      </w:pPr>
      <w:r>
        <w:t xml:space="preserve">Řídicí výbor se bude scházet </w:t>
      </w:r>
      <w:r>
        <w:rPr>
          <w:b/>
        </w:rPr>
        <w:t>nejméně třikrát ročně</w:t>
      </w:r>
      <w:r>
        <w:t xml:space="preserve">, přičemž na zasedáních řídicího výboru budou vždy vyhodnoceny činnosti realizované v rámci projektu sdílených činností za uplynulé období a odsouhlasen i plán aktivit pro období nadcházející. V tomto aspektu bude řídicí výbor úzce spolupracovat s výkonným výborem, kterýžto bude na jednání řídicího výboru předkládat periodické zprávy o realizovaných aktivitách a předkládat návrh aktivit pro budoucí období.    </w:t>
      </w:r>
    </w:p>
    <w:p w14:paraId="2B095B68" w14:textId="77777777" w:rsidR="00104BDD" w:rsidRDefault="00BD5DD5">
      <w:pPr>
        <w:pStyle w:val="Nadpis2"/>
      </w:pPr>
      <w:r>
        <w:t xml:space="preserve"> </w:t>
      </w:r>
      <w:bookmarkStart w:id="65" w:name="_Toc67906093"/>
      <w:r>
        <w:t>Výkonný výbor</w:t>
      </w:r>
      <w:bookmarkEnd w:id="65"/>
    </w:p>
    <w:p w14:paraId="21047B2D" w14:textId="77777777" w:rsidR="00104BDD" w:rsidRDefault="00BD5DD5">
      <w:pPr>
        <w:spacing w:after="0" w:line="240" w:lineRule="auto"/>
        <w:jc w:val="both"/>
      </w:pPr>
      <w:r>
        <w:t xml:space="preserve">Výkonný výbor bude koordinovat a řídit realizaci jednotlivých aktivit projektu sdílených činností, bude </w:t>
      </w:r>
      <w:r>
        <w:rPr>
          <w:b/>
        </w:rPr>
        <w:t>zodpovídat za realizaci aktivit projektu sdílených činností v souladu s projektovým záměrem, rozhodnutími řídicího výboru a potřebami cílové / uživatelské komunity</w:t>
      </w:r>
      <w:r>
        <w:t xml:space="preserve"> a takto bude plnit roli implementačního orgánu projektu. Výkonný výbor bude zpracovávat </w:t>
      </w:r>
      <w:r>
        <w:rPr>
          <w:b/>
        </w:rPr>
        <w:t>periodické zprávy o realizaci projektu sdílených činností</w:t>
      </w:r>
      <w:r>
        <w:t xml:space="preserve"> a předkládat je k projednání řídicímu výboru a poskytovateli, tzn. MŠMT. Bude zodpovědný za dodržování rozpočtu projektu a za efektivní hospodaření s poskytnutými finančními prostředky podpory.</w:t>
      </w:r>
    </w:p>
    <w:p w14:paraId="260E5C06" w14:textId="77777777" w:rsidR="001C49E0" w:rsidRDefault="001C49E0">
      <w:pPr>
        <w:spacing w:after="0" w:line="240" w:lineRule="auto"/>
        <w:jc w:val="both"/>
      </w:pPr>
    </w:p>
    <w:p w14:paraId="43F63162" w14:textId="074006DB" w:rsidR="00104BDD" w:rsidRDefault="00BD5DD5">
      <w:pPr>
        <w:spacing w:line="240" w:lineRule="auto"/>
        <w:jc w:val="both"/>
      </w:pPr>
      <w:r>
        <w:t xml:space="preserve">Výkonný výbor bude složen z </w:t>
      </w:r>
      <w:r>
        <w:rPr>
          <w:b/>
        </w:rPr>
        <w:t>příslušných zástupců příjemce</w:t>
      </w:r>
      <w:r>
        <w:t xml:space="preserve"> </w:t>
      </w:r>
      <w:r>
        <w:rPr>
          <w:b/>
        </w:rPr>
        <w:t>a dalších účastníků projektu</w:t>
      </w:r>
      <w:r>
        <w:t>, tzn., TC AV ČR – příjemce; a NVF, SOÚ AV</w:t>
      </w:r>
      <w:r w:rsidR="00337AA6">
        <w:t xml:space="preserve"> </w:t>
      </w:r>
      <w:r>
        <w:t>ČR a SSČ AV</w:t>
      </w:r>
      <w:r w:rsidR="00337AA6">
        <w:t xml:space="preserve"> </w:t>
      </w:r>
      <w:r>
        <w:t xml:space="preserve">ČR – další účastníci. Výkonný výbor se bude scházet </w:t>
      </w:r>
      <w:r>
        <w:rPr>
          <w:b/>
        </w:rPr>
        <w:t>nejméně třikrát ročně</w:t>
      </w:r>
      <w:r>
        <w:t xml:space="preserve"> a na svých jednáních bude projednávat stav řešení projektu a navrhovat opatření k projednání řídicím výborem s cílem zajištění efektivní, věcné a časové návaznosti realizovaných aktivit tak, aby tyto v maximální možné míře naplňovaly poptávku cílové / uživatelské komunity projektu. Výkonný výbor bude při implementaci projektu sdílených činností následovat návrhy a doporučení řídicího výboru.</w:t>
      </w:r>
    </w:p>
    <w:p w14:paraId="56D153BE" w14:textId="77777777" w:rsidR="00104BDD" w:rsidRDefault="00BD5DD5">
      <w:pPr>
        <w:pStyle w:val="Nadpis2"/>
      </w:pPr>
      <w:r>
        <w:t xml:space="preserve"> </w:t>
      </w:r>
      <w:bookmarkStart w:id="66" w:name="_Toc67906094"/>
      <w:r>
        <w:t>Vědecká rada</w:t>
      </w:r>
      <w:bookmarkEnd w:id="66"/>
    </w:p>
    <w:p w14:paraId="37868361" w14:textId="3DC0A1A2" w:rsidR="00104BDD" w:rsidRDefault="00BD5DD5">
      <w:pPr>
        <w:spacing w:after="0" w:line="240" w:lineRule="auto"/>
        <w:jc w:val="both"/>
      </w:pPr>
      <w:r>
        <w:t xml:space="preserve">Vědecká rada bude </w:t>
      </w:r>
      <w:r>
        <w:rPr>
          <w:b/>
        </w:rPr>
        <w:t>přispívat k vysoké vědecké úrovni projektu a bude vytvářet podmínky pro realizaci aktivit projektu v souladu s aktuálními světovými trendy</w:t>
      </w:r>
      <w:r>
        <w:t xml:space="preserve"> v oblasti politiky </w:t>
      </w:r>
      <w:proofErr w:type="spellStart"/>
      <w:r>
        <w:t>VaVaI</w:t>
      </w:r>
      <w:proofErr w:type="spellEnd"/>
      <w:r>
        <w:t xml:space="preserve">. Vědecká rada bude </w:t>
      </w:r>
      <w:r>
        <w:rPr>
          <w:b/>
        </w:rPr>
        <w:t>složena z předních zahraničních odborníků</w:t>
      </w:r>
      <w:r>
        <w:t xml:space="preserve">. Bude se scházet </w:t>
      </w:r>
      <w:r>
        <w:rPr>
          <w:b/>
        </w:rPr>
        <w:t>jednou za 2 roky</w:t>
      </w:r>
      <w:r>
        <w:t xml:space="preserve">, společně se zástupci výkonného a řídicího výboru. Na jejím jednání budou posouzeny aktivity projektu realizované v uplynulém období i další plánované činnosti a bude doporučeno, jakým směrem projekt odborně zaměřit tak, aby reflektoval vůbec nejaktuálnější a nejnovější metody a přístupy, co do poskytování strategické inteligence pro politiku </w:t>
      </w:r>
      <w:proofErr w:type="spellStart"/>
      <w:r>
        <w:t>VaVaI</w:t>
      </w:r>
      <w:proofErr w:type="spellEnd"/>
      <w:r w:rsidR="00A51E22">
        <w:t xml:space="preserve"> </w:t>
      </w:r>
      <w:r w:rsidR="00A51E22" w:rsidRPr="00A51E22">
        <w:t xml:space="preserve">v oblastech internacionalizace </w:t>
      </w:r>
      <w:proofErr w:type="spellStart"/>
      <w:r w:rsidR="00A51E22" w:rsidRPr="00A51E22">
        <w:t>VaVaI</w:t>
      </w:r>
      <w:proofErr w:type="spellEnd"/>
      <w:r w:rsidR="00A51E22" w:rsidRPr="00A51E22">
        <w:t>, rozvoje velkých výzkumných infrastruktur, rozvoje lidských zdrojů, výzkumné, inovační a technologické specializace ČR, rozvoje lidských zdrojů a kapacit pro výzkum a inovace, otázek genderu a podmínek pro uplatnění žen ve vědě, uvedených v kapitole 1.2</w:t>
      </w:r>
      <w:r>
        <w:t xml:space="preserve">. Vědecká rada bude složena z vysoce renomovaných odborníků pro jednotlivé oblasti činností projektu. </w:t>
      </w:r>
      <w:r>
        <w:rPr>
          <w:b/>
        </w:rPr>
        <w:t xml:space="preserve">Složení bude navrhovat výkonný výbor </w:t>
      </w:r>
      <w:r w:rsidR="004B2276">
        <w:rPr>
          <w:b/>
        </w:rPr>
        <w:t xml:space="preserve">s ohledem na vyrovnané zastoupení mužů a žen </w:t>
      </w:r>
      <w:r>
        <w:rPr>
          <w:b/>
        </w:rPr>
        <w:t>a schvalovat řídicí výbor</w:t>
      </w:r>
      <w:r>
        <w:t>. Hlavní kritéria pro nominace do vědecké rady projektu budou:</w:t>
      </w:r>
    </w:p>
    <w:p w14:paraId="3E6AF488" w14:textId="77777777" w:rsidR="00104BDD" w:rsidRDefault="00104BDD">
      <w:pPr>
        <w:spacing w:after="0" w:line="240" w:lineRule="auto"/>
        <w:jc w:val="both"/>
      </w:pPr>
    </w:p>
    <w:p w14:paraId="2833EC82" w14:textId="77777777" w:rsidR="00104BDD" w:rsidRDefault="00BD5DD5">
      <w:pPr>
        <w:pStyle w:val="Odstavecseseznamem"/>
        <w:numPr>
          <w:ilvl w:val="0"/>
          <w:numId w:val="6"/>
        </w:numPr>
        <w:spacing w:line="240" w:lineRule="auto"/>
        <w:jc w:val="both"/>
      </w:pPr>
      <w:r>
        <w:t>odborné zaměření (vyvážené pokrytí všech oblastí aktivit projektu);</w:t>
      </w:r>
    </w:p>
    <w:p w14:paraId="6B050EAA" w14:textId="77777777" w:rsidR="00104BDD" w:rsidRDefault="00104BDD">
      <w:pPr>
        <w:pStyle w:val="Odstavecseseznamem"/>
        <w:numPr>
          <w:ilvl w:val="0"/>
          <w:numId w:val="0"/>
        </w:numPr>
        <w:spacing w:line="240" w:lineRule="auto"/>
        <w:ind w:left="360"/>
        <w:jc w:val="both"/>
      </w:pPr>
    </w:p>
    <w:p w14:paraId="3C108EFD" w14:textId="17E431A0" w:rsidR="00104BDD" w:rsidRDefault="00BD5DD5">
      <w:pPr>
        <w:pStyle w:val="Odstavecseseznamem"/>
        <w:numPr>
          <w:ilvl w:val="0"/>
          <w:numId w:val="6"/>
        </w:numPr>
        <w:spacing w:line="240" w:lineRule="auto"/>
        <w:jc w:val="both"/>
      </w:pPr>
      <w:r>
        <w:t xml:space="preserve">širší kontextuální rozhled v problematice strategické inteligence pro politiku </w:t>
      </w:r>
      <w:proofErr w:type="spellStart"/>
      <w:r>
        <w:t>VaVaI</w:t>
      </w:r>
      <w:proofErr w:type="spellEnd"/>
      <w:r w:rsidR="00EA77A5" w:rsidRPr="00EA77A5">
        <w:rPr>
          <w:b/>
        </w:rPr>
        <w:t xml:space="preserve"> </w:t>
      </w:r>
      <w:r w:rsidR="00EA77A5" w:rsidRPr="00EA77A5">
        <w:t xml:space="preserve">v oblastech internacionalizace </w:t>
      </w:r>
      <w:proofErr w:type="spellStart"/>
      <w:r w:rsidR="00EA77A5" w:rsidRPr="00EA77A5">
        <w:t>VaVaI</w:t>
      </w:r>
      <w:proofErr w:type="spellEnd"/>
      <w:r w:rsidR="00EA77A5" w:rsidRPr="00EA77A5">
        <w:t>, rozvoje velkých výzkumných infrastruktur, rozvoje lidských zdrojů, výzkumné, inovační a technologické specializace ČR, rozvoje lidských zdrojů a kapacit pro výzkum a inovace, otázek genderu a podmínek pro uplatnění žen ve vědě</w:t>
      </w:r>
      <w:r w:rsidR="00593D2E">
        <w:t xml:space="preserve">, případně pro politiky </w:t>
      </w:r>
      <w:proofErr w:type="spellStart"/>
      <w:r w:rsidR="00593D2E">
        <w:t>VaVaI</w:t>
      </w:r>
      <w:proofErr w:type="spellEnd"/>
      <w:r w:rsidR="00593D2E">
        <w:t xml:space="preserve"> jednotlivých poskytovatelů</w:t>
      </w:r>
      <w:r w:rsidRPr="00EA77A5">
        <w:t>;</w:t>
      </w:r>
    </w:p>
    <w:p w14:paraId="624A43DE" w14:textId="77777777" w:rsidR="00104BDD" w:rsidRDefault="00104BDD">
      <w:pPr>
        <w:pStyle w:val="Odstavecseseznamem"/>
        <w:numPr>
          <w:ilvl w:val="0"/>
          <w:numId w:val="0"/>
        </w:numPr>
        <w:spacing w:line="240" w:lineRule="auto"/>
        <w:ind w:left="360"/>
        <w:jc w:val="both"/>
      </w:pPr>
    </w:p>
    <w:p w14:paraId="561A922F" w14:textId="77777777" w:rsidR="00104BDD" w:rsidRDefault="00BD5DD5">
      <w:pPr>
        <w:pStyle w:val="Odstavecseseznamem"/>
        <w:numPr>
          <w:ilvl w:val="0"/>
          <w:numId w:val="6"/>
        </w:numPr>
        <w:spacing w:line="240" w:lineRule="auto"/>
        <w:jc w:val="both"/>
      </w:pPr>
      <w:r>
        <w:t>dosavadní zkušenosti, respekt a věhlas v odborné komunitě.</w:t>
      </w:r>
    </w:p>
    <w:p w14:paraId="5466FC8D" w14:textId="77777777" w:rsidR="00104BDD" w:rsidRDefault="00BD5DD5">
      <w:pPr>
        <w:pStyle w:val="Nadpis1"/>
        <w:numPr>
          <w:ilvl w:val="0"/>
          <w:numId w:val="2"/>
        </w:numPr>
        <w:spacing w:before="240" w:after="240" w:line="240" w:lineRule="auto"/>
        <w:ind w:left="431" w:hanging="431"/>
        <w:jc w:val="both"/>
      </w:pPr>
      <w:bookmarkStart w:id="67" w:name="_Toc40123752"/>
      <w:bookmarkStart w:id="68" w:name="_Toc67906095"/>
      <w:r>
        <w:lastRenderedPageBreak/>
        <w:t>MONITORING</w:t>
      </w:r>
      <w:bookmarkEnd w:id="67"/>
      <w:r>
        <w:t xml:space="preserve"> a evaluace</w:t>
      </w:r>
      <w:bookmarkEnd w:id="68"/>
    </w:p>
    <w:p w14:paraId="0DF38125" w14:textId="77777777" w:rsidR="00104BDD" w:rsidRDefault="00BD5DD5">
      <w:pPr>
        <w:spacing w:line="240" w:lineRule="auto"/>
        <w:jc w:val="both"/>
        <w:rPr>
          <w:rFonts w:eastAsia="Verdana"/>
        </w:rPr>
      </w:pPr>
      <w:r>
        <w:rPr>
          <w:rFonts w:eastAsia="Verdana"/>
        </w:rPr>
        <w:t>Projekt sdílených činností bude v průběhu realizace periodicky monitorován, co do naplňování předjímaných aktivit, a evaluován, co se týká souladu realizovaných aktivit s cíli projektu, a to včetně kontroly čerpání a využití finančních prostředků podpory.</w:t>
      </w:r>
    </w:p>
    <w:p w14:paraId="51AE2CB3" w14:textId="77777777" w:rsidR="00104BDD" w:rsidRDefault="00BD5DD5">
      <w:pPr>
        <w:pStyle w:val="Nadpis2"/>
      </w:pPr>
      <w:r>
        <w:t xml:space="preserve"> </w:t>
      </w:r>
      <w:bookmarkStart w:id="69" w:name="_Toc67906096"/>
      <w:proofErr w:type="spellStart"/>
      <w:r>
        <w:t>Progress</w:t>
      </w:r>
      <w:proofErr w:type="spellEnd"/>
      <w:r>
        <w:t xml:space="preserve"> report</w:t>
      </w:r>
      <w:bookmarkEnd w:id="69"/>
    </w:p>
    <w:p w14:paraId="21F5BB13" w14:textId="77777777" w:rsidR="00104BDD" w:rsidRDefault="00BD5DD5">
      <w:pPr>
        <w:spacing w:after="0" w:line="240" w:lineRule="auto"/>
        <w:jc w:val="both"/>
      </w:pPr>
      <w:r>
        <w:t xml:space="preserve">První z periodických zpráv o realizaci projektu sdílených činností bude </w:t>
      </w:r>
      <w:proofErr w:type="spellStart"/>
      <w:r>
        <w:rPr>
          <w:i/>
        </w:rPr>
        <w:t>progress</w:t>
      </w:r>
      <w:proofErr w:type="spellEnd"/>
      <w:r>
        <w:rPr>
          <w:i/>
        </w:rPr>
        <w:t xml:space="preserve"> report</w:t>
      </w:r>
      <w:r>
        <w:t xml:space="preserve">. Tento bude vypracováván výkonným výborem a předkládán </w:t>
      </w:r>
      <w:r>
        <w:rPr>
          <w:b/>
        </w:rPr>
        <w:t>třikrát ročně</w:t>
      </w:r>
      <w:r>
        <w:t xml:space="preserve"> řídicímu výboru. </w:t>
      </w:r>
      <w:proofErr w:type="spellStart"/>
      <w:r>
        <w:rPr>
          <w:i/>
        </w:rPr>
        <w:t>Progress</w:t>
      </w:r>
      <w:proofErr w:type="spellEnd"/>
      <w:r>
        <w:rPr>
          <w:i/>
        </w:rPr>
        <w:t xml:space="preserve"> report</w:t>
      </w:r>
      <w:r>
        <w:t xml:space="preserve"> bude zpravidla informovat o realizaci dílčích aktivit projektu sdílených činností, čerpání finančních prostředků podpory a o eventuálních návrzích na modifikaci dílčích aktivit projektu sdílených činností tak, aby lépe reflektovaly poptávku cílové / uživatelské komunity projektu.</w:t>
      </w:r>
    </w:p>
    <w:p w14:paraId="6B169EE4" w14:textId="77777777" w:rsidR="00104BDD" w:rsidRDefault="00BD5DD5">
      <w:pPr>
        <w:pStyle w:val="Nadpis2"/>
      </w:pPr>
      <w:r>
        <w:t xml:space="preserve"> </w:t>
      </w:r>
      <w:bookmarkStart w:id="70" w:name="_Toc67906097"/>
      <w:proofErr w:type="spellStart"/>
      <w:r>
        <w:t>Annual</w:t>
      </w:r>
      <w:proofErr w:type="spellEnd"/>
      <w:r>
        <w:t xml:space="preserve"> report</w:t>
      </w:r>
      <w:bookmarkEnd w:id="70"/>
    </w:p>
    <w:p w14:paraId="5DDA8C9C" w14:textId="77777777" w:rsidR="00104BDD" w:rsidRDefault="00BD5DD5">
      <w:pPr>
        <w:spacing w:after="0" w:line="240" w:lineRule="auto"/>
        <w:jc w:val="both"/>
        <w:rPr>
          <w:rFonts w:eastAsia="Verdana"/>
          <w:color w:val="000000"/>
        </w:rPr>
      </w:pPr>
      <w:r>
        <w:t xml:space="preserve">Druhou z periodických zpráv o realizaci projektu sdílených činností bude </w:t>
      </w:r>
      <w:proofErr w:type="spellStart"/>
      <w:r>
        <w:rPr>
          <w:i/>
        </w:rPr>
        <w:t>annual</w:t>
      </w:r>
      <w:proofErr w:type="spellEnd"/>
      <w:r>
        <w:rPr>
          <w:i/>
        </w:rPr>
        <w:t xml:space="preserve"> report</w:t>
      </w:r>
      <w:r>
        <w:t xml:space="preserve">, tzn., výroční zpráva. Výroční zpráva bude vypracována výkonným výborem a vždy </w:t>
      </w:r>
      <w:r>
        <w:rPr>
          <w:b/>
        </w:rPr>
        <w:t>jedenkrát ročně</w:t>
      </w:r>
      <w:r>
        <w:t xml:space="preserve"> předložena poskytovateli, tzn., MŠMT. Výroční zpráva bude shrnovat informace z </w:t>
      </w:r>
      <w:proofErr w:type="spellStart"/>
      <w:r>
        <w:rPr>
          <w:i/>
        </w:rPr>
        <w:t>progress</w:t>
      </w:r>
      <w:proofErr w:type="spellEnd"/>
      <w:r>
        <w:rPr>
          <w:i/>
        </w:rPr>
        <w:t xml:space="preserve"> reportů</w:t>
      </w:r>
      <w:r>
        <w:t xml:space="preserve"> vypracovaných v daném roce. Zároveň bude obsahovat i přehled čerpání finančních prostředků podpory poskytnuté ve sledovaném roce řešení projektu. Výroční z</w:t>
      </w:r>
      <w:r>
        <w:rPr>
          <w:rFonts w:eastAsia="Verdana"/>
          <w:color w:val="000000"/>
        </w:rPr>
        <w:t>práva bude pro informaci předkládána poradě vedení MŠMT.</w:t>
      </w:r>
    </w:p>
    <w:p w14:paraId="24511936" w14:textId="77777777" w:rsidR="00104BDD" w:rsidRDefault="00BD5DD5">
      <w:pPr>
        <w:pStyle w:val="Nadpis2"/>
      </w:pPr>
      <w:r>
        <w:t xml:space="preserve"> </w:t>
      </w:r>
      <w:bookmarkStart w:id="71" w:name="_Toc67906098"/>
      <w:proofErr w:type="spellStart"/>
      <w:r>
        <w:t>Evaluation</w:t>
      </w:r>
      <w:proofErr w:type="spellEnd"/>
      <w:r>
        <w:t xml:space="preserve"> report</w:t>
      </w:r>
      <w:bookmarkEnd w:id="71"/>
    </w:p>
    <w:p w14:paraId="5640EC9B" w14:textId="511BD37D" w:rsidR="00104BDD" w:rsidRDefault="00BD5DD5">
      <w:pPr>
        <w:spacing w:after="0" w:line="240" w:lineRule="auto"/>
        <w:jc w:val="both"/>
        <w:rPr>
          <w:rFonts w:eastAsia="Verdana"/>
          <w:color w:val="000000"/>
        </w:rPr>
      </w:pPr>
      <w:r>
        <w:t xml:space="preserve">Třetí z periodických zpráv o realizaci projektu sdílených činností bude </w:t>
      </w:r>
      <w:proofErr w:type="spellStart"/>
      <w:r>
        <w:rPr>
          <w:i/>
        </w:rPr>
        <w:t>evaluation</w:t>
      </w:r>
      <w:proofErr w:type="spellEnd"/>
      <w:r>
        <w:rPr>
          <w:i/>
        </w:rPr>
        <w:t xml:space="preserve"> report</w:t>
      </w:r>
      <w:r>
        <w:t xml:space="preserve">. Tato evaluační zpráva bude vypracována výkonným výborem </w:t>
      </w:r>
      <w:r>
        <w:rPr>
          <w:b/>
        </w:rPr>
        <w:t>v 4. čtvrtletí 2024</w:t>
      </w:r>
      <w:r>
        <w:t xml:space="preserve">. </w:t>
      </w:r>
      <w:r>
        <w:rPr>
          <w:rFonts w:eastAsia="Verdana"/>
          <w:color w:val="000000"/>
        </w:rPr>
        <w:t>Na základě evaluační zprávy bude pak poskytovatel, tzn., MŠMT, v souladu s </w:t>
      </w:r>
      <w:proofErr w:type="spellStart"/>
      <w:r>
        <w:rPr>
          <w:rFonts w:eastAsia="Verdana"/>
          <w:color w:val="000000"/>
        </w:rPr>
        <w:t>ust</w:t>
      </w:r>
      <w:proofErr w:type="spellEnd"/>
      <w:r>
        <w:rPr>
          <w:rFonts w:eastAsia="Verdana"/>
          <w:color w:val="000000"/>
        </w:rPr>
        <w:t>. § 13 zákona o podpoře výzkumu, experimentálního vývoje a inovací provádět kontrolu souladu plnění cílů projektu, a</w:t>
      </w:r>
      <w:r w:rsidR="001B399D">
        <w:rPr>
          <w:rFonts w:eastAsia="Verdana"/>
          <w:color w:val="000000"/>
        </w:rPr>
        <w:t> </w:t>
      </w:r>
      <w:r>
        <w:rPr>
          <w:rFonts w:eastAsia="Verdana"/>
          <w:color w:val="000000"/>
        </w:rPr>
        <w:t xml:space="preserve">to včetně kontroly čerpání a využití prostředků podpory podle zásad tzv. „3E“ (tzn., účelnost, efektivnost a hospodárnost), se smlouvou o poskytnutí podpory. Poskytovatel bude kontrolu provádět s využitím nástroje oponentního řízení s 2 nezávislými oponenty. Výsledky provedeného oponentního řízení budou pro informaci předloženy poradě vedení MŠMT a dále také pro informaci členů vlády ČR, a to v termínech do </w:t>
      </w:r>
      <w:r>
        <w:t>dne 30. června 2025</w:t>
      </w:r>
      <w:r>
        <w:rPr>
          <w:rFonts w:eastAsia="Verdana"/>
          <w:color w:val="000000"/>
        </w:rPr>
        <w:t>.</w:t>
      </w:r>
    </w:p>
    <w:p w14:paraId="13C1D4CC" w14:textId="77777777" w:rsidR="00104BDD" w:rsidRDefault="00BD5DD5">
      <w:pPr>
        <w:pStyle w:val="Nadpis2"/>
      </w:pPr>
      <w:r>
        <w:t xml:space="preserve"> </w:t>
      </w:r>
      <w:bookmarkStart w:id="72" w:name="_Toc67906099"/>
      <w:r>
        <w:t>Klíčové výkonnostní indikátory</w:t>
      </w:r>
      <w:bookmarkEnd w:id="72"/>
    </w:p>
    <w:p w14:paraId="0E0D4B76" w14:textId="77777777" w:rsidR="00104BDD" w:rsidRDefault="00BD5DD5">
      <w:pPr>
        <w:spacing w:after="0" w:line="240" w:lineRule="auto"/>
        <w:jc w:val="both"/>
        <w:rPr>
          <w:rFonts w:eastAsia="Verdana"/>
          <w:color w:val="000000"/>
        </w:rPr>
      </w:pPr>
      <w:r>
        <w:rPr>
          <w:rFonts w:eastAsia="Verdana"/>
          <w:color w:val="000000"/>
        </w:rPr>
        <w:t xml:space="preserve">Jedním z monitorovacích nástrojů realizace projektu sdílených činností bude rovněž </w:t>
      </w:r>
      <w:r>
        <w:rPr>
          <w:rFonts w:eastAsia="Verdana"/>
          <w:b/>
          <w:color w:val="000000"/>
        </w:rPr>
        <w:t>soubor klíčových výkonnostních indikátorů</w:t>
      </w:r>
      <w:r>
        <w:rPr>
          <w:rFonts w:eastAsia="Verdana"/>
          <w:color w:val="000000"/>
        </w:rPr>
        <w:t xml:space="preserve"> (dále jen „</w:t>
      </w:r>
      <w:proofErr w:type="spellStart"/>
      <w:r>
        <w:rPr>
          <w:rFonts w:eastAsia="Verdana"/>
          <w:color w:val="000000"/>
        </w:rPr>
        <w:t>KPIs</w:t>
      </w:r>
      <w:proofErr w:type="spellEnd"/>
      <w:r>
        <w:rPr>
          <w:rFonts w:eastAsia="Verdana"/>
          <w:color w:val="000000"/>
        </w:rPr>
        <w:t xml:space="preserve">“). Monitorování plnění těchto </w:t>
      </w:r>
      <w:proofErr w:type="spellStart"/>
      <w:r>
        <w:rPr>
          <w:rFonts w:eastAsia="Verdana"/>
          <w:color w:val="000000"/>
        </w:rPr>
        <w:t>KPIs</w:t>
      </w:r>
      <w:proofErr w:type="spellEnd"/>
      <w:r>
        <w:rPr>
          <w:rFonts w:eastAsia="Verdana"/>
          <w:color w:val="000000"/>
        </w:rPr>
        <w:t xml:space="preserve"> bude probíhat každoročně a způsob jejich naplňování bude výkonný výbor předkládat k projednání řídicímu výboru a v rámci výroční zprávy i poskytovateli. Na základě vyhodnocení naplňování </w:t>
      </w:r>
      <w:proofErr w:type="spellStart"/>
      <w:r>
        <w:rPr>
          <w:rFonts w:eastAsia="Verdana"/>
          <w:color w:val="000000"/>
        </w:rPr>
        <w:t>KPIs</w:t>
      </w:r>
      <w:proofErr w:type="spellEnd"/>
      <w:r>
        <w:rPr>
          <w:rFonts w:eastAsia="Verdana"/>
          <w:color w:val="000000"/>
        </w:rPr>
        <w:t xml:space="preserve"> bude řídicí výbor a poskytovatel monitorovat aktivity realizované v rámci projektu, resp. sledovat, zda jsou aktivity realizovány v dostatečném rozsahu, kvalitě a intenzitě.</w:t>
      </w:r>
    </w:p>
    <w:p w14:paraId="2F14ADEF" w14:textId="77777777" w:rsidR="00104BDD" w:rsidRDefault="00104BDD">
      <w:pPr>
        <w:spacing w:after="0" w:line="240" w:lineRule="auto"/>
        <w:jc w:val="both"/>
        <w:rPr>
          <w:rFonts w:eastAsia="Verdana"/>
          <w:color w:val="000000"/>
        </w:rPr>
      </w:pPr>
    </w:p>
    <w:tbl>
      <w:tblPr>
        <w:tblStyle w:val="Mkatabulky"/>
        <w:tblW w:w="0" w:type="auto"/>
        <w:tblLook w:val="04A0" w:firstRow="1" w:lastRow="0" w:firstColumn="1" w:lastColumn="0" w:noHBand="0" w:noVBand="1"/>
      </w:tblPr>
      <w:tblGrid>
        <w:gridCol w:w="4356"/>
        <w:gridCol w:w="2466"/>
        <w:gridCol w:w="2240"/>
      </w:tblGrid>
      <w:tr w:rsidR="00104BDD" w14:paraId="4DA3C588" w14:textId="77777777">
        <w:tc>
          <w:tcPr>
            <w:tcW w:w="4356" w:type="dxa"/>
          </w:tcPr>
          <w:p w14:paraId="476168EA" w14:textId="77777777" w:rsidR="00104BDD" w:rsidRDefault="00BD5DD5">
            <w:pPr>
              <w:spacing w:before="60" w:after="60" w:line="240" w:lineRule="auto"/>
              <w:jc w:val="center"/>
              <w:rPr>
                <w:b/>
                <w:sz w:val="20"/>
                <w:szCs w:val="20"/>
              </w:rPr>
            </w:pPr>
            <w:r>
              <w:rPr>
                <w:b/>
                <w:sz w:val="20"/>
                <w:szCs w:val="20"/>
              </w:rPr>
              <w:t>Název KPI</w:t>
            </w:r>
          </w:p>
        </w:tc>
        <w:tc>
          <w:tcPr>
            <w:tcW w:w="2466" w:type="dxa"/>
            <w:vAlign w:val="center"/>
          </w:tcPr>
          <w:p w14:paraId="7F02B098" w14:textId="77777777" w:rsidR="00104BDD" w:rsidRDefault="00BD5DD5">
            <w:pPr>
              <w:spacing w:before="60" w:after="60" w:line="240" w:lineRule="auto"/>
              <w:jc w:val="center"/>
              <w:rPr>
                <w:b/>
                <w:sz w:val="20"/>
                <w:szCs w:val="20"/>
              </w:rPr>
            </w:pPr>
            <w:r>
              <w:rPr>
                <w:b/>
                <w:sz w:val="20"/>
                <w:szCs w:val="20"/>
              </w:rPr>
              <w:t>Kategorie KPI</w:t>
            </w:r>
          </w:p>
        </w:tc>
        <w:tc>
          <w:tcPr>
            <w:tcW w:w="2240" w:type="dxa"/>
            <w:vAlign w:val="center"/>
          </w:tcPr>
          <w:p w14:paraId="253DC463" w14:textId="77777777" w:rsidR="00104BDD" w:rsidRDefault="00BD5DD5">
            <w:pPr>
              <w:spacing w:before="60" w:after="60" w:line="240" w:lineRule="auto"/>
              <w:jc w:val="center"/>
              <w:rPr>
                <w:b/>
                <w:sz w:val="20"/>
                <w:szCs w:val="20"/>
              </w:rPr>
            </w:pPr>
            <w:r>
              <w:rPr>
                <w:b/>
                <w:sz w:val="20"/>
                <w:szCs w:val="20"/>
              </w:rPr>
              <w:t>Cílová hodnota KPI*</w:t>
            </w:r>
          </w:p>
        </w:tc>
      </w:tr>
      <w:tr w:rsidR="00104BDD" w14:paraId="2EB54ACE" w14:textId="77777777">
        <w:tc>
          <w:tcPr>
            <w:tcW w:w="4356" w:type="dxa"/>
          </w:tcPr>
          <w:p w14:paraId="1EDDDBC2" w14:textId="77777777" w:rsidR="00104BDD" w:rsidRDefault="00BD5DD5">
            <w:pPr>
              <w:spacing w:before="60" w:after="60" w:line="240" w:lineRule="auto"/>
              <w:rPr>
                <w:sz w:val="20"/>
                <w:szCs w:val="20"/>
              </w:rPr>
            </w:pPr>
            <w:r>
              <w:rPr>
                <w:color w:val="000000"/>
              </w:rPr>
              <w:t xml:space="preserve">Výstupy </w:t>
            </w:r>
            <w:proofErr w:type="spellStart"/>
            <w:r>
              <w:rPr>
                <w:i/>
                <w:color w:val="000000"/>
              </w:rPr>
              <w:t>horizon</w:t>
            </w:r>
            <w:proofErr w:type="spellEnd"/>
            <w:r>
              <w:rPr>
                <w:i/>
                <w:color w:val="000000"/>
              </w:rPr>
              <w:t xml:space="preserve"> </w:t>
            </w:r>
            <w:proofErr w:type="spellStart"/>
            <w:r>
              <w:rPr>
                <w:i/>
                <w:color w:val="000000"/>
              </w:rPr>
              <w:t>scanningu</w:t>
            </w:r>
            <w:proofErr w:type="spellEnd"/>
            <w:r>
              <w:rPr>
                <w:color w:val="000000"/>
              </w:rPr>
              <w:t xml:space="preserve"> (HS) využité pro zaměření programů účelové podpory </w:t>
            </w:r>
            <w:proofErr w:type="spellStart"/>
            <w:r>
              <w:rPr>
                <w:color w:val="000000"/>
              </w:rPr>
              <w:t>VaVaI</w:t>
            </w:r>
            <w:proofErr w:type="spellEnd"/>
            <w:r>
              <w:rPr>
                <w:color w:val="000000"/>
              </w:rPr>
              <w:t xml:space="preserve"> a dalších nástrojů politiky </w:t>
            </w:r>
            <w:proofErr w:type="spellStart"/>
            <w:r>
              <w:rPr>
                <w:color w:val="000000"/>
              </w:rPr>
              <w:t>VaVaI</w:t>
            </w:r>
            <w:proofErr w:type="spellEnd"/>
            <w:r>
              <w:rPr>
                <w:color w:val="000000"/>
              </w:rPr>
              <w:t xml:space="preserve"> zaměřených na rozvoj perspektivních technologických oblastí</w:t>
            </w:r>
          </w:p>
        </w:tc>
        <w:tc>
          <w:tcPr>
            <w:tcW w:w="2466" w:type="dxa"/>
            <w:vAlign w:val="center"/>
          </w:tcPr>
          <w:p w14:paraId="404463CA" w14:textId="77777777" w:rsidR="00104BDD" w:rsidRDefault="00BD5DD5">
            <w:pPr>
              <w:spacing w:before="60" w:after="60" w:line="240" w:lineRule="auto"/>
              <w:jc w:val="center"/>
              <w:rPr>
                <w:sz w:val="20"/>
                <w:szCs w:val="20"/>
              </w:rPr>
            </w:pPr>
            <w:r>
              <w:rPr>
                <w:color w:val="000000"/>
              </w:rPr>
              <w:t>kvantitativní/kvalitativní</w:t>
            </w:r>
          </w:p>
        </w:tc>
        <w:tc>
          <w:tcPr>
            <w:tcW w:w="2240" w:type="dxa"/>
            <w:vAlign w:val="center"/>
          </w:tcPr>
          <w:p w14:paraId="1AB50CB5" w14:textId="77777777" w:rsidR="00104BDD" w:rsidRDefault="00BD5DD5">
            <w:pPr>
              <w:spacing w:before="60" w:after="60" w:line="240" w:lineRule="auto"/>
              <w:jc w:val="center"/>
              <w:rPr>
                <w:sz w:val="20"/>
                <w:szCs w:val="20"/>
              </w:rPr>
            </w:pPr>
            <w:r>
              <w:rPr>
                <w:szCs w:val="20"/>
              </w:rPr>
              <w:t>1 výstup HS za 2 roky</w:t>
            </w:r>
          </w:p>
        </w:tc>
      </w:tr>
      <w:tr w:rsidR="00104BDD" w14:paraId="3C591287" w14:textId="77777777">
        <w:tc>
          <w:tcPr>
            <w:tcW w:w="4356" w:type="dxa"/>
          </w:tcPr>
          <w:p w14:paraId="7C038C83" w14:textId="77777777" w:rsidR="00104BDD" w:rsidRDefault="00BD5DD5">
            <w:pPr>
              <w:spacing w:before="60" w:after="60" w:line="240" w:lineRule="auto"/>
              <w:rPr>
                <w:sz w:val="20"/>
                <w:szCs w:val="20"/>
              </w:rPr>
            </w:pPr>
            <w:r>
              <w:rPr>
                <w:color w:val="000000"/>
              </w:rPr>
              <w:t xml:space="preserve">Výstupy strategického </w:t>
            </w:r>
            <w:proofErr w:type="spellStart"/>
            <w:r>
              <w:rPr>
                <w:i/>
                <w:color w:val="000000"/>
              </w:rPr>
              <w:t>foresightu</w:t>
            </w:r>
            <w:proofErr w:type="spellEnd"/>
            <w:r>
              <w:rPr>
                <w:color w:val="000000"/>
              </w:rPr>
              <w:t xml:space="preserve"> využité pro stanovení misí RIS3 a priorit </w:t>
            </w:r>
            <w:proofErr w:type="spellStart"/>
            <w:r>
              <w:rPr>
                <w:color w:val="000000"/>
              </w:rPr>
              <w:t>VaVaI</w:t>
            </w:r>
            <w:proofErr w:type="spellEnd"/>
          </w:p>
        </w:tc>
        <w:tc>
          <w:tcPr>
            <w:tcW w:w="2466" w:type="dxa"/>
            <w:vAlign w:val="center"/>
          </w:tcPr>
          <w:p w14:paraId="2F3268F7" w14:textId="77777777" w:rsidR="00104BDD" w:rsidRDefault="00BD5DD5">
            <w:pPr>
              <w:spacing w:before="60" w:after="60" w:line="240" w:lineRule="auto"/>
              <w:jc w:val="center"/>
              <w:rPr>
                <w:sz w:val="20"/>
                <w:szCs w:val="20"/>
              </w:rPr>
            </w:pPr>
            <w:r>
              <w:rPr>
                <w:color w:val="000000"/>
              </w:rPr>
              <w:t>kvalitativní</w:t>
            </w:r>
          </w:p>
        </w:tc>
        <w:tc>
          <w:tcPr>
            <w:tcW w:w="2240" w:type="dxa"/>
            <w:vAlign w:val="center"/>
          </w:tcPr>
          <w:p w14:paraId="3BF18A72" w14:textId="77777777" w:rsidR="00104BDD" w:rsidRDefault="00BD5DD5">
            <w:pPr>
              <w:spacing w:before="60" w:after="60" w:line="240" w:lineRule="auto"/>
              <w:jc w:val="center"/>
              <w:rPr>
                <w:sz w:val="20"/>
                <w:szCs w:val="20"/>
              </w:rPr>
            </w:pPr>
            <w:r>
              <w:rPr>
                <w:szCs w:val="20"/>
              </w:rPr>
              <w:t>1</w:t>
            </w:r>
          </w:p>
        </w:tc>
      </w:tr>
      <w:tr w:rsidR="00104BDD" w14:paraId="0C4AD91E" w14:textId="77777777">
        <w:tc>
          <w:tcPr>
            <w:tcW w:w="4356" w:type="dxa"/>
          </w:tcPr>
          <w:p w14:paraId="40289A16" w14:textId="237E8B64" w:rsidR="00104BDD" w:rsidRDefault="00BD5DD5">
            <w:pPr>
              <w:spacing w:before="60" w:after="60" w:line="240" w:lineRule="auto"/>
              <w:rPr>
                <w:sz w:val="20"/>
                <w:szCs w:val="20"/>
              </w:rPr>
            </w:pPr>
            <w:r>
              <w:rPr>
                <w:color w:val="000000"/>
              </w:rPr>
              <w:lastRenderedPageBreak/>
              <w:t xml:space="preserve">Odborné analytické podklady využité pro strategie a politiky </w:t>
            </w:r>
            <w:proofErr w:type="spellStart"/>
            <w:r>
              <w:rPr>
                <w:color w:val="000000"/>
              </w:rPr>
              <w:t>VaVaI</w:t>
            </w:r>
            <w:proofErr w:type="spellEnd"/>
            <w:r w:rsidR="00D168EF">
              <w:rPr>
                <w:color w:val="000000"/>
              </w:rPr>
              <w:t xml:space="preserve"> v definovaných oblastech (viz kapitola 1.2)</w:t>
            </w:r>
          </w:p>
        </w:tc>
        <w:tc>
          <w:tcPr>
            <w:tcW w:w="2466" w:type="dxa"/>
            <w:vAlign w:val="center"/>
          </w:tcPr>
          <w:p w14:paraId="70AC1E0C" w14:textId="77777777" w:rsidR="00104BDD" w:rsidRDefault="00BD5DD5">
            <w:pPr>
              <w:spacing w:before="60" w:after="60" w:line="240" w:lineRule="auto"/>
              <w:jc w:val="center"/>
              <w:rPr>
                <w:sz w:val="20"/>
                <w:szCs w:val="20"/>
              </w:rPr>
            </w:pPr>
            <w:r>
              <w:rPr>
                <w:color w:val="000000"/>
              </w:rPr>
              <w:t>kvantitativní/kvalitativní</w:t>
            </w:r>
          </w:p>
        </w:tc>
        <w:tc>
          <w:tcPr>
            <w:tcW w:w="2240" w:type="dxa"/>
            <w:vAlign w:val="center"/>
          </w:tcPr>
          <w:p w14:paraId="1609AD52" w14:textId="56C6DD81" w:rsidR="00104BDD" w:rsidRDefault="00885CF4">
            <w:pPr>
              <w:spacing w:before="60" w:after="60" w:line="240" w:lineRule="auto"/>
              <w:jc w:val="center"/>
              <w:rPr>
                <w:szCs w:val="20"/>
              </w:rPr>
            </w:pPr>
            <w:r>
              <w:rPr>
                <w:szCs w:val="20"/>
              </w:rPr>
              <w:t>10</w:t>
            </w:r>
          </w:p>
        </w:tc>
      </w:tr>
      <w:tr w:rsidR="00104BDD" w14:paraId="0C02903D" w14:textId="77777777">
        <w:tc>
          <w:tcPr>
            <w:tcW w:w="4356" w:type="dxa"/>
          </w:tcPr>
          <w:p w14:paraId="2E77FB76" w14:textId="77777777" w:rsidR="00104BDD" w:rsidRDefault="00BD5DD5">
            <w:pPr>
              <w:spacing w:before="60" w:after="60" w:line="240" w:lineRule="auto"/>
              <w:rPr>
                <w:sz w:val="20"/>
                <w:szCs w:val="20"/>
              </w:rPr>
            </w:pPr>
            <w:r>
              <w:rPr>
                <w:color w:val="000000"/>
              </w:rPr>
              <w:t xml:space="preserve">Analýzy a hodnotící materiály týkající se přípravy odborníků a podmínek pro uplatnění ve </w:t>
            </w:r>
            <w:proofErr w:type="spellStart"/>
            <w:r>
              <w:rPr>
                <w:color w:val="000000"/>
              </w:rPr>
              <w:t>VaVaI</w:t>
            </w:r>
            <w:proofErr w:type="spellEnd"/>
            <w:r>
              <w:rPr>
                <w:color w:val="000000"/>
              </w:rPr>
              <w:t xml:space="preserve"> v rámci akademické i podnikové sféry a jejich připravenosti ke vzájemné spolupráci </w:t>
            </w:r>
          </w:p>
        </w:tc>
        <w:tc>
          <w:tcPr>
            <w:tcW w:w="2466" w:type="dxa"/>
            <w:vAlign w:val="center"/>
          </w:tcPr>
          <w:p w14:paraId="4BF6B41C" w14:textId="77777777" w:rsidR="00104BDD" w:rsidRDefault="00BD5DD5">
            <w:pPr>
              <w:spacing w:before="60" w:after="60" w:line="240" w:lineRule="auto"/>
              <w:jc w:val="center"/>
              <w:rPr>
                <w:sz w:val="20"/>
                <w:szCs w:val="20"/>
              </w:rPr>
            </w:pPr>
            <w:r>
              <w:rPr>
                <w:color w:val="000000"/>
              </w:rPr>
              <w:t>kvantitativní/kvalitativní</w:t>
            </w:r>
          </w:p>
        </w:tc>
        <w:tc>
          <w:tcPr>
            <w:tcW w:w="2240" w:type="dxa"/>
            <w:vAlign w:val="center"/>
          </w:tcPr>
          <w:p w14:paraId="526872A2" w14:textId="77777777" w:rsidR="00104BDD" w:rsidRDefault="00BD5DD5">
            <w:pPr>
              <w:spacing w:before="60" w:after="60" w:line="240" w:lineRule="auto"/>
              <w:jc w:val="center"/>
              <w:rPr>
                <w:szCs w:val="20"/>
              </w:rPr>
            </w:pPr>
            <w:r>
              <w:rPr>
                <w:szCs w:val="20"/>
              </w:rPr>
              <w:t>1 zpráva každé 2 roky</w:t>
            </w:r>
          </w:p>
        </w:tc>
      </w:tr>
      <w:tr w:rsidR="00104BDD" w14:paraId="255301A9" w14:textId="77777777">
        <w:tc>
          <w:tcPr>
            <w:tcW w:w="4356" w:type="dxa"/>
          </w:tcPr>
          <w:p w14:paraId="59643067" w14:textId="13479407" w:rsidR="00104BDD" w:rsidRDefault="00BD5DD5">
            <w:pPr>
              <w:spacing w:before="60" w:after="60" w:line="240" w:lineRule="auto"/>
              <w:rPr>
                <w:sz w:val="20"/>
                <w:szCs w:val="20"/>
              </w:rPr>
            </w:pPr>
            <w:r>
              <w:rPr>
                <w:color w:val="000000"/>
              </w:rPr>
              <w:t xml:space="preserve">Periodické datové přehledy o studujících a absolventech doktorských studijních programů v oborech klíčových pro </w:t>
            </w:r>
            <w:proofErr w:type="spellStart"/>
            <w:r>
              <w:rPr>
                <w:color w:val="000000"/>
              </w:rPr>
              <w:t>VaVaI</w:t>
            </w:r>
            <w:proofErr w:type="spellEnd"/>
            <w:r>
              <w:rPr>
                <w:color w:val="000000"/>
              </w:rPr>
              <w:t xml:space="preserve"> využité při realizaci RIS3 a hodnocení politiky </w:t>
            </w:r>
            <w:proofErr w:type="spellStart"/>
            <w:r>
              <w:rPr>
                <w:color w:val="000000"/>
              </w:rPr>
              <w:t>VaVaI</w:t>
            </w:r>
            <w:proofErr w:type="spellEnd"/>
            <w:r>
              <w:rPr>
                <w:color w:val="000000"/>
              </w:rPr>
              <w:t xml:space="preserve"> </w:t>
            </w:r>
          </w:p>
        </w:tc>
        <w:tc>
          <w:tcPr>
            <w:tcW w:w="2466" w:type="dxa"/>
            <w:vAlign w:val="center"/>
          </w:tcPr>
          <w:p w14:paraId="73A1BAC1" w14:textId="77777777" w:rsidR="00104BDD" w:rsidRDefault="00BD5DD5">
            <w:pPr>
              <w:spacing w:before="60" w:after="60" w:line="240" w:lineRule="auto"/>
              <w:jc w:val="center"/>
              <w:rPr>
                <w:sz w:val="20"/>
                <w:szCs w:val="20"/>
              </w:rPr>
            </w:pPr>
            <w:r>
              <w:rPr>
                <w:color w:val="000000"/>
              </w:rPr>
              <w:t>kvantitativní/kvalitativní</w:t>
            </w:r>
          </w:p>
        </w:tc>
        <w:tc>
          <w:tcPr>
            <w:tcW w:w="2240" w:type="dxa"/>
            <w:vAlign w:val="center"/>
          </w:tcPr>
          <w:p w14:paraId="1E866810" w14:textId="77777777" w:rsidR="00104BDD" w:rsidRDefault="00BD5DD5">
            <w:pPr>
              <w:spacing w:before="60" w:after="60" w:line="240" w:lineRule="auto"/>
              <w:jc w:val="center"/>
              <w:rPr>
                <w:szCs w:val="20"/>
              </w:rPr>
            </w:pPr>
            <w:r>
              <w:rPr>
                <w:szCs w:val="20"/>
              </w:rPr>
              <w:t>1 zpráva ročně</w:t>
            </w:r>
          </w:p>
        </w:tc>
      </w:tr>
      <w:tr w:rsidR="00104BDD" w14:paraId="4DAF0FDB" w14:textId="77777777">
        <w:tc>
          <w:tcPr>
            <w:tcW w:w="4356" w:type="dxa"/>
          </w:tcPr>
          <w:p w14:paraId="7C736DAF" w14:textId="77777777" w:rsidR="00104BDD" w:rsidRDefault="00BD5DD5">
            <w:pPr>
              <w:spacing w:after="0" w:line="240" w:lineRule="auto"/>
              <w:rPr>
                <w:color w:val="000000"/>
              </w:rPr>
            </w:pPr>
            <w:r>
              <w:rPr>
                <w:color w:val="000000"/>
              </w:rPr>
              <w:t>Analytická zpráva o stavu mezinárodní </w:t>
            </w:r>
            <w:proofErr w:type="spellStart"/>
            <w:r>
              <w:rPr>
                <w:color w:val="000000"/>
              </w:rPr>
              <w:t>VaVaI</w:t>
            </w:r>
            <w:proofErr w:type="spellEnd"/>
            <w:r>
              <w:rPr>
                <w:color w:val="000000"/>
              </w:rPr>
              <w:t xml:space="preserve"> mobility v ČR </w:t>
            </w:r>
          </w:p>
          <w:p w14:paraId="7343C2BD" w14:textId="77777777" w:rsidR="00104BDD" w:rsidRDefault="00BD5DD5">
            <w:pPr>
              <w:spacing w:after="0" w:line="240" w:lineRule="auto"/>
              <w:rPr>
                <w:sz w:val="20"/>
                <w:szCs w:val="20"/>
              </w:rPr>
            </w:pPr>
            <w:r>
              <w:rPr>
                <w:color w:val="000000"/>
              </w:rPr>
              <w:t>(počet příchozích zahraničních výzkumníků ze třetích zemí, země původu, obor uplatnění, genderový aspekt, věková struktura)</w:t>
            </w:r>
          </w:p>
        </w:tc>
        <w:tc>
          <w:tcPr>
            <w:tcW w:w="2466" w:type="dxa"/>
            <w:vAlign w:val="center"/>
          </w:tcPr>
          <w:p w14:paraId="0992C9B8" w14:textId="77777777" w:rsidR="00104BDD" w:rsidRDefault="00BD5DD5">
            <w:pPr>
              <w:spacing w:before="60" w:after="60" w:line="240" w:lineRule="auto"/>
              <w:jc w:val="center"/>
              <w:rPr>
                <w:sz w:val="20"/>
                <w:szCs w:val="20"/>
              </w:rPr>
            </w:pPr>
            <w:r>
              <w:rPr>
                <w:color w:val="000000"/>
              </w:rPr>
              <w:t>kvantitativní/kvalitativní</w:t>
            </w:r>
          </w:p>
        </w:tc>
        <w:tc>
          <w:tcPr>
            <w:tcW w:w="2240" w:type="dxa"/>
            <w:vAlign w:val="center"/>
          </w:tcPr>
          <w:p w14:paraId="5F515176" w14:textId="77777777" w:rsidR="00104BDD" w:rsidRDefault="00BD5DD5">
            <w:pPr>
              <w:spacing w:before="60" w:after="60" w:line="240" w:lineRule="auto"/>
              <w:jc w:val="center"/>
              <w:rPr>
                <w:szCs w:val="20"/>
              </w:rPr>
            </w:pPr>
            <w:r>
              <w:rPr>
                <w:szCs w:val="20"/>
              </w:rPr>
              <w:t>1 zpráva každé 2 roky</w:t>
            </w:r>
          </w:p>
        </w:tc>
      </w:tr>
      <w:tr w:rsidR="00104BDD" w14:paraId="036C5640" w14:textId="77777777">
        <w:tc>
          <w:tcPr>
            <w:tcW w:w="4356" w:type="dxa"/>
          </w:tcPr>
          <w:p w14:paraId="5000254A" w14:textId="77777777" w:rsidR="00104BDD" w:rsidRDefault="00BD5DD5">
            <w:pPr>
              <w:spacing w:before="60" w:after="60" w:line="240" w:lineRule="auto"/>
              <w:rPr>
                <w:sz w:val="20"/>
                <w:szCs w:val="20"/>
              </w:rPr>
            </w:pPr>
            <w:r>
              <w:rPr>
                <w:color w:val="000000"/>
              </w:rPr>
              <w:t>Zpráva o překážkách v mezinárodní </w:t>
            </w:r>
            <w:proofErr w:type="spellStart"/>
            <w:r>
              <w:rPr>
                <w:color w:val="000000"/>
              </w:rPr>
              <w:t>VaVaI</w:t>
            </w:r>
            <w:proofErr w:type="spellEnd"/>
            <w:r>
              <w:rPr>
                <w:color w:val="000000"/>
              </w:rPr>
              <w:t xml:space="preserve"> mobilitě (zpracování výsledků dotazníkového šetření, zaměřeného na administrativní a sociokulturní překážky, vnímané zahraničními výzkumníky v souvislosti s jejich kariérou v ČR)</w:t>
            </w:r>
          </w:p>
        </w:tc>
        <w:tc>
          <w:tcPr>
            <w:tcW w:w="2466" w:type="dxa"/>
            <w:vAlign w:val="center"/>
          </w:tcPr>
          <w:p w14:paraId="30A374D4" w14:textId="77777777" w:rsidR="00104BDD" w:rsidRDefault="00BD5DD5">
            <w:pPr>
              <w:spacing w:before="60" w:after="60" w:line="240" w:lineRule="auto"/>
              <w:jc w:val="center"/>
              <w:rPr>
                <w:sz w:val="20"/>
                <w:szCs w:val="20"/>
              </w:rPr>
            </w:pPr>
            <w:r>
              <w:rPr>
                <w:color w:val="000000"/>
              </w:rPr>
              <w:t>kvantitativní/kvalitativní</w:t>
            </w:r>
          </w:p>
        </w:tc>
        <w:tc>
          <w:tcPr>
            <w:tcW w:w="2240" w:type="dxa"/>
            <w:vAlign w:val="center"/>
          </w:tcPr>
          <w:p w14:paraId="09C5C6E8" w14:textId="77777777" w:rsidR="00104BDD" w:rsidRDefault="00BD5DD5">
            <w:pPr>
              <w:spacing w:before="60" w:after="60" w:line="240" w:lineRule="auto"/>
              <w:jc w:val="center"/>
              <w:rPr>
                <w:szCs w:val="20"/>
              </w:rPr>
            </w:pPr>
            <w:r>
              <w:rPr>
                <w:szCs w:val="20"/>
              </w:rPr>
              <w:t>1 zpráva každé 3 roky</w:t>
            </w:r>
          </w:p>
        </w:tc>
      </w:tr>
      <w:tr w:rsidR="00104BDD" w14:paraId="75FC0A70" w14:textId="77777777">
        <w:tc>
          <w:tcPr>
            <w:tcW w:w="4356" w:type="dxa"/>
          </w:tcPr>
          <w:p w14:paraId="6E358FEB" w14:textId="77777777" w:rsidR="00104BDD" w:rsidRDefault="00BD5DD5">
            <w:pPr>
              <w:spacing w:before="60" w:after="60" w:line="240" w:lineRule="auto"/>
              <w:rPr>
                <w:color w:val="000000"/>
              </w:rPr>
            </w:pPr>
            <w:r>
              <w:rPr>
                <w:color w:val="000000"/>
              </w:rPr>
              <w:t xml:space="preserve">Výstupy monitoringu a evaluace politik genderové rovnosti ve </w:t>
            </w:r>
            <w:proofErr w:type="spellStart"/>
            <w:r>
              <w:rPr>
                <w:color w:val="000000"/>
              </w:rPr>
              <w:t>VaVaI</w:t>
            </w:r>
            <w:proofErr w:type="spellEnd"/>
          </w:p>
        </w:tc>
        <w:tc>
          <w:tcPr>
            <w:tcW w:w="2466" w:type="dxa"/>
            <w:vAlign w:val="center"/>
          </w:tcPr>
          <w:p w14:paraId="17DF0CD4" w14:textId="77777777" w:rsidR="00104BDD" w:rsidRDefault="00BD5DD5">
            <w:pPr>
              <w:spacing w:before="60" w:after="60" w:line="240" w:lineRule="auto"/>
              <w:jc w:val="center"/>
              <w:rPr>
                <w:color w:val="000000"/>
              </w:rPr>
            </w:pPr>
            <w:r>
              <w:rPr>
                <w:color w:val="000000"/>
              </w:rPr>
              <w:t>kvantitativní/kvalitativní</w:t>
            </w:r>
          </w:p>
        </w:tc>
        <w:tc>
          <w:tcPr>
            <w:tcW w:w="2240" w:type="dxa"/>
            <w:vAlign w:val="center"/>
          </w:tcPr>
          <w:p w14:paraId="62FBEE91" w14:textId="77777777" w:rsidR="00104BDD" w:rsidRDefault="00BD5DD5">
            <w:pPr>
              <w:spacing w:before="60" w:after="60" w:line="240" w:lineRule="auto"/>
              <w:jc w:val="center"/>
              <w:rPr>
                <w:szCs w:val="20"/>
              </w:rPr>
            </w:pPr>
            <w:r>
              <w:rPr>
                <w:szCs w:val="20"/>
              </w:rPr>
              <w:t>1 zpráva ročně</w:t>
            </w:r>
          </w:p>
        </w:tc>
      </w:tr>
      <w:tr w:rsidR="00104BDD" w14:paraId="357992FC" w14:textId="77777777">
        <w:tc>
          <w:tcPr>
            <w:tcW w:w="4356" w:type="dxa"/>
          </w:tcPr>
          <w:p w14:paraId="61295BC1" w14:textId="77777777" w:rsidR="00104BDD" w:rsidRDefault="00BD5DD5">
            <w:pPr>
              <w:spacing w:before="60" w:after="60" w:line="240" w:lineRule="auto"/>
              <w:rPr>
                <w:color w:val="000000"/>
              </w:rPr>
            </w:pPr>
            <w:r>
              <w:rPr>
                <w:color w:val="000000"/>
              </w:rPr>
              <w:t>Podkladové studie pro tvorbu Metodiky hodnocení dopadu aktivit na podporu genderové rovnosti</w:t>
            </w:r>
          </w:p>
        </w:tc>
        <w:tc>
          <w:tcPr>
            <w:tcW w:w="2466" w:type="dxa"/>
            <w:vAlign w:val="center"/>
          </w:tcPr>
          <w:p w14:paraId="0AB1D8B4" w14:textId="77777777" w:rsidR="00104BDD" w:rsidRDefault="00BD5DD5">
            <w:pPr>
              <w:spacing w:before="60" w:after="60" w:line="240" w:lineRule="auto"/>
              <w:jc w:val="center"/>
              <w:rPr>
                <w:color w:val="000000"/>
              </w:rPr>
            </w:pPr>
            <w:r>
              <w:rPr>
                <w:color w:val="000000"/>
              </w:rPr>
              <w:t>kvantitativní/kvalitativní</w:t>
            </w:r>
          </w:p>
        </w:tc>
        <w:tc>
          <w:tcPr>
            <w:tcW w:w="2240" w:type="dxa"/>
            <w:vAlign w:val="center"/>
          </w:tcPr>
          <w:p w14:paraId="63D31FD8" w14:textId="77777777" w:rsidR="00104BDD" w:rsidRDefault="00BD5DD5">
            <w:pPr>
              <w:spacing w:before="60" w:after="60" w:line="240" w:lineRule="auto"/>
              <w:jc w:val="center"/>
              <w:rPr>
                <w:szCs w:val="20"/>
              </w:rPr>
            </w:pPr>
            <w:r>
              <w:rPr>
                <w:szCs w:val="20"/>
              </w:rPr>
              <w:t>2 podkladové studie</w:t>
            </w:r>
          </w:p>
        </w:tc>
      </w:tr>
      <w:tr w:rsidR="00104BDD" w14:paraId="51089BCC" w14:textId="77777777">
        <w:tc>
          <w:tcPr>
            <w:tcW w:w="4356" w:type="dxa"/>
          </w:tcPr>
          <w:p w14:paraId="1408AE82" w14:textId="77777777" w:rsidR="00104BDD" w:rsidRDefault="00BD5DD5">
            <w:pPr>
              <w:spacing w:before="60" w:after="60" w:line="240" w:lineRule="auto"/>
              <w:rPr>
                <w:color w:val="000000"/>
              </w:rPr>
            </w:pPr>
            <w:r>
              <w:rPr>
                <w:color w:val="000000"/>
              </w:rPr>
              <w:t xml:space="preserve">Metodika hodnocení dopadu aktivit na podporu genderové rovnosti </w:t>
            </w:r>
          </w:p>
        </w:tc>
        <w:tc>
          <w:tcPr>
            <w:tcW w:w="2466" w:type="dxa"/>
            <w:vAlign w:val="center"/>
          </w:tcPr>
          <w:p w14:paraId="2C1B665A" w14:textId="77777777" w:rsidR="00104BDD" w:rsidRDefault="00BD5DD5">
            <w:pPr>
              <w:spacing w:before="60" w:after="60" w:line="240" w:lineRule="auto"/>
              <w:jc w:val="center"/>
              <w:rPr>
                <w:color w:val="000000"/>
              </w:rPr>
            </w:pPr>
            <w:r>
              <w:rPr>
                <w:color w:val="000000"/>
              </w:rPr>
              <w:t>kvantitativní/kvalitativní</w:t>
            </w:r>
          </w:p>
        </w:tc>
        <w:tc>
          <w:tcPr>
            <w:tcW w:w="2240" w:type="dxa"/>
            <w:vAlign w:val="center"/>
          </w:tcPr>
          <w:p w14:paraId="32325C38" w14:textId="77777777" w:rsidR="00104BDD" w:rsidRDefault="00BD5DD5">
            <w:pPr>
              <w:spacing w:before="60" w:after="60" w:line="240" w:lineRule="auto"/>
              <w:jc w:val="center"/>
              <w:rPr>
                <w:szCs w:val="20"/>
              </w:rPr>
            </w:pPr>
            <w:r>
              <w:rPr>
                <w:szCs w:val="20"/>
              </w:rPr>
              <w:t>1 metodika</w:t>
            </w:r>
          </w:p>
        </w:tc>
      </w:tr>
      <w:tr w:rsidR="00104BDD" w14:paraId="119EA13A" w14:textId="77777777">
        <w:tc>
          <w:tcPr>
            <w:tcW w:w="4356" w:type="dxa"/>
          </w:tcPr>
          <w:p w14:paraId="524DB793" w14:textId="77777777" w:rsidR="00104BDD" w:rsidRDefault="00BD5DD5">
            <w:pPr>
              <w:spacing w:before="60" w:after="60" w:line="240" w:lineRule="auto"/>
              <w:rPr>
                <w:color w:val="000000"/>
              </w:rPr>
            </w:pPr>
            <w:r>
              <w:rPr>
                <w:color w:val="000000"/>
              </w:rPr>
              <w:t xml:space="preserve">Počet vytvořených statistických ročenek </w:t>
            </w:r>
            <w:proofErr w:type="spellStart"/>
            <w:r>
              <w:rPr>
                <w:i/>
                <w:color w:val="000000"/>
              </w:rPr>
              <w:t>She</w:t>
            </w:r>
            <w:proofErr w:type="spellEnd"/>
            <w:r>
              <w:rPr>
                <w:i/>
                <w:color w:val="000000"/>
              </w:rPr>
              <w:t xml:space="preserve"> </w:t>
            </w:r>
            <w:proofErr w:type="spellStart"/>
            <w:r>
              <w:rPr>
                <w:i/>
                <w:color w:val="000000"/>
              </w:rPr>
              <w:t>Figures</w:t>
            </w:r>
            <w:proofErr w:type="spellEnd"/>
            <w:r>
              <w:rPr>
                <w:i/>
                <w:color w:val="000000"/>
              </w:rPr>
              <w:t xml:space="preserve"> Czech Republic</w:t>
            </w:r>
            <w:r>
              <w:rPr>
                <w:color w:val="000000"/>
              </w:rPr>
              <w:t xml:space="preserve"> </w:t>
            </w:r>
          </w:p>
        </w:tc>
        <w:tc>
          <w:tcPr>
            <w:tcW w:w="2466" w:type="dxa"/>
            <w:vAlign w:val="center"/>
          </w:tcPr>
          <w:p w14:paraId="0A8873C6" w14:textId="77777777" w:rsidR="00104BDD" w:rsidRDefault="00BD5DD5">
            <w:pPr>
              <w:spacing w:before="60" w:after="60" w:line="240" w:lineRule="auto"/>
              <w:jc w:val="center"/>
              <w:rPr>
                <w:color w:val="000000"/>
              </w:rPr>
            </w:pPr>
            <w:r>
              <w:rPr>
                <w:color w:val="000000"/>
              </w:rPr>
              <w:t>kvantitativní</w:t>
            </w:r>
          </w:p>
        </w:tc>
        <w:tc>
          <w:tcPr>
            <w:tcW w:w="2240" w:type="dxa"/>
            <w:vAlign w:val="center"/>
          </w:tcPr>
          <w:p w14:paraId="2FCE1F97" w14:textId="77777777" w:rsidR="00104BDD" w:rsidRDefault="00BD5DD5">
            <w:pPr>
              <w:spacing w:before="60" w:after="60" w:line="240" w:lineRule="auto"/>
              <w:jc w:val="center"/>
              <w:rPr>
                <w:szCs w:val="20"/>
              </w:rPr>
            </w:pPr>
            <w:r>
              <w:rPr>
                <w:szCs w:val="20"/>
              </w:rPr>
              <w:t>1 statistická ročenka ročně</w:t>
            </w:r>
          </w:p>
        </w:tc>
      </w:tr>
      <w:tr w:rsidR="00104BDD" w14:paraId="4D377666" w14:textId="77777777">
        <w:tc>
          <w:tcPr>
            <w:tcW w:w="4356" w:type="dxa"/>
          </w:tcPr>
          <w:p w14:paraId="69D0FA6B" w14:textId="3C069720" w:rsidR="00104BDD" w:rsidRPr="004663F1" w:rsidRDefault="00BD5DD5">
            <w:pPr>
              <w:spacing w:before="60" w:after="60" w:line="240" w:lineRule="auto"/>
            </w:pPr>
            <w:r w:rsidRPr="004663F1">
              <w:t xml:space="preserve">Počet </w:t>
            </w:r>
            <w:r w:rsidR="00176996" w:rsidRPr="004663F1">
              <w:t xml:space="preserve">odborných workshopů a seminářů / </w:t>
            </w:r>
            <w:r w:rsidRPr="004663F1">
              <w:t xml:space="preserve">účastníků odborných </w:t>
            </w:r>
          </w:p>
        </w:tc>
        <w:tc>
          <w:tcPr>
            <w:tcW w:w="2466" w:type="dxa"/>
            <w:vAlign w:val="center"/>
          </w:tcPr>
          <w:p w14:paraId="1123D3CF" w14:textId="77777777" w:rsidR="00104BDD" w:rsidRPr="004663F1" w:rsidRDefault="00BD5DD5">
            <w:pPr>
              <w:spacing w:before="60" w:after="60" w:line="240" w:lineRule="auto"/>
              <w:jc w:val="center"/>
            </w:pPr>
            <w:r w:rsidRPr="004663F1">
              <w:t>kvantitativní</w:t>
            </w:r>
          </w:p>
        </w:tc>
        <w:tc>
          <w:tcPr>
            <w:tcW w:w="2240" w:type="dxa"/>
            <w:vAlign w:val="center"/>
          </w:tcPr>
          <w:p w14:paraId="2681661F" w14:textId="63E08482" w:rsidR="00104BDD" w:rsidRDefault="00176996">
            <w:pPr>
              <w:spacing w:before="60" w:after="60" w:line="240" w:lineRule="auto"/>
              <w:jc w:val="center"/>
              <w:rPr>
                <w:szCs w:val="20"/>
              </w:rPr>
            </w:pPr>
            <w:r>
              <w:rPr>
                <w:szCs w:val="20"/>
              </w:rPr>
              <w:t>10/300</w:t>
            </w:r>
          </w:p>
        </w:tc>
      </w:tr>
      <w:tr w:rsidR="00104BDD" w14:paraId="4C550E1E" w14:textId="77777777">
        <w:tc>
          <w:tcPr>
            <w:tcW w:w="4356" w:type="dxa"/>
          </w:tcPr>
          <w:p w14:paraId="63C5F74D" w14:textId="77777777" w:rsidR="00104BDD" w:rsidRPr="004663F1" w:rsidRDefault="00BD5DD5">
            <w:pPr>
              <w:spacing w:before="60" w:after="60" w:line="240" w:lineRule="auto"/>
            </w:pPr>
            <w:r w:rsidRPr="004663F1">
              <w:t>Počet čtenářů odborného periodika Ergo</w:t>
            </w:r>
          </w:p>
        </w:tc>
        <w:tc>
          <w:tcPr>
            <w:tcW w:w="2466" w:type="dxa"/>
            <w:vAlign w:val="center"/>
          </w:tcPr>
          <w:p w14:paraId="3CAD336B" w14:textId="77777777" w:rsidR="00104BDD" w:rsidRPr="004663F1" w:rsidRDefault="00BD5DD5">
            <w:pPr>
              <w:spacing w:before="60" w:after="60" w:line="240" w:lineRule="auto"/>
              <w:jc w:val="center"/>
            </w:pPr>
            <w:r w:rsidRPr="004663F1">
              <w:t>kvantitativní</w:t>
            </w:r>
          </w:p>
        </w:tc>
        <w:tc>
          <w:tcPr>
            <w:tcW w:w="2240" w:type="dxa"/>
            <w:vAlign w:val="center"/>
          </w:tcPr>
          <w:p w14:paraId="5B9A5FAB" w14:textId="77777777" w:rsidR="00104BDD" w:rsidRDefault="00BD5DD5">
            <w:pPr>
              <w:spacing w:before="60" w:after="60" w:line="240" w:lineRule="auto"/>
              <w:jc w:val="center"/>
              <w:rPr>
                <w:szCs w:val="20"/>
              </w:rPr>
            </w:pPr>
            <w:r>
              <w:rPr>
                <w:szCs w:val="20"/>
              </w:rPr>
              <w:t>500</w:t>
            </w:r>
          </w:p>
        </w:tc>
      </w:tr>
      <w:tr w:rsidR="00104BDD" w14:paraId="3B2434C7" w14:textId="77777777">
        <w:tc>
          <w:tcPr>
            <w:tcW w:w="4356" w:type="dxa"/>
          </w:tcPr>
          <w:p w14:paraId="760B7D6C" w14:textId="37485FEB" w:rsidR="00104BDD" w:rsidRPr="004663F1" w:rsidRDefault="00BD5DD5">
            <w:pPr>
              <w:spacing w:before="60" w:after="60" w:line="240" w:lineRule="auto"/>
            </w:pPr>
            <w:r w:rsidRPr="004663F1">
              <w:t>Počet stáží pracovníků veřejné správy</w:t>
            </w:r>
          </w:p>
        </w:tc>
        <w:tc>
          <w:tcPr>
            <w:tcW w:w="2466" w:type="dxa"/>
            <w:vAlign w:val="center"/>
          </w:tcPr>
          <w:p w14:paraId="31D780FC" w14:textId="77777777" w:rsidR="00104BDD" w:rsidRPr="004663F1" w:rsidRDefault="00BD5DD5">
            <w:pPr>
              <w:spacing w:before="60" w:after="60" w:line="240" w:lineRule="auto"/>
              <w:jc w:val="center"/>
            </w:pPr>
            <w:r w:rsidRPr="004663F1">
              <w:t>kvantitativní</w:t>
            </w:r>
          </w:p>
        </w:tc>
        <w:tc>
          <w:tcPr>
            <w:tcW w:w="2240" w:type="dxa"/>
            <w:vAlign w:val="center"/>
          </w:tcPr>
          <w:p w14:paraId="337C1AFD" w14:textId="38679EB0" w:rsidR="00104BDD" w:rsidRDefault="00885CF4">
            <w:pPr>
              <w:spacing w:before="60" w:after="60" w:line="240" w:lineRule="auto"/>
              <w:jc w:val="center"/>
              <w:rPr>
                <w:szCs w:val="20"/>
              </w:rPr>
            </w:pPr>
            <w:r>
              <w:rPr>
                <w:szCs w:val="20"/>
              </w:rPr>
              <w:t>2</w:t>
            </w:r>
          </w:p>
        </w:tc>
      </w:tr>
      <w:tr w:rsidR="00FF0D98" w14:paraId="709BFBF0" w14:textId="77777777">
        <w:tc>
          <w:tcPr>
            <w:tcW w:w="4356" w:type="dxa"/>
          </w:tcPr>
          <w:p w14:paraId="344F363E" w14:textId="302E1F73" w:rsidR="00FF0D98" w:rsidRPr="004663F1" w:rsidRDefault="00FF0D98">
            <w:pPr>
              <w:spacing w:before="60" w:after="60" w:line="240" w:lineRule="auto"/>
            </w:pPr>
            <w:r w:rsidRPr="004663F1">
              <w:t>Počet expertních stanovisek a postojů veřejnosti k novým technologiím a jejich dopadům na oblasti cílů udržitelného rozvoje</w:t>
            </w:r>
          </w:p>
        </w:tc>
        <w:tc>
          <w:tcPr>
            <w:tcW w:w="2466" w:type="dxa"/>
            <w:vAlign w:val="center"/>
          </w:tcPr>
          <w:p w14:paraId="5DE0C462" w14:textId="0A258CD4" w:rsidR="00FF0D98" w:rsidRPr="004663F1" w:rsidRDefault="00FF0D98">
            <w:pPr>
              <w:spacing w:before="60" w:after="60" w:line="240" w:lineRule="auto"/>
              <w:jc w:val="center"/>
            </w:pPr>
            <w:r w:rsidRPr="004663F1">
              <w:t>kvantitativní/kvalitativní</w:t>
            </w:r>
          </w:p>
        </w:tc>
        <w:tc>
          <w:tcPr>
            <w:tcW w:w="2240" w:type="dxa"/>
            <w:vAlign w:val="center"/>
          </w:tcPr>
          <w:p w14:paraId="12DAD7F8" w14:textId="5D9847E7" w:rsidR="00FF0D98" w:rsidRPr="00165909" w:rsidRDefault="00FF0D98">
            <w:pPr>
              <w:spacing w:before="60" w:after="60" w:line="240" w:lineRule="auto"/>
              <w:jc w:val="center"/>
              <w:rPr>
                <w:szCs w:val="20"/>
              </w:rPr>
            </w:pPr>
            <w:r w:rsidRPr="00165909">
              <w:rPr>
                <w:szCs w:val="20"/>
              </w:rPr>
              <w:t>2</w:t>
            </w:r>
          </w:p>
        </w:tc>
      </w:tr>
    </w:tbl>
    <w:p w14:paraId="50A951F8" w14:textId="77777777" w:rsidR="00104BDD" w:rsidRDefault="00104BDD">
      <w:pPr>
        <w:spacing w:after="0" w:line="240" w:lineRule="auto"/>
        <w:jc w:val="both"/>
        <w:rPr>
          <w:rFonts w:eastAsia="Verdana"/>
          <w:color w:val="000000"/>
        </w:rPr>
      </w:pPr>
    </w:p>
    <w:p w14:paraId="0ABA85FE" w14:textId="77777777" w:rsidR="00104BDD" w:rsidRDefault="00BD5DD5">
      <w:pPr>
        <w:spacing w:after="0" w:line="240" w:lineRule="auto"/>
        <w:jc w:val="both"/>
        <w:rPr>
          <w:rFonts w:eastAsia="Verdana"/>
          <w:color w:val="000000"/>
        </w:rPr>
      </w:pPr>
      <w:r>
        <w:rPr>
          <w:i/>
          <w:sz w:val="20"/>
          <w:szCs w:val="20"/>
        </w:rPr>
        <w:t>* V případě kvalitativního indikátoru bude naplnění cílové hodnoty indikátoru doplněno i o bližší popisnou informaci o způsobu jejího naplnění. Tato informace bude obsažena ve výroční zprávě o řešení projektu. Bližší popisná informace bude doplňovat i způsob naplnění cílové hodnoty kvantitativního indikátoru.</w:t>
      </w:r>
    </w:p>
    <w:sectPr w:rsidR="00104BDD">
      <w:footerReference w:type="default" r:id="rId15"/>
      <w:footerReference w:type="first" r:id="rId16"/>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023AE9" w14:textId="77777777" w:rsidR="00B73D47" w:rsidRDefault="00B73D47">
      <w:pPr>
        <w:spacing w:line="240" w:lineRule="auto"/>
      </w:pPr>
      <w:r>
        <w:separator/>
      </w:r>
    </w:p>
  </w:endnote>
  <w:endnote w:type="continuationSeparator" w:id="0">
    <w:p w14:paraId="73C1FF9C" w14:textId="77777777" w:rsidR="00B73D47" w:rsidRDefault="00B73D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032376"/>
    </w:sdtPr>
    <w:sdtEndPr/>
    <w:sdtContent>
      <w:p w14:paraId="0349953C" w14:textId="2E57FCCD" w:rsidR="00086EA9" w:rsidRDefault="00086EA9">
        <w:pPr>
          <w:pStyle w:val="Zpat"/>
          <w:jc w:val="center"/>
        </w:pPr>
        <w:r>
          <w:fldChar w:fldCharType="begin"/>
        </w:r>
        <w:r>
          <w:instrText>PAGE   \* MERGEFORMAT</w:instrText>
        </w:r>
        <w:r>
          <w:fldChar w:fldCharType="separate"/>
        </w:r>
        <w:r>
          <w:rPr>
            <w:noProof/>
          </w:rPr>
          <w:t>18</w:t>
        </w:r>
        <w:r>
          <w:fldChar w:fldCharType="end"/>
        </w:r>
      </w:p>
    </w:sdtContent>
  </w:sdt>
  <w:p w14:paraId="38EEC29D" w14:textId="77777777" w:rsidR="00086EA9" w:rsidRDefault="00086EA9">
    <w:pPr>
      <w:pStyle w:val="Zpat"/>
      <w:jc w:val="center"/>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2F7B1" w14:textId="77777777" w:rsidR="00086EA9" w:rsidRDefault="00086EA9">
    <w:pPr>
      <w:pStyle w:val="Zpat"/>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09AB17" w14:textId="77777777" w:rsidR="00B73D47" w:rsidRDefault="00B73D47">
      <w:pPr>
        <w:spacing w:after="0" w:line="240" w:lineRule="auto"/>
      </w:pPr>
      <w:r>
        <w:separator/>
      </w:r>
    </w:p>
  </w:footnote>
  <w:footnote w:type="continuationSeparator" w:id="0">
    <w:p w14:paraId="008CC601" w14:textId="77777777" w:rsidR="00B73D47" w:rsidRDefault="00B73D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A632EA"/>
    <w:multiLevelType w:val="multilevel"/>
    <w:tmpl w:val="15A632EA"/>
    <w:lvl w:ilvl="0">
      <w:start w:val="1"/>
      <w:numFmt w:val="decimal"/>
      <w:lvlText w:val="%1"/>
      <w:lvlJc w:val="left"/>
      <w:pPr>
        <w:ind w:left="432" w:hanging="432"/>
      </w:pPr>
    </w:lvl>
    <w:lvl w:ilvl="1">
      <w:start w:val="1"/>
      <w:numFmt w:val="decimal"/>
      <w:pStyle w:val="Nadpis2"/>
      <w:lvlText w:val="%1.%2"/>
      <w:lvlJc w:val="left"/>
      <w:pPr>
        <w:ind w:left="2987" w:hanging="576"/>
      </w:pPr>
      <w:rPr>
        <w:lang w:val="cs-CZ"/>
      </w:rPr>
    </w:lvl>
    <w:lvl w:ilvl="2">
      <w:start w:val="1"/>
      <w:numFmt w:val="decimal"/>
      <w:pStyle w:val="Nadpis3"/>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5AE2183"/>
    <w:multiLevelType w:val="multilevel"/>
    <w:tmpl w:val="35AE2183"/>
    <w:lvl w:ilvl="0">
      <w:start w:val="1"/>
      <w:numFmt w:val="bullet"/>
      <w:pStyle w:val="Odstavecseseznamem"/>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22D7349"/>
    <w:multiLevelType w:val="multilevel"/>
    <w:tmpl w:val="422D7349"/>
    <w:lvl w:ilvl="0">
      <w:start w:val="1"/>
      <w:numFmt w:val="lowerLetter"/>
      <w:pStyle w:val="Odstavecseseznamema"/>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5FB1034"/>
    <w:multiLevelType w:val="multilevel"/>
    <w:tmpl w:val="65FB103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723C41C0"/>
    <w:multiLevelType w:val="hybridMultilevel"/>
    <w:tmpl w:val="CB5C1C5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78180549"/>
    <w:multiLevelType w:val="multilevel"/>
    <w:tmpl w:val="78180549"/>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7E612048"/>
    <w:multiLevelType w:val="multilevel"/>
    <w:tmpl w:val="7E612048"/>
    <w:lvl w:ilvl="0">
      <w:start w:val="1"/>
      <w:numFmt w:val="decimal"/>
      <w:pStyle w:val="Nadpis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6"/>
  </w:num>
  <w:num w:numId="2">
    <w:abstractNumId w:val="0"/>
  </w:num>
  <w:num w:numId="3">
    <w:abstractNumId w:val="1"/>
  </w:num>
  <w:num w:numId="4">
    <w:abstractNumId w:val="2"/>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17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CC4"/>
    <w:rsid w:val="00000B86"/>
    <w:rsid w:val="00002E6D"/>
    <w:rsid w:val="000034DD"/>
    <w:rsid w:val="00003F14"/>
    <w:rsid w:val="00006279"/>
    <w:rsid w:val="000111DF"/>
    <w:rsid w:val="00012838"/>
    <w:rsid w:val="00012DB3"/>
    <w:rsid w:val="000146FF"/>
    <w:rsid w:val="00025CD1"/>
    <w:rsid w:val="00026770"/>
    <w:rsid w:val="00032930"/>
    <w:rsid w:val="00033BF2"/>
    <w:rsid w:val="00033F6C"/>
    <w:rsid w:val="00034CA0"/>
    <w:rsid w:val="00035C75"/>
    <w:rsid w:val="00037E5F"/>
    <w:rsid w:val="0004325F"/>
    <w:rsid w:val="00043E99"/>
    <w:rsid w:val="00050CBA"/>
    <w:rsid w:val="00051993"/>
    <w:rsid w:val="00051F9D"/>
    <w:rsid w:val="0005311E"/>
    <w:rsid w:val="000543E8"/>
    <w:rsid w:val="00060EF5"/>
    <w:rsid w:val="00065458"/>
    <w:rsid w:val="000657B7"/>
    <w:rsid w:val="00070F08"/>
    <w:rsid w:val="00072D4D"/>
    <w:rsid w:val="00080072"/>
    <w:rsid w:val="00083DE0"/>
    <w:rsid w:val="000865E7"/>
    <w:rsid w:val="00086DCF"/>
    <w:rsid w:val="00086EA9"/>
    <w:rsid w:val="00090AF2"/>
    <w:rsid w:val="00091F6F"/>
    <w:rsid w:val="00092411"/>
    <w:rsid w:val="000934BA"/>
    <w:rsid w:val="00095494"/>
    <w:rsid w:val="000960F7"/>
    <w:rsid w:val="00096894"/>
    <w:rsid w:val="000A0E3C"/>
    <w:rsid w:val="000A1EFC"/>
    <w:rsid w:val="000A364B"/>
    <w:rsid w:val="000A4E04"/>
    <w:rsid w:val="000A546B"/>
    <w:rsid w:val="000A559D"/>
    <w:rsid w:val="000A6051"/>
    <w:rsid w:val="000A6203"/>
    <w:rsid w:val="000A6D83"/>
    <w:rsid w:val="000B02BB"/>
    <w:rsid w:val="000B0DF6"/>
    <w:rsid w:val="000B1BA6"/>
    <w:rsid w:val="000B4303"/>
    <w:rsid w:val="000B561E"/>
    <w:rsid w:val="000B7ACD"/>
    <w:rsid w:val="000B7E3E"/>
    <w:rsid w:val="000C05E6"/>
    <w:rsid w:val="000C064E"/>
    <w:rsid w:val="000C22BF"/>
    <w:rsid w:val="000C45E5"/>
    <w:rsid w:val="000C476F"/>
    <w:rsid w:val="000D35CE"/>
    <w:rsid w:val="000D6B37"/>
    <w:rsid w:val="000E2E32"/>
    <w:rsid w:val="000E3240"/>
    <w:rsid w:val="000E4155"/>
    <w:rsid w:val="000F1D3B"/>
    <w:rsid w:val="000F23C3"/>
    <w:rsid w:val="000F36FF"/>
    <w:rsid w:val="000F515D"/>
    <w:rsid w:val="000F55BD"/>
    <w:rsid w:val="000F566E"/>
    <w:rsid w:val="00100B73"/>
    <w:rsid w:val="00104BDD"/>
    <w:rsid w:val="0010551B"/>
    <w:rsid w:val="001078FD"/>
    <w:rsid w:val="00112785"/>
    <w:rsid w:val="001154B3"/>
    <w:rsid w:val="00115821"/>
    <w:rsid w:val="00115EC9"/>
    <w:rsid w:val="00120119"/>
    <w:rsid w:val="00120671"/>
    <w:rsid w:val="00126D8F"/>
    <w:rsid w:val="00131BB4"/>
    <w:rsid w:val="00133497"/>
    <w:rsid w:val="00134486"/>
    <w:rsid w:val="00141C27"/>
    <w:rsid w:val="00142C47"/>
    <w:rsid w:val="00143B78"/>
    <w:rsid w:val="00145422"/>
    <w:rsid w:val="00151755"/>
    <w:rsid w:val="00151B3D"/>
    <w:rsid w:val="001534FC"/>
    <w:rsid w:val="001551A7"/>
    <w:rsid w:val="00155BED"/>
    <w:rsid w:val="0016230B"/>
    <w:rsid w:val="00164271"/>
    <w:rsid w:val="0016475F"/>
    <w:rsid w:val="00164F54"/>
    <w:rsid w:val="00165909"/>
    <w:rsid w:val="00175632"/>
    <w:rsid w:val="001757A7"/>
    <w:rsid w:val="00175AAD"/>
    <w:rsid w:val="00175D6B"/>
    <w:rsid w:val="00176996"/>
    <w:rsid w:val="00177285"/>
    <w:rsid w:val="0018468A"/>
    <w:rsid w:val="001854D3"/>
    <w:rsid w:val="00185972"/>
    <w:rsid w:val="00186897"/>
    <w:rsid w:val="00190617"/>
    <w:rsid w:val="0019074D"/>
    <w:rsid w:val="00194341"/>
    <w:rsid w:val="00195401"/>
    <w:rsid w:val="00197046"/>
    <w:rsid w:val="001A463C"/>
    <w:rsid w:val="001A6828"/>
    <w:rsid w:val="001B3781"/>
    <w:rsid w:val="001B399D"/>
    <w:rsid w:val="001B5D1F"/>
    <w:rsid w:val="001B6C19"/>
    <w:rsid w:val="001C1CC9"/>
    <w:rsid w:val="001C3E82"/>
    <w:rsid w:val="001C49E0"/>
    <w:rsid w:val="001C5ECE"/>
    <w:rsid w:val="001C6CC4"/>
    <w:rsid w:val="001D1C9E"/>
    <w:rsid w:val="001D1E8B"/>
    <w:rsid w:val="001D2F14"/>
    <w:rsid w:val="001D30BF"/>
    <w:rsid w:val="001D5C6D"/>
    <w:rsid w:val="001D64CE"/>
    <w:rsid w:val="001D7109"/>
    <w:rsid w:val="001E1607"/>
    <w:rsid w:val="001E4523"/>
    <w:rsid w:val="001E497D"/>
    <w:rsid w:val="001E58DD"/>
    <w:rsid w:val="001E6E04"/>
    <w:rsid w:val="001F00AD"/>
    <w:rsid w:val="001F0128"/>
    <w:rsid w:val="001F0C84"/>
    <w:rsid w:val="001F28D0"/>
    <w:rsid w:val="001F4A3C"/>
    <w:rsid w:val="001F54A0"/>
    <w:rsid w:val="001F622D"/>
    <w:rsid w:val="002002B6"/>
    <w:rsid w:val="00202981"/>
    <w:rsid w:val="002032B6"/>
    <w:rsid w:val="00204DD4"/>
    <w:rsid w:val="00210824"/>
    <w:rsid w:val="00213D6A"/>
    <w:rsid w:val="00215020"/>
    <w:rsid w:val="00217F74"/>
    <w:rsid w:val="0022208B"/>
    <w:rsid w:val="0022253B"/>
    <w:rsid w:val="00225CF6"/>
    <w:rsid w:val="00227184"/>
    <w:rsid w:val="00227647"/>
    <w:rsid w:val="00227EEB"/>
    <w:rsid w:val="0023078C"/>
    <w:rsid w:val="00232F55"/>
    <w:rsid w:val="002341A3"/>
    <w:rsid w:val="002349F9"/>
    <w:rsid w:val="00234D44"/>
    <w:rsid w:val="00235489"/>
    <w:rsid w:val="00235AFB"/>
    <w:rsid w:val="00236698"/>
    <w:rsid w:val="002414CC"/>
    <w:rsid w:val="00241DD5"/>
    <w:rsid w:val="00242386"/>
    <w:rsid w:val="002440F1"/>
    <w:rsid w:val="002456D3"/>
    <w:rsid w:val="00245FE5"/>
    <w:rsid w:val="00247BEF"/>
    <w:rsid w:val="002513A5"/>
    <w:rsid w:val="00252A0A"/>
    <w:rsid w:val="0025337D"/>
    <w:rsid w:val="00253989"/>
    <w:rsid w:val="00261052"/>
    <w:rsid w:val="002621EB"/>
    <w:rsid w:val="00263E9B"/>
    <w:rsid w:val="002646E1"/>
    <w:rsid w:val="00265C8C"/>
    <w:rsid w:val="00265D6D"/>
    <w:rsid w:val="00266503"/>
    <w:rsid w:val="00271BD7"/>
    <w:rsid w:val="00272473"/>
    <w:rsid w:val="00273A75"/>
    <w:rsid w:val="00273CA3"/>
    <w:rsid w:val="00273EC1"/>
    <w:rsid w:val="00277794"/>
    <w:rsid w:val="0028568D"/>
    <w:rsid w:val="002879D6"/>
    <w:rsid w:val="00290D7B"/>
    <w:rsid w:val="002915A8"/>
    <w:rsid w:val="00292724"/>
    <w:rsid w:val="002A2DC1"/>
    <w:rsid w:val="002A3FC8"/>
    <w:rsid w:val="002A4BD5"/>
    <w:rsid w:val="002A7B41"/>
    <w:rsid w:val="002B1791"/>
    <w:rsid w:val="002B599C"/>
    <w:rsid w:val="002B7457"/>
    <w:rsid w:val="002B780D"/>
    <w:rsid w:val="002B7CBF"/>
    <w:rsid w:val="002C0049"/>
    <w:rsid w:val="002C11E4"/>
    <w:rsid w:val="002C1B15"/>
    <w:rsid w:val="002C3715"/>
    <w:rsid w:val="002C40EF"/>
    <w:rsid w:val="002D147A"/>
    <w:rsid w:val="002D22EC"/>
    <w:rsid w:val="002D27A1"/>
    <w:rsid w:val="002E1DE9"/>
    <w:rsid w:val="002E2E79"/>
    <w:rsid w:val="002E4C36"/>
    <w:rsid w:val="002E6D3A"/>
    <w:rsid w:val="002F177F"/>
    <w:rsid w:val="002F1E44"/>
    <w:rsid w:val="002F28EE"/>
    <w:rsid w:val="00301D5A"/>
    <w:rsid w:val="00304DF4"/>
    <w:rsid w:val="003067E4"/>
    <w:rsid w:val="00307846"/>
    <w:rsid w:val="00313EC5"/>
    <w:rsid w:val="0031401E"/>
    <w:rsid w:val="00314CF5"/>
    <w:rsid w:val="003164E2"/>
    <w:rsid w:val="00320E00"/>
    <w:rsid w:val="003244A1"/>
    <w:rsid w:val="003245E8"/>
    <w:rsid w:val="00324B8B"/>
    <w:rsid w:val="003301EF"/>
    <w:rsid w:val="00331442"/>
    <w:rsid w:val="00332AFE"/>
    <w:rsid w:val="00332C3A"/>
    <w:rsid w:val="00333408"/>
    <w:rsid w:val="00334892"/>
    <w:rsid w:val="00334DD3"/>
    <w:rsid w:val="00336F0D"/>
    <w:rsid w:val="00337368"/>
    <w:rsid w:val="00337AA6"/>
    <w:rsid w:val="00341926"/>
    <w:rsid w:val="00341BE3"/>
    <w:rsid w:val="003420D2"/>
    <w:rsid w:val="00342B64"/>
    <w:rsid w:val="0034499F"/>
    <w:rsid w:val="00344AEA"/>
    <w:rsid w:val="00345422"/>
    <w:rsid w:val="0035152E"/>
    <w:rsid w:val="0035351E"/>
    <w:rsid w:val="003578CF"/>
    <w:rsid w:val="003578DA"/>
    <w:rsid w:val="00360B57"/>
    <w:rsid w:val="00365C51"/>
    <w:rsid w:val="00366AD3"/>
    <w:rsid w:val="0037472F"/>
    <w:rsid w:val="0037523E"/>
    <w:rsid w:val="00375293"/>
    <w:rsid w:val="003770FA"/>
    <w:rsid w:val="00381939"/>
    <w:rsid w:val="0038308A"/>
    <w:rsid w:val="003843CE"/>
    <w:rsid w:val="00385299"/>
    <w:rsid w:val="00385392"/>
    <w:rsid w:val="00385FA5"/>
    <w:rsid w:val="003865E5"/>
    <w:rsid w:val="00387C95"/>
    <w:rsid w:val="00387D39"/>
    <w:rsid w:val="003922E8"/>
    <w:rsid w:val="00392B79"/>
    <w:rsid w:val="00394C02"/>
    <w:rsid w:val="00396B8F"/>
    <w:rsid w:val="00397348"/>
    <w:rsid w:val="003978D9"/>
    <w:rsid w:val="003A140A"/>
    <w:rsid w:val="003A23A8"/>
    <w:rsid w:val="003A2483"/>
    <w:rsid w:val="003A3501"/>
    <w:rsid w:val="003A5021"/>
    <w:rsid w:val="003A5717"/>
    <w:rsid w:val="003B2A0B"/>
    <w:rsid w:val="003B515D"/>
    <w:rsid w:val="003B5BB0"/>
    <w:rsid w:val="003B60E7"/>
    <w:rsid w:val="003C01BE"/>
    <w:rsid w:val="003C0AAF"/>
    <w:rsid w:val="003C4277"/>
    <w:rsid w:val="003C4A28"/>
    <w:rsid w:val="003C6023"/>
    <w:rsid w:val="003C7937"/>
    <w:rsid w:val="003D1272"/>
    <w:rsid w:val="003D19B7"/>
    <w:rsid w:val="003E1F80"/>
    <w:rsid w:val="003E2BC0"/>
    <w:rsid w:val="003E7BC3"/>
    <w:rsid w:val="003F0696"/>
    <w:rsid w:val="003F3449"/>
    <w:rsid w:val="003F38CC"/>
    <w:rsid w:val="00400688"/>
    <w:rsid w:val="00402CD7"/>
    <w:rsid w:val="004031ED"/>
    <w:rsid w:val="00404229"/>
    <w:rsid w:val="004047FF"/>
    <w:rsid w:val="004049FA"/>
    <w:rsid w:val="004068A9"/>
    <w:rsid w:val="00407EB1"/>
    <w:rsid w:val="0041077D"/>
    <w:rsid w:val="004122E0"/>
    <w:rsid w:val="004141B1"/>
    <w:rsid w:val="0041488E"/>
    <w:rsid w:val="00415E94"/>
    <w:rsid w:val="00415FC9"/>
    <w:rsid w:val="00416AD9"/>
    <w:rsid w:val="00417503"/>
    <w:rsid w:val="00423780"/>
    <w:rsid w:val="00425D92"/>
    <w:rsid w:val="00433A8F"/>
    <w:rsid w:val="00433F17"/>
    <w:rsid w:val="00434225"/>
    <w:rsid w:val="00434BCC"/>
    <w:rsid w:val="004360B9"/>
    <w:rsid w:val="00436BDE"/>
    <w:rsid w:val="00443DD9"/>
    <w:rsid w:val="004505C5"/>
    <w:rsid w:val="00450E31"/>
    <w:rsid w:val="00453C24"/>
    <w:rsid w:val="00454F9C"/>
    <w:rsid w:val="0045563C"/>
    <w:rsid w:val="004603A4"/>
    <w:rsid w:val="004607E7"/>
    <w:rsid w:val="004608D7"/>
    <w:rsid w:val="004616D5"/>
    <w:rsid w:val="004616EF"/>
    <w:rsid w:val="00461C56"/>
    <w:rsid w:val="0046244E"/>
    <w:rsid w:val="00462D0C"/>
    <w:rsid w:val="00464894"/>
    <w:rsid w:val="004660E1"/>
    <w:rsid w:val="004663F1"/>
    <w:rsid w:val="00471280"/>
    <w:rsid w:val="004718C1"/>
    <w:rsid w:val="004721B3"/>
    <w:rsid w:val="0047432F"/>
    <w:rsid w:val="00476D8F"/>
    <w:rsid w:val="0048112A"/>
    <w:rsid w:val="00481621"/>
    <w:rsid w:val="00491AD0"/>
    <w:rsid w:val="004922AE"/>
    <w:rsid w:val="00496D8F"/>
    <w:rsid w:val="004976FD"/>
    <w:rsid w:val="0049794D"/>
    <w:rsid w:val="004A00E4"/>
    <w:rsid w:val="004A5D21"/>
    <w:rsid w:val="004A5E48"/>
    <w:rsid w:val="004B19D0"/>
    <w:rsid w:val="004B2276"/>
    <w:rsid w:val="004B56FF"/>
    <w:rsid w:val="004B59F8"/>
    <w:rsid w:val="004B667F"/>
    <w:rsid w:val="004B67E2"/>
    <w:rsid w:val="004B73A1"/>
    <w:rsid w:val="004B7455"/>
    <w:rsid w:val="004C0FB7"/>
    <w:rsid w:val="004C1991"/>
    <w:rsid w:val="004C2172"/>
    <w:rsid w:val="004C2382"/>
    <w:rsid w:val="004C2BAF"/>
    <w:rsid w:val="004C5639"/>
    <w:rsid w:val="004C76DB"/>
    <w:rsid w:val="004D0C15"/>
    <w:rsid w:val="004D4E70"/>
    <w:rsid w:val="004D5BE6"/>
    <w:rsid w:val="004D6824"/>
    <w:rsid w:val="004D7E22"/>
    <w:rsid w:val="004E0796"/>
    <w:rsid w:val="004E0ECA"/>
    <w:rsid w:val="004E1FA7"/>
    <w:rsid w:val="004E2050"/>
    <w:rsid w:val="004E3364"/>
    <w:rsid w:val="004F03A3"/>
    <w:rsid w:val="004F2D17"/>
    <w:rsid w:val="004F535E"/>
    <w:rsid w:val="00501AFD"/>
    <w:rsid w:val="00502265"/>
    <w:rsid w:val="0050321C"/>
    <w:rsid w:val="005107F4"/>
    <w:rsid w:val="005136BB"/>
    <w:rsid w:val="005173B4"/>
    <w:rsid w:val="00520718"/>
    <w:rsid w:val="005212CD"/>
    <w:rsid w:val="0052382D"/>
    <w:rsid w:val="00526ABD"/>
    <w:rsid w:val="00531CD6"/>
    <w:rsid w:val="00537091"/>
    <w:rsid w:val="00541B8A"/>
    <w:rsid w:val="00545DB8"/>
    <w:rsid w:val="005501CD"/>
    <w:rsid w:val="005575F7"/>
    <w:rsid w:val="005633BB"/>
    <w:rsid w:val="0056367C"/>
    <w:rsid w:val="00566DE3"/>
    <w:rsid w:val="00572AD9"/>
    <w:rsid w:val="005736EF"/>
    <w:rsid w:val="00573AFF"/>
    <w:rsid w:val="0057553D"/>
    <w:rsid w:val="0057571B"/>
    <w:rsid w:val="00576AEC"/>
    <w:rsid w:val="00577F05"/>
    <w:rsid w:val="005818EF"/>
    <w:rsid w:val="00582B21"/>
    <w:rsid w:val="00582CD8"/>
    <w:rsid w:val="00585265"/>
    <w:rsid w:val="005901BE"/>
    <w:rsid w:val="00590241"/>
    <w:rsid w:val="00590FB8"/>
    <w:rsid w:val="00591572"/>
    <w:rsid w:val="00593D2E"/>
    <w:rsid w:val="00594331"/>
    <w:rsid w:val="0059448E"/>
    <w:rsid w:val="005A2372"/>
    <w:rsid w:val="005A32F3"/>
    <w:rsid w:val="005A338C"/>
    <w:rsid w:val="005A3B4A"/>
    <w:rsid w:val="005A7952"/>
    <w:rsid w:val="005B2DAC"/>
    <w:rsid w:val="005B3C63"/>
    <w:rsid w:val="005B6113"/>
    <w:rsid w:val="005C1782"/>
    <w:rsid w:val="005C198C"/>
    <w:rsid w:val="005C1BA9"/>
    <w:rsid w:val="005C1C3E"/>
    <w:rsid w:val="005C23D9"/>
    <w:rsid w:val="005C61FC"/>
    <w:rsid w:val="005C6D02"/>
    <w:rsid w:val="005D0187"/>
    <w:rsid w:val="005D5290"/>
    <w:rsid w:val="005D54C9"/>
    <w:rsid w:val="005D5874"/>
    <w:rsid w:val="005D5AC2"/>
    <w:rsid w:val="005D6606"/>
    <w:rsid w:val="005E363A"/>
    <w:rsid w:val="005E3AA5"/>
    <w:rsid w:val="005E508A"/>
    <w:rsid w:val="005E53F4"/>
    <w:rsid w:val="005E6819"/>
    <w:rsid w:val="005E6D9A"/>
    <w:rsid w:val="005E717B"/>
    <w:rsid w:val="005F1B56"/>
    <w:rsid w:val="005F4C43"/>
    <w:rsid w:val="005F6834"/>
    <w:rsid w:val="0060132A"/>
    <w:rsid w:val="00602324"/>
    <w:rsid w:val="006036C1"/>
    <w:rsid w:val="00603E5E"/>
    <w:rsid w:val="006056A7"/>
    <w:rsid w:val="00611EFA"/>
    <w:rsid w:val="00612848"/>
    <w:rsid w:val="00615476"/>
    <w:rsid w:val="00616995"/>
    <w:rsid w:val="0061757A"/>
    <w:rsid w:val="00621402"/>
    <w:rsid w:val="00623E1C"/>
    <w:rsid w:val="006249B4"/>
    <w:rsid w:val="006265F2"/>
    <w:rsid w:val="00626DF3"/>
    <w:rsid w:val="00626F89"/>
    <w:rsid w:val="00627692"/>
    <w:rsid w:val="00632E84"/>
    <w:rsid w:val="006343AD"/>
    <w:rsid w:val="00634B7D"/>
    <w:rsid w:val="006352A0"/>
    <w:rsid w:val="00642161"/>
    <w:rsid w:val="00646D7F"/>
    <w:rsid w:val="0065025F"/>
    <w:rsid w:val="006504C1"/>
    <w:rsid w:val="00650BA6"/>
    <w:rsid w:val="00651789"/>
    <w:rsid w:val="00656D78"/>
    <w:rsid w:val="00657A56"/>
    <w:rsid w:val="00660F38"/>
    <w:rsid w:val="00660FFC"/>
    <w:rsid w:val="00664ED8"/>
    <w:rsid w:val="0067018F"/>
    <w:rsid w:val="0067092C"/>
    <w:rsid w:val="0067241A"/>
    <w:rsid w:val="00672C04"/>
    <w:rsid w:val="00674D21"/>
    <w:rsid w:val="00674FFC"/>
    <w:rsid w:val="00677795"/>
    <w:rsid w:val="00677D69"/>
    <w:rsid w:val="00680D66"/>
    <w:rsid w:val="0068120F"/>
    <w:rsid w:val="006827ED"/>
    <w:rsid w:val="006867E0"/>
    <w:rsid w:val="00690CA9"/>
    <w:rsid w:val="006914CB"/>
    <w:rsid w:val="006936F2"/>
    <w:rsid w:val="006962B6"/>
    <w:rsid w:val="00697B98"/>
    <w:rsid w:val="00697CD5"/>
    <w:rsid w:val="006A13A1"/>
    <w:rsid w:val="006A3BB3"/>
    <w:rsid w:val="006A4B6E"/>
    <w:rsid w:val="006A552D"/>
    <w:rsid w:val="006A6150"/>
    <w:rsid w:val="006A79D8"/>
    <w:rsid w:val="006B0598"/>
    <w:rsid w:val="006B07C8"/>
    <w:rsid w:val="006B3369"/>
    <w:rsid w:val="006B3A1C"/>
    <w:rsid w:val="006B3B0B"/>
    <w:rsid w:val="006B4992"/>
    <w:rsid w:val="006B67C3"/>
    <w:rsid w:val="006B693E"/>
    <w:rsid w:val="006C3314"/>
    <w:rsid w:val="006C42F3"/>
    <w:rsid w:val="006C5BEA"/>
    <w:rsid w:val="006C7D52"/>
    <w:rsid w:val="006D00FD"/>
    <w:rsid w:val="006D123A"/>
    <w:rsid w:val="006D3945"/>
    <w:rsid w:val="006D5F96"/>
    <w:rsid w:val="006D6317"/>
    <w:rsid w:val="006D7EA3"/>
    <w:rsid w:val="006E17D9"/>
    <w:rsid w:val="006E4273"/>
    <w:rsid w:val="006E6FC6"/>
    <w:rsid w:val="006F289A"/>
    <w:rsid w:val="006F2916"/>
    <w:rsid w:val="006F47F5"/>
    <w:rsid w:val="006F52F0"/>
    <w:rsid w:val="006F746C"/>
    <w:rsid w:val="00702B27"/>
    <w:rsid w:val="00703784"/>
    <w:rsid w:val="00703D20"/>
    <w:rsid w:val="00705539"/>
    <w:rsid w:val="0070608B"/>
    <w:rsid w:val="007070C2"/>
    <w:rsid w:val="00707C3A"/>
    <w:rsid w:val="00707CDF"/>
    <w:rsid w:val="007128C4"/>
    <w:rsid w:val="0071340E"/>
    <w:rsid w:val="00715508"/>
    <w:rsid w:val="00720325"/>
    <w:rsid w:val="007209D9"/>
    <w:rsid w:val="00721152"/>
    <w:rsid w:val="007225E9"/>
    <w:rsid w:val="00723594"/>
    <w:rsid w:val="007235AF"/>
    <w:rsid w:val="00726E5D"/>
    <w:rsid w:val="007273DF"/>
    <w:rsid w:val="00727439"/>
    <w:rsid w:val="00727FB8"/>
    <w:rsid w:val="00732625"/>
    <w:rsid w:val="007329E3"/>
    <w:rsid w:val="00733A36"/>
    <w:rsid w:val="007353F3"/>
    <w:rsid w:val="00735905"/>
    <w:rsid w:val="00737260"/>
    <w:rsid w:val="00741894"/>
    <w:rsid w:val="007425AC"/>
    <w:rsid w:val="007432B4"/>
    <w:rsid w:val="007454F7"/>
    <w:rsid w:val="007464D8"/>
    <w:rsid w:val="0075067D"/>
    <w:rsid w:val="0075157B"/>
    <w:rsid w:val="00752146"/>
    <w:rsid w:val="00752177"/>
    <w:rsid w:val="00753B5A"/>
    <w:rsid w:val="00755E3A"/>
    <w:rsid w:val="007567E9"/>
    <w:rsid w:val="00756F8B"/>
    <w:rsid w:val="00760BDB"/>
    <w:rsid w:val="0076177F"/>
    <w:rsid w:val="00761A6E"/>
    <w:rsid w:val="00765B80"/>
    <w:rsid w:val="00766727"/>
    <w:rsid w:val="007732DB"/>
    <w:rsid w:val="00773E68"/>
    <w:rsid w:val="007747E6"/>
    <w:rsid w:val="0077531C"/>
    <w:rsid w:val="00785E99"/>
    <w:rsid w:val="00786C86"/>
    <w:rsid w:val="00790671"/>
    <w:rsid w:val="00791A36"/>
    <w:rsid w:val="00791F60"/>
    <w:rsid w:val="0079214A"/>
    <w:rsid w:val="00792A27"/>
    <w:rsid w:val="00793558"/>
    <w:rsid w:val="00793788"/>
    <w:rsid w:val="00794F6B"/>
    <w:rsid w:val="007953A3"/>
    <w:rsid w:val="0079662F"/>
    <w:rsid w:val="007968D6"/>
    <w:rsid w:val="00797AC8"/>
    <w:rsid w:val="007A05F5"/>
    <w:rsid w:val="007A57F0"/>
    <w:rsid w:val="007B305D"/>
    <w:rsid w:val="007B7468"/>
    <w:rsid w:val="007C0F13"/>
    <w:rsid w:val="007C1376"/>
    <w:rsid w:val="007C25BB"/>
    <w:rsid w:val="007C268A"/>
    <w:rsid w:val="007C55F7"/>
    <w:rsid w:val="007C705B"/>
    <w:rsid w:val="007D0ADF"/>
    <w:rsid w:val="007D4608"/>
    <w:rsid w:val="007D6830"/>
    <w:rsid w:val="007D6B13"/>
    <w:rsid w:val="007E4F62"/>
    <w:rsid w:val="007E51ED"/>
    <w:rsid w:val="007E621D"/>
    <w:rsid w:val="007F4864"/>
    <w:rsid w:val="007F4989"/>
    <w:rsid w:val="00802977"/>
    <w:rsid w:val="00802EA3"/>
    <w:rsid w:val="00803106"/>
    <w:rsid w:val="0080439D"/>
    <w:rsid w:val="00805700"/>
    <w:rsid w:val="0080615B"/>
    <w:rsid w:val="0081088A"/>
    <w:rsid w:val="00811BC7"/>
    <w:rsid w:val="00815E75"/>
    <w:rsid w:val="00820247"/>
    <w:rsid w:val="00820776"/>
    <w:rsid w:val="00821928"/>
    <w:rsid w:val="00821ABF"/>
    <w:rsid w:val="008222DD"/>
    <w:rsid w:val="008230C3"/>
    <w:rsid w:val="0082598C"/>
    <w:rsid w:val="00827D38"/>
    <w:rsid w:val="00831BB9"/>
    <w:rsid w:val="008339A1"/>
    <w:rsid w:val="00833D1D"/>
    <w:rsid w:val="00833E98"/>
    <w:rsid w:val="00836043"/>
    <w:rsid w:val="00836D0A"/>
    <w:rsid w:val="008377B2"/>
    <w:rsid w:val="00842131"/>
    <w:rsid w:val="00845D14"/>
    <w:rsid w:val="00845D8B"/>
    <w:rsid w:val="00846547"/>
    <w:rsid w:val="008500FB"/>
    <w:rsid w:val="0085098E"/>
    <w:rsid w:val="0085236D"/>
    <w:rsid w:val="008538B1"/>
    <w:rsid w:val="008539CA"/>
    <w:rsid w:val="00857846"/>
    <w:rsid w:val="00857C4E"/>
    <w:rsid w:val="00860C03"/>
    <w:rsid w:val="008616EF"/>
    <w:rsid w:val="008637ED"/>
    <w:rsid w:val="008665D1"/>
    <w:rsid w:val="008736E5"/>
    <w:rsid w:val="00873791"/>
    <w:rsid w:val="00874F70"/>
    <w:rsid w:val="00880161"/>
    <w:rsid w:val="008807F7"/>
    <w:rsid w:val="00880CA9"/>
    <w:rsid w:val="0088296E"/>
    <w:rsid w:val="00883444"/>
    <w:rsid w:val="0088355A"/>
    <w:rsid w:val="00883B5D"/>
    <w:rsid w:val="0088514A"/>
    <w:rsid w:val="00885CF4"/>
    <w:rsid w:val="00885FD9"/>
    <w:rsid w:val="008942F2"/>
    <w:rsid w:val="00895B63"/>
    <w:rsid w:val="008A1D5E"/>
    <w:rsid w:val="008A4653"/>
    <w:rsid w:val="008A6C64"/>
    <w:rsid w:val="008A6F71"/>
    <w:rsid w:val="008A7953"/>
    <w:rsid w:val="008B0C94"/>
    <w:rsid w:val="008B1862"/>
    <w:rsid w:val="008B7C08"/>
    <w:rsid w:val="008C0ACD"/>
    <w:rsid w:val="008C2262"/>
    <w:rsid w:val="008C3F85"/>
    <w:rsid w:val="008D028A"/>
    <w:rsid w:val="008D4B87"/>
    <w:rsid w:val="008D5010"/>
    <w:rsid w:val="008D7C85"/>
    <w:rsid w:val="008E0C10"/>
    <w:rsid w:val="008E374B"/>
    <w:rsid w:val="008E3CD6"/>
    <w:rsid w:val="008E7972"/>
    <w:rsid w:val="008F088A"/>
    <w:rsid w:val="008F17F8"/>
    <w:rsid w:val="008F2BE8"/>
    <w:rsid w:val="008F4DB2"/>
    <w:rsid w:val="008F626A"/>
    <w:rsid w:val="0090108C"/>
    <w:rsid w:val="0090342E"/>
    <w:rsid w:val="00903472"/>
    <w:rsid w:val="009061AB"/>
    <w:rsid w:val="00906A52"/>
    <w:rsid w:val="00913604"/>
    <w:rsid w:val="0091462C"/>
    <w:rsid w:val="00920BA0"/>
    <w:rsid w:val="009225FC"/>
    <w:rsid w:val="00925A76"/>
    <w:rsid w:val="00926B5D"/>
    <w:rsid w:val="009274AA"/>
    <w:rsid w:val="009278EA"/>
    <w:rsid w:val="00930AC8"/>
    <w:rsid w:val="009312AB"/>
    <w:rsid w:val="00931F97"/>
    <w:rsid w:val="00932085"/>
    <w:rsid w:val="0093213D"/>
    <w:rsid w:val="00932E49"/>
    <w:rsid w:val="009370BB"/>
    <w:rsid w:val="00940B0A"/>
    <w:rsid w:val="009410B7"/>
    <w:rsid w:val="0094297B"/>
    <w:rsid w:val="00944370"/>
    <w:rsid w:val="0095060A"/>
    <w:rsid w:val="0095172A"/>
    <w:rsid w:val="00951B15"/>
    <w:rsid w:val="00951E3E"/>
    <w:rsid w:val="009536FE"/>
    <w:rsid w:val="00955D11"/>
    <w:rsid w:val="00960AB0"/>
    <w:rsid w:val="00964255"/>
    <w:rsid w:val="00966C4C"/>
    <w:rsid w:val="00973E09"/>
    <w:rsid w:val="00975598"/>
    <w:rsid w:val="00977165"/>
    <w:rsid w:val="00980451"/>
    <w:rsid w:val="009814E2"/>
    <w:rsid w:val="009831C3"/>
    <w:rsid w:val="00984E76"/>
    <w:rsid w:val="00985EDF"/>
    <w:rsid w:val="009867F7"/>
    <w:rsid w:val="009904F5"/>
    <w:rsid w:val="009923FB"/>
    <w:rsid w:val="00997895"/>
    <w:rsid w:val="009A0708"/>
    <w:rsid w:val="009A1BB9"/>
    <w:rsid w:val="009A233E"/>
    <w:rsid w:val="009A3932"/>
    <w:rsid w:val="009A3EB7"/>
    <w:rsid w:val="009A5662"/>
    <w:rsid w:val="009A76D9"/>
    <w:rsid w:val="009B0C7F"/>
    <w:rsid w:val="009B1795"/>
    <w:rsid w:val="009B3A96"/>
    <w:rsid w:val="009B469F"/>
    <w:rsid w:val="009C1947"/>
    <w:rsid w:val="009C198D"/>
    <w:rsid w:val="009C4052"/>
    <w:rsid w:val="009C5A44"/>
    <w:rsid w:val="009C6EC3"/>
    <w:rsid w:val="009C78DC"/>
    <w:rsid w:val="009D048A"/>
    <w:rsid w:val="009D054B"/>
    <w:rsid w:val="009D0606"/>
    <w:rsid w:val="009D068E"/>
    <w:rsid w:val="009D2F15"/>
    <w:rsid w:val="009D34A0"/>
    <w:rsid w:val="009D6395"/>
    <w:rsid w:val="009D6D32"/>
    <w:rsid w:val="009D7DC3"/>
    <w:rsid w:val="009D7DD4"/>
    <w:rsid w:val="009E0180"/>
    <w:rsid w:val="009E1E8C"/>
    <w:rsid w:val="009E5F4A"/>
    <w:rsid w:val="009E75B8"/>
    <w:rsid w:val="009F0E23"/>
    <w:rsid w:val="009F34C8"/>
    <w:rsid w:val="009F66AF"/>
    <w:rsid w:val="009F73DF"/>
    <w:rsid w:val="009F74F8"/>
    <w:rsid w:val="009F7B55"/>
    <w:rsid w:val="00A00401"/>
    <w:rsid w:val="00A01593"/>
    <w:rsid w:val="00A018A5"/>
    <w:rsid w:val="00A01F90"/>
    <w:rsid w:val="00A0255D"/>
    <w:rsid w:val="00A07DEA"/>
    <w:rsid w:val="00A07EC8"/>
    <w:rsid w:val="00A13824"/>
    <w:rsid w:val="00A13C57"/>
    <w:rsid w:val="00A15EAF"/>
    <w:rsid w:val="00A21D7D"/>
    <w:rsid w:val="00A24ECB"/>
    <w:rsid w:val="00A270AF"/>
    <w:rsid w:val="00A27377"/>
    <w:rsid w:val="00A32D1A"/>
    <w:rsid w:val="00A35479"/>
    <w:rsid w:val="00A35A0E"/>
    <w:rsid w:val="00A37360"/>
    <w:rsid w:val="00A426AD"/>
    <w:rsid w:val="00A42AD8"/>
    <w:rsid w:val="00A4556D"/>
    <w:rsid w:val="00A4702C"/>
    <w:rsid w:val="00A51E22"/>
    <w:rsid w:val="00A5318B"/>
    <w:rsid w:val="00A54B3F"/>
    <w:rsid w:val="00A558B9"/>
    <w:rsid w:val="00A61FF4"/>
    <w:rsid w:val="00A6380B"/>
    <w:rsid w:val="00A639A1"/>
    <w:rsid w:val="00A645F1"/>
    <w:rsid w:val="00A64744"/>
    <w:rsid w:val="00A658EB"/>
    <w:rsid w:val="00A65F13"/>
    <w:rsid w:val="00A66AFB"/>
    <w:rsid w:val="00A6701B"/>
    <w:rsid w:val="00A72559"/>
    <w:rsid w:val="00A738E8"/>
    <w:rsid w:val="00A74313"/>
    <w:rsid w:val="00A746DF"/>
    <w:rsid w:val="00A748F3"/>
    <w:rsid w:val="00A77962"/>
    <w:rsid w:val="00A860E9"/>
    <w:rsid w:val="00A8660C"/>
    <w:rsid w:val="00A90FB6"/>
    <w:rsid w:val="00AA03F2"/>
    <w:rsid w:val="00AA05FA"/>
    <w:rsid w:val="00AA18D1"/>
    <w:rsid w:val="00AA2615"/>
    <w:rsid w:val="00AA34D4"/>
    <w:rsid w:val="00AA3AB0"/>
    <w:rsid w:val="00AA6BC5"/>
    <w:rsid w:val="00AA71B2"/>
    <w:rsid w:val="00AA7C52"/>
    <w:rsid w:val="00AB0CD4"/>
    <w:rsid w:val="00AB5D5A"/>
    <w:rsid w:val="00AB76BB"/>
    <w:rsid w:val="00AC4E7A"/>
    <w:rsid w:val="00AC5CA2"/>
    <w:rsid w:val="00AC71B2"/>
    <w:rsid w:val="00AC7831"/>
    <w:rsid w:val="00AD0627"/>
    <w:rsid w:val="00AD31CF"/>
    <w:rsid w:val="00AD6F6A"/>
    <w:rsid w:val="00AE016E"/>
    <w:rsid w:val="00AE0F9C"/>
    <w:rsid w:val="00AE2195"/>
    <w:rsid w:val="00AE54FA"/>
    <w:rsid w:val="00AE620B"/>
    <w:rsid w:val="00AE7211"/>
    <w:rsid w:val="00AE73A9"/>
    <w:rsid w:val="00AF3FDF"/>
    <w:rsid w:val="00AF421A"/>
    <w:rsid w:val="00AF4AA5"/>
    <w:rsid w:val="00B00D32"/>
    <w:rsid w:val="00B018C1"/>
    <w:rsid w:val="00B053BC"/>
    <w:rsid w:val="00B07A32"/>
    <w:rsid w:val="00B1108D"/>
    <w:rsid w:val="00B14A68"/>
    <w:rsid w:val="00B15A07"/>
    <w:rsid w:val="00B15B5C"/>
    <w:rsid w:val="00B15B9A"/>
    <w:rsid w:val="00B20B7B"/>
    <w:rsid w:val="00B23521"/>
    <w:rsid w:val="00B26F58"/>
    <w:rsid w:val="00B27150"/>
    <w:rsid w:val="00B31FFE"/>
    <w:rsid w:val="00B3358C"/>
    <w:rsid w:val="00B342D6"/>
    <w:rsid w:val="00B347C1"/>
    <w:rsid w:val="00B35757"/>
    <w:rsid w:val="00B37556"/>
    <w:rsid w:val="00B42E67"/>
    <w:rsid w:val="00B521F8"/>
    <w:rsid w:val="00B5300C"/>
    <w:rsid w:val="00B53EE7"/>
    <w:rsid w:val="00B54002"/>
    <w:rsid w:val="00B5460E"/>
    <w:rsid w:val="00B558E5"/>
    <w:rsid w:val="00B5626C"/>
    <w:rsid w:val="00B57BED"/>
    <w:rsid w:val="00B61A1A"/>
    <w:rsid w:val="00B64A97"/>
    <w:rsid w:val="00B67ACE"/>
    <w:rsid w:val="00B73D47"/>
    <w:rsid w:val="00B74894"/>
    <w:rsid w:val="00B75C76"/>
    <w:rsid w:val="00B76AD4"/>
    <w:rsid w:val="00B76DB5"/>
    <w:rsid w:val="00B772E7"/>
    <w:rsid w:val="00B77C2F"/>
    <w:rsid w:val="00B8200D"/>
    <w:rsid w:val="00B82A6B"/>
    <w:rsid w:val="00B868BF"/>
    <w:rsid w:val="00B86A13"/>
    <w:rsid w:val="00B922A5"/>
    <w:rsid w:val="00B93A2D"/>
    <w:rsid w:val="00B95CF0"/>
    <w:rsid w:val="00B96473"/>
    <w:rsid w:val="00BA0BDC"/>
    <w:rsid w:val="00BA0CD6"/>
    <w:rsid w:val="00BA3B82"/>
    <w:rsid w:val="00BA6DEC"/>
    <w:rsid w:val="00BA74FC"/>
    <w:rsid w:val="00BB3F5A"/>
    <w:rsid w:val="00BB5859"/>
    <w:rsid w:val="00BC0A77"/>
    <w:rsid w:val="00BC20B7"/>
    <w:rsid w:val="00BC27E5"/>
    <w:rsid w:val="00BC3BAD"/>
    <w:rsid w:val="00BC647A"/>
    <w:rsid w:val="00BC7474"/>
    <w:rsid w:val="00BD2A0E"/>
    <w:rsid w:val="00BD4C8B"/>
    <w:rsid w:val="00BD5262"/>
    <w:rsid w:val="00BD5DD5"/>
    <w:rsid w:val="00BD68BC"/>
    <w:rsid w:val="00BD7B6A"/>
    <w:rsid w:val="00BE0799"/>
    <w:rsid w:val="00BE094F"/>
    <w:rsid w:val="00BE2C8F"/>
    <w:rsid w:val="00BE325A"/>
    <w:rsid w:val="00BE5E71"/>
    <w:rsid w:val="00BE70DB"/>
    <w:rsid w:val="00BE7553"/>
    <w:rsid w:val="00BF38DE"/>
    <w:rsid w:val="00BF7D5B"/>
    <w:rsid w:val="00C01A35"/>
    <w:rsid w:val="00C0275F"/>
    <w:rsid w:val="00C03EDD"/>
    <w:rsid w:val="00C058D8"/>
    <w:rsid w:val="00C105FE"/>
    <w:rsid w:val="00C11DB4"/>
    <w:rsid w:val="00C12592"/>
    <w:rsid w:val="00C12F11"/>
    <w:rsid w:val="00C131FE"/>
    <w:rsid w:val="00C132D7"/>
    <w:rsid w:val="00C1632E"/>
    <w:rsid w:val="00C21784"/>
    <w:rsid w:val="00C22A63"/>
    <w:rsid w:val="00C2475E"/>
    <w:rsid w:val="00C260A5"/>
    <w:rsid w:val="00C27302"/>
    <w:rsid w:val="00C31570"/>
    <w:rsid w:val="00C316CD"/>
    <w:rsid w:val="00C33301"/>
    <w:rsid w:val="00C36294"/>
    <w:rsid w:val="00C3690F"/>
    <w:rsid w:val="00C429B2"/>
    <w:rsid w:val="00C46153"/>
    <w:rsid w:val="00C468CB"/>
    <w:rsid w:val="00C472B2"/>
    <w:rsid w:val="00C47D54"/>
    <w:rsid w:val="00C5772D"/>
    <w:rsid w:val="00C607D1"/>
    <w:rsid w:val="00C60E0A"/>
    <w:rsid w:val="00C632CD"/>
    <w:rsid w:val="00C65BBA"/>
    <w:rsid w:val="00C700F5"/>
    <w:rsid w:val="00C71ED7"/>
    <w:rsid w:val="00C757DB"/>
    <w:rsid w:val="00C75F1C"/>
    <w:rsid w:val="00C75F39"/>
    <w:rsid w:val="00C76262"/>
    <w:rsid w:val="00C80CF4"/>
    <w:rsid w:val="00C81D7E"/>
    <w:rsid w:val="00C83623"/>
    <w:rsid w:val="00C83F55"/>
    <w:rsid w:val="00C84BE5"/>
    <w:rsid w:val="00C84E29"/>
    <w:rsid w:val="00C870CA"/>
    <w:rsid w:val="00C94A8F"/>
    <w:rsid w:val="00C94EC6"/>
    <w:rsid w:val="00C9657C"/>
    <w:rsid w:val="00C96A6A"/>
    <w:rsid w:val="00CA0A6D"/>
    <w:rsid w:val="00CA3268"/>
    <w:rsid w:val="00CA5192"/>
    <w:rsid w:val="00CA5379"/>
    <w:rsid w:val="00CA77E7"/>
    <w:rsid w:val="00CB0124"/>
    <w:rsid w:val="00CB12C8"/>
    <w:rsid w:val="00CB1359"/>
    <w:rsid w:val="00CB3158"/>
    <w:rsid w:val="00CB50C2"/>
    <w:rsid w:val="00CB533E"/>
    <w:rsid w:val="00CB6FCB"/>
    <w:rsid w:val="00CC1314"/>
    <w:rsid w:val="00CC70F9"/>
    <w:rsid w:val="00CC77A5"/>
    <w:rsid w:val="00CD15F5"/>
    <w:rsid w:val="00CD16C7"/>
    <w:rsid w:val="00CD265D"/>
    <w:rsid w:val="00CD31FF"/>
    <w:rsid w:val="00CD7ACB"/>
    <w:rsid w:val="00CE30B5"/>
    <w:rsid w:val="00CE7082"/>
    <w:rsid w:val="00CE783E"/>
    <w:rsid w:val="00CF0097"/>
    <w:rsid w:val="00CF0699"/>
    <w:rsid w:val="00CF3C1C"/>
    <w:rsid w:val="00CF3E0D"/>
    <w:rsid w:val="00CF4A9C"/>
    <w:rsid w:val="00CF5E40"/>
    <w:rsid w:val="00CF67CF"/>
    <w:rsid w:val="00CF7E17"/>
    <w:rsid w:val="00D04831"/>
    <w:rsid w:val="00D05426"/>
    <w:rsid w:val="00D07558"/>
    <w:rsid w:val="00D120A5"/>
    <w:rsid w:val="00D12113"/>
    <w:rsid w:val="00D15121"/>
    <w:rsid w:val="00D168EF"/>
    <w:rsid w:val="00D20801"/>
    <w:rsid w:val="00D216E7"/>
    <w:rsid w:val="00D231E0"/>
    <w:rsid w:val="00D2402F"/>
    <w:rsid w:val="00D2403C"/>
    <w:rsid w:val="00D24C31"/>
    <w:rsid w:val="00D2700C"/>
    <w:rsid w:val="00D278AE"/>
    <w:rsid w:val="00D32629"/>
    <w:rsid w:val="00D33E67"/>
    <w:rsid w:val="00D33F8D"/>
    <w:rsid w:val="00D3414F"/>
    <w:rsid w:val="00D351F1"/>
    <w:rsid w:val="00D363BA"/>
    <w:rsid w:val="00D40466"/>
    <w:rsid w:val="00D41678"/>
    <w:rsid w:val="00D41BAD"/>
    <w:rsid w:val="00D443CC"/>
    <w:rsid w:val="00D45672"/>
    <w:rsid w:val="00D46828"/>
    <w:rsid w:val="00D46838"/>
    <w:rsid w:val="00D47CB7"/>
    <w:rsid w:val="00D517D5"/>
    <w:rsid w:val="00D523A4"/>
    <w:rsid w:val="00D536E4"/>
    <w:rsid w:val="00D55191"/>
    <w:rsid w:val="00D55841"/>
    <w:rsid w:val="00D55DD6"/>
    <w:rsid w:val="00D56A74"/>
    <w:rsid w:val="00D57E24"/>
    <w:rsid w:val="00D60B63"/>
    <w:rsid w:val="00D61F64"/>
    <w:rsid w:val="00D62C59"/>
    <w:rsid w:val="00D6371D"/>
    <w:rsid w:val="00D65708"/>
    <w:rsid w:val="00D70538"/>
    <w:rsid w:val="00D73216"/>
    <w:rsid w:val="00D7627B"/>
    <w:rsid w:val="00D77780"/>
    <w:rsid w:val="00D815C7"/>
    <w:rsid w:val="00D8395D"/>
    <w:rsid w:val="00D84E4C"/>
    <w:rsid w:val="00D86D56"/>
    <w:rsid w:val="00D9159C"/>
    <w:rsid w:val="00D95CAA"/>
    <w:rsid w:val="00D97F21"/>
    <w:rsid w:val="00DA320F"/>
    <w:rsid w:val="00DA641A"/>
    <w:rsid w:val="00DA6718"/>
    <w:rsid w:val="00DA7468"/>
    <w:rsid w:val="00DB020E"/>
    <w:rsid w:val="00DB050C"/>
    <w:rsid w:val="00DB06A7"/>
    <w:rsid w:val="00DB0D74"/>
    <w:rsid w:val="00DB612C"/>
    <w:rsid w:val="00DB6184"/>
    <w:rsid w:val="00DC15DC"/>
    <w:rsid w:val="00DC1967"/>
    <w:rsid w:val="00DC1ACB"/>
    <w:rsid w:val="00DC308C"/>
    <w:rsid w:val="00DC4FF1"/>
    <w:rsid w:val="00DC5AEB"/>
    <w:rsid w:val="00DC60FB"/>
    <w:rsid w:val="00DC72BE"/>
    <w:rsid w:val="00DC76F6"/>
    <w:rsid w:val="00DD0DEB"/>
    <w:rsid w:val="00DD19B3"/>
    <w:rsid w:val="00DD67AB"/>
    <w:rsid w:val="00DE017E"/>
    <w:rsid w:val="00DE15C2"/>
    <w:rsid w:val="00DE333D"/>
    <w:rsid w:val="00DE51F6"/>
    <w:rsid w:val="00DE59D2"/>
    <w:rsid w:val="00DE60A7"/>
    <w:rsid w:val="00DE65D5"/>
    <w:rsid w:val="00DE6F06"/>
    <w:rsid w:val="00DE7371"/>
    <w:rsid w:val="00DF1B18"/>
    <w:rsid w:val="00DF2664"/>
    <w:rsid w:val="00DF37D3"/>
    <w:rsid w:val="00DF3DE5"/>
    <w:rsid w:val="00E00E5B"/>
    <w:rsid w:val="00E01DE0"/>
    <w:rsid w:val="00E0248E"/>
    <w:rsid w:val="00E04F2C"/>
    <w:rsid w:val="00E05F6A"/>
    <w:rsid w:val="00E10AE4"/>
    <w:rsid w:val="00E11084"/>
    <w:rsid w:val="00E11D4C"/>
    <w:rsid w:val="00E11DDB"/>
    <w:rsid w:val="00E174ED"/>
    <w:rsid w:val="00E2405E"/>
    <w:rsid w:val="00E24ED4"/>
    <w:rsid w:val="00E30C49"/>
    <w:rsid w:val="00E31A83"/>
    <w:rsid w:val="00E31D8A"/>
    <w:rsid w:val="00E32AB7"/>
    <w:rsid w:val="00E34B73"/>
    <w:rsid w:val="00E35557"/>
    <w:rsid w:val="00E3582A"/>
    <w:rsid w:val="00E359E1"/>
    <w:rsid w:val="00E41CA6"/>
    <w:rsid w:val="00E46093"/>
    <w:rsid w:val="00E471AC"/>
    <w:rsid w:val="00E473E3"/>
    <w:rsid w:val="00E54722"/>
    <w:rsid w:val="00E612DA"/>
    <w:rsid w:val="00E62A3B"/>
    <w:rsid w:val="00E6577C"/>
    <w:rsid w:val="00E65ACF"/>
    <w:rsid w:val="00E67940"/>
    <w:rsid w:val="00E67D3B"/>
    <w:rsid w:val="00E67ED5"/>
    <w:rsid w:val="00E74271"/>
    <w:rsid w:val="00E74FE8"/>
    <w:rsid w:val="00E75A61"/>
    <w:rsid w:val="00E75DF2"/>
    <w:rsid w:val="00E7711E"/>
    <w:rsid w:val="00E80827"/>
    <w:rsid w:val="00E80FBA"/>
    <w:rsid w:val="00E82867"/>
    <w:rsid w:val="00E8372D"/>
    <w:rsid w:val="00E85491"/>
    <w:rsid w:val="00E86CB6"/>
    <w:rsid w:val="00E86F37"/>
    <w:rsid w:val="00E87AA4"/>
    <w:rsid w:val="00E907FE"/>
    <w:rsid w:val="00E91978"/>
    <w:rsid w:val="00E91EB4"/>
    <w:rsid w:val="00E930E1"/>
    <w:rsid w:val="00E9486F"/>
    <w:rsid w:val="00E95D81"/>
    <w:rsid w:val="00E965D1"/>
    <w:rsid w:val="00E9664B"/>
    <w:rsid w:val="00EA15FA"/>
    <w:rsid w:val="00EA1721"/>
    <w:rsid w:val="00EA1F8F"/>
    <w:rsid w:val="00EA1FC7"/>
    <w:rsid w:val="00EA2673"/>
    <w:rsid w:val="00EA358F"/>
    <w:rsid w:val="00EA77A5"/>
    <w:rsid w:val="00EA792C"/>
    <w:rsid w:val="00EB26BE"/>
    <w:rsid w:val="00EB44DD"/>
    <w:rsid w:val="00EB479C"/>
    <w:rsid w:val="00EB604C"/>
    <w:rsid w:val="00EB748D"/>
    <w:rsid w:val="00EC0D8E"/>
    <w:rsid w:val="00EC0E07"/>
    <w:rsid w:val="00EC1C90"/>
    <w:rsid w:val="00EC2113"/>
    <w:rsid w:val="00EC2718"/>
    <w:rsid w:val="00EC7591"/>
    <w:rsid w:val="00EC7E08"/>
    <w:rsid w:val="00ED44B1"/>
    <w:rsid w:val="00ED4F42"/>
    <w:rsid w:val="00ED662D"/>
    <w:rsid w:val="00ED69C4"/>
    <w:rsid w:val="00ED6E07"/>
    <w:rsid w:val="00ED736A"/>
    <w:rsid w:val="00ED7A80"/>
    <w:rsid w:val="00EE3949"/>
    <w:rsid w:val="00EE5848"/>
    <w:rsid w:val="00EE7FE3"/>
    <w:rsid w:val="00EF1382"/>
    <w:rsid w:val="00EF1790"/>
    <w:rsid w:val="00EF2CB1"/>
    <w:rsid w:val="00EF43A1"/>
    <w:rsid w:val="00EF47FE"/>
    <w:rsid w:val="00EF4919"/>
    <w:rsid w:val="00F00548"/>
    <w:rsid w:val="00F00BD6"/>
    <w:rsid w:val="00F040E4"/>
    <w:rsid w:val="00F07410"/>
    <w:rsid w:val="00F0747D"/>
    <w:rsid w:val="00F14A87"/>
    <w:rsid w:val="00F1712A"/>
    <w:rsid w:val="00F176AA"/>
    <w:rsid w:val="00F21496"/>
    <w:rsid w:val="00F224DF"/>
    <w:rsid w:val="00F230C4"/>
    <w:rsid w:val="00F23FAC"/>
    <w:rsid w:val="00F24571"/>
    <w:rsid w:val="00F24628"/>
    <w:rsid w:val="00F2679B"/>
    <w:rsid w:val="00F271DA"/>
    <w:rsid w:val="00F3148C"/>
    <w:rsid w:val="00F31E0D"/>
    <w:rsid w:val="00F343C4"/>
    <w:rsid w:val="00F360CC"/>
    <w:rsid w:val="00F363F5"/>
    <w:rsid w:val="00F36573"/>
    <w:rsid w:val="00F379C9"/>
    <w:rsid w:val="00F4089A"/>
    <w:rsid w:val="00F41793"/>
    <w:rsid w:val="00F41844"/>
    <w:rsid w:val="00F515B1"/>
    <w:rsid w:val="00F51920"/>
    <w:rsid w:val="00F51A51"/>
    <w:rsid w:val="00F52A84"/>
    <w:rsid w:val="00F54C8A"/>
    <w:rsid w:val="00F60341"/>
    <w:rsid w:val="00F6461E"/>
    <w:rsid w:val="00F652EE"/>
    <w:rsid w:val="00F65B51"/>
    <w:rsid w:val="00F7318E"/>
    <w:rsid w:val="00F7612B"/>
    <w:rsid w:val="00F779FB"/>
    <w:rsid w:val="00F802E3"/>
    <w:rsid w:val="00F803FC"/>
    <w:rsid w:val="00F812B9"/>
    <w:rsid w:val="00F81315"/>
    <w:rsid w:val="00F827FC"/>
    <w:rsid w:val="00F830BB"/>
    <w:rsid w:val="00F8464B"/>
    <w:rsid w:val="00F87D2F"/>
    <w:rsid w:val="00F9111D"/>
    <w:rsid w:val="00F93257"/>
    <w:rsid w:val="00F93429"/>
    <w:rsid w:val="00F94253"/>
    <w:rsid w:val="00F9545D"/>
    <w:rsid w:val="00F96D97"/>
    <w:rsid w:val="00FA02CC"/>
    <w:rsid w:val="00FA0B8A"/>
    <w:rsid w:val="00FA2DBA"/>
    <w:rsid w:val="00FA36A0"/>
    <w:rsid w:val="00FA41EA"/>
    <w:rsid w:val="00FA4C06"/>
    <w:rsid w:val="00FA54FF"/>
    <w:rsid w:val="00FA6B93"/>
    <w:rsid w:val="00FB160B"/>
    <w:rsid w:val="00FB39C4"/>
    <w:rsid w:val="00FB41B4"/>
    <w:rsid w:val="00FB4495"/>
    <w:rsid w:val="00FB582B"/>
    <w:rsid w:val="00FB74F9"/>
    <w:rsid w:val="00FC6FBC"/>
    <w:rsid w:val="00FC73C7"/>
    <w:rsid w:val="00FD5163"/>
    <w:rsid w:val="00FD5173"/>
    <w:rsid w:val="00FE1075"/>
    <w:rsid w:val="00FE1674"/>
    <w:rsid w:val="00FE5193"/>
    <w:rsid w:val="00FE583C"/>
    <w:rsid w:val="00FE60CD"/>
    <w:rsid w:val="00FE6CAF"/>
    <w:rsid w:val="00FE754A"/>
    <w:rsid w:val="00FE7A73"/>
    <w:rsid w:val="00FF0D98"/>
    <w:rsid w:val="00FF12C1"/>
    <w:rsid w:val="00FF3FA9"/>
    <w:rsid w:val="00FF4DE7"/>
    <w:rsid w:val="00FF579D"/>
    <w:rsid w:val="00FF5A8B"/>
    <w:rsid w:val="00FF6E25"/>
    <w:rsid w:val="2E2A0060"/>
    <w:rsid w:val="3BFB7D31"/>
    <w:rsid w:val="43DA32F1"/>
    <w:rsid w:val="7CBA0E62"/>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30" fillcolor="white">
      <v:fill color="white"/>
    </o:shapedefaults>
    <o:shapelayout v:ext="edit">
      <o:idmap v:ext="edit" data="1"/>
    </o:shapelayout>
  </w:shapeDefaults>
  <w:decimalSymbol w:val=","/>
  <w:listSeparator w:val=";"/>
  <w14:docId w14:val="7188447A"/>
  <w15:docId w15:val="{6218647D-DD0F-4C68-A037-62948408C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200" w:line="276" w:lineRule="auto"/>
    </w:pPr>
    <w:rPr>
      <w:rFonts w:ascii="Arial" w:eastAsia="Times New Roman" w:hAnsi="Arial" w:cs="Arial"/>
      <w:sz w:val="22"/>
      <w:szCs w:val="22"/>
    </w:rPr>
  </w:style>
  <w:style w:type="paragraph" w:styleId="Nadpis1">
    <w:name w:val="heading 1"/>
    <w:basedOn w:val="Normln"/>
    <w:next w:val="Normln"/>
    <w:link w:val="Nadpis1Char"/>
    <w:qFormat/>
    <w:pPr>
      <w:keepNext/>
      <w:keepLines/>
      <w:numPr>
        <w:numId w:val="1"/>
      </w:numPr>
      <w:spacing w:before="720"/>
      <w:ind w:left="340" w:hanging="340"/>
      <w:outlineLvl w:val="0"/>
    </w:pPr>
    <w:rPr>
      <w:b/>
      <w:caps/>
      <w:sz w:val="28"/>
    </w:rPr>
  </w:style>
  <w:style w:type="paragraph" w:styleId="Nadpis2">
    <w:name w:val="heading 2"/>
    <w:basedOn w:val="Normln"/>
    <w:next w:val="Normln"/>
    <w:link w:val="Nadpis2Char"/>
    <w:unhideWhenUsed/>
    <w:qFormat/>
    <w:pPr>
      <w:keepNext/>
      <w:keepLines/>
      <w:numPr>
        <w:ilvl w:val="1"/>
        <w:numId w:val="2"/>
      </w:numPr>
      <w:spacing w:before="240" w:after="240" w:line="240" w:lineRule="auto"/>
      <w:ind w:left="0" w:firstLine="0"/>
      <w:jc w:val="both"/>
      <w:outlineLvl w:val="1"/>
    </w:pPr>
    <w:rPr>
      <w:b/>
      <w:sz w:val="24"/>
      <w:szCs w:val="26"/>
    </w:rPr>
  </w:style>
  <w:style w:type="paragraph" w:styleId="Nadpis3">
    <w:name w:val="heading 3"/>
    <w:basedOn w:val="Normln"/>
    <w:next w:val="Normln"/>
    <w:link w:val="Nadpis3Char"/>
    <w:unhideWhenUsed/>
    <w:qFormat/>
    <w:pPr>
      <w:keepNext/>
      <w:keepLines/>
      <w:numPr>
        <w:ilvl w:val="2"/>
        <w:numId w:val="2"/>
      </w:numPr>
      <w:spacing w:before="200"/>
      <w:ind w:left="680" w:hanging="680"/>
      <w:outlineLvl w:val="2"/>
    </w:pPr>
    <w:rPr>
      <w:b/>
    </w:rPr>
  </w:style>
  <w:style w:type="paragraph" w:styleId="Nadpis4">
    <w:name w:val="heading 4"/>
    <w:basedOn w:val="Normln"/>
    <w:next w:val="Normln"/>
    <w:link w:val="Nadpis4Char"/>
    <w:unhideWhenUsed/>
    <w:qFormat/>
    <w:pPr>
      <w:keepNext/>
      <w:keepLines/>
      <w:spacing w:before="120" w:after="40"/>
      <w:outlineLvl w:val="3"/>
    </w:pPr>
    <w:rPr>
      <w:i/>
      <w:iCs/>
    </w:rPr>
  </w:style>
  <w:style w:type="paragraph" w:styleId="Nadpis5">
    <w:name w:val="heading 5"/>
    <w:basedOn w:val="Normln"/>
    <w:next w:val="Normln"/>
    <w:link w:val="Nadpis5Char"/>
    <w:unhideWhenUsed/>
    <w:qFormat/>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nhideWhenUsed/>
    <w:qFormat/>
    <w:pPr>
      <w:keepNext/>
      <w:keepLines/>
      <w:numPr>
        <w:ilvl w:val="5"/>
        <w:numId w:val="1"/>
      </w:numPr>
      <w:spacing w:before="40"/>
      <w:outlineLvl w:val="5"/>
    </w:pPr>
    <w:rPr>
      <w:rFonts w:asciiTheme="majorHAnsi" w:eastAsiaTheme="majorEastAsia" w:hAnsiTheme="majorHAnsi" w:cstheme="majorBidi"/>
      <w:color w:val="244061" w:themeColor="accent1" w:themeShade="80"/>
    </w:rPr>
  </w:style>
  <w:style w:type="paragraph" w:styleId="Nadpis7">
    <w:name w:val="heading 7"/>
    <w:basedOn w:val="Normln"/>
    <w:next w:val="Normln"/>
    <w:link w:val="Nadpis7Char"/>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244061" w:themeColor="accent1" w:themeShade="80"/>
    </w:rPr>
  </w:style>
  <w:style w:type="paragraph" w:styleId="Nadpis8">
    <w:name w:val="heading 8"/>
    <w:basedOn w:val="Normln"/>
    <w:next w:val="Normln"/>
    <w:link w:val="Nadpis8Char"/>
    <w:uiPriority w:val="9"/>
    <w:semiHidden/>
    <w:unhideWhenUsed/>
    <w:qFormat/>
    <w:pPr>
      <w:keepNext/>
      <w:keepLines/>
      <w:numPr>
        <w:ilvl w:val="7"/>
        <w:numId w:val="1"/>
      </w:numPr>
      <w:spacing w:before="40"/>
      <w:outlineLvl w:val="7"/>
    </w:pPr>
    <w:rPr>
      <w:rFonts w:asciiTheme="majorHAnsi" w:eastAsiaTheme="majorEastAsia" w:hAnsiTheme="majorHAnsi" w:cstheme="majorBidi"/>
      <w:color w:val="262626" w:themeColor="text1" w:themeTint="D9"/>
      <w:sz w:val="21"/>
      <w:szCs w:val="21"/>
    </w:rPr>
  </w:style>
  <w:style w:type="paragraph" w:styleId="Nadpis9">
    <w:name w:val="heading 9"/>
    <w:basedOn w:val="Normln"/>
    <w:next w:val="Normln"/>
    <w:link w:val="Nadpis9Char"/>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62626" w:themeColor="text1" w:themeTint="D9"/>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Pr>
      <w:rFonts w:ascii="Tahoma" w:hAnsi="Tahoma" w:cs="Tahoma"/>
      <w:sz w:val="16"/>
      <w:szCs w:val="16"/>
    </w:rPr>
  </w:style>
  <w:style w:type="character" w:styleId="Odkaznakoment">
    <w:name w:val="annotation reference"/>
    <w:basedOn w:val="Standardnpsmoodstavce"/>
    <w:uiPriority w:val="99"/>
    <w:semiHidden/>
    <w:unhideWhenUsed/>
    <w:rPr>
      <w:sz w:val="16"/>
      <w:szCs w:val="16"/>
    </w:rPr>
  </w:style>
  <w:style w:type="paragraph" w:styleId="Textkomente">
    <w:name w:val="annotation text"/>
    <w:basedOn w:val="Normln"/>
    <w:link w:val="TextkomenteChar"/>
    <w:uiPriority w:val="99"/>
    <w:semiHidden/>
    <w:unhideWhenUsed/>
    <w:rPr>
      <w:rFonts w:eastAsia="Arial"/>
      <w:sz w:val="20"/>
      <w:szCs w:val="20"/>
    </w:rPr>
  </w:style>
  <w:style w:type="paragraph" w:styleId="Pedmtkomente">
    <w:name w:val="annotation subject"/>
    <w:basedOn w:val="Textkomente"/>
    <w:next w:val="Textkomente"/>
    <w:link w:val="PedmtkomenteChar"/>
    <w:uiPriority w:val="99"/>
    <w:semiHidden/>
    <w:unhideWhenUsed/>
    <w:rPr>
      <w:b/>
      <w:bCs/>
    </w:rPr>
  </w:style>
  <w:style w:type="character" w:styleId="Sledovanodkaz">
    <w:name w:val="FollowedHyperlink"/>
    <w:basedOn w:val="Standardnpsmoodstavce"/>
    <w:uiPriority w:val="99"/>
    <w:semiHidden/>
    <w:unhideWhenUsed/>
    <w:qFormat/>
    <w:rPr>
      <w:color w:val="800080" w:themeColor="followedHyperlink"/>
      <w:u w:val="single"/>
    </w:rPr>
  </w:style>
  <w:style w:type="paragraph" w:styleId="Zpat">
    <w:name w:val="footer"/>
    <w:basedOn w:val="Normln"/>
    <w:link w:val="ZpatChar"/>
    <w:uiPriority w:val="99"/>
    <w:unhideWhenUsed/>
    <w:qFormat/>
    <w:pPr>
      <w:tabs>
        <w:tab w:val="center" w:pos="4536"/>
        <w:tab w:val="right" w:pos="9072"/>
      </w:tabs>
    </w:pPr>
  </w:style>
  <w:style w:type="character" w:styleId="Znakapoznpodarou">
    <w:name w:val="footnote reference"/>
    <w:basedOn w:val="Standardnpsmoodstavce"/>
    <w:uiPriority w:val="99"/>
    <w:semiHidden/>
    <w:unhideWhenUsed/>
    <w:rPr>
      <w:vertAlign w:val="superscript"/>
    </w:rPr>
  </w:style>
  <w:style w:type="paragraph" w:styleId="Textpoznpodarou">
    <w:name w:val="footnote text"/>
    <w:basedOn w:val="Normln"/>
    <w:link w:val="TextpoznpodarouChar"/>
    <w:uiPriority w:val="99"/>
    <w:unhideWhenUsed/>
    <w:pPr>
      <w:spacing w:after="60"/>
      <w:ind w:left="170" w:hanging="170"/>
    </w:pPr>
    <w:rPr>
      <w:rFonts w:eastAsiaTheme="minorHAnsi"/>
      <w:color w:val="000000" w:themeColor="text1"/>
      <w:sz w:val="18"/>
      <w:szCs w:val="18"/>
      <w:lang w:eastAsia="en-US"/>
    </w:rPr>
  </w:style>
  <w:style w:type="paragraph" w:styleId="Zhlav">
    <w:name w:val="header"/>
    <w:basedOn w:val="Normln"/>
    <w:link w:val="ZhlavChar"/>
    <w:uiPriority w:val="99"/>
    <w:unhideWhenUsed/>
    <w:pPr>
      <w:tabs>
        <w:tab w:val="center" w:pos="4536"/>
        <w:tab w:val="right" w:pos="9072"/>
      </w:tabs>
    </w:pPr>
  </w:style>
  <w:style w:type="character" w:styleId="Hypertextovodkaz">
    <w:name w:val="Hyperlink"/>
    <w:basedOn w:val="Standardnpsmoodstavce"/>
    <w:uiPriority w:val="99"/>
    <w:unhideWhenUsed/>
    <w:rPr>
      <w:color w:val="auto"/>
      <w:u w:val="none"/>
    </w:rPr>
  </w:style>
  <w:style w:type="paragraph" w:styleId="Normlnweb">
    <w:name w:val="Normal (Web)"/>
    <w:basedOn w:val="Normln"/>
    <w:unhideWhenUsed/>
    <w:pPr>
      <w:spacing w:before="100" w:beforeAutospacing="1" w:after="100" w:afterAutospacing="1"/>
    </w:pPr>
    <w:rPr>
      <w:rFonts w:ascii="Times New Roman" w:hAnsi="Times New Roman" w:cs="Times New Roman"/>
      <w:sz w:val="24"/>
      <w:szCs w:val="24"/>
    </w:rPr>
  </w:style>
  <w:style w:type="character" w:styleId="Siln">
    <w:name w:val="Strong"/>
    <w:basedOn w:val="Standardnpsmoodstavce"/>
    <w:uiPriority w:val="22"/>
    <w:qFormat/>
    <w:rPr>
      <w:b/>
      <w:bCs/>
    </w:rPr>
  </w:style>
  <w:style w:type="paragraph" w:styleId="Podnadpis">
    <w:name w:val="Subtitle"/>
    <w:basedOn w:val="Normln"/>
    <w:next w:val="Normln"/>
    <w:link w:val="PodnadpisChar"/>
    <w:qFormat/>
    <w:pPr>
      <w:spacing w:after="60"/>
      <w:jc w:val="center"/>
      <w:outlineLvl w:val="1"/>
    </w:pPr>
    <w:rPr>
      <w:rFonts w:ascii="Cambria" w:hAnsi="Cambria"/>
    </w:rPr>
  </w:style>
  <w:style w:type="table" w:styleId="Mkatabulky">
    <w:name w:val="Table Grid"/>
    <w:basedOn w:val="Normlntabul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pPr>
      <w:keepNext/>
      <w:keepLines/>
      <w:spacing w:before="480"/>
    </w:pPr>
    <w:rPr>
      <w:rFonts w:eastAsia="Arial"/>
      <w:b/>
      <w:sz w:val="72"/>
      <w:szCs w:val="72"/>
    </w:rPr>
  </w:style>
  <w:style w:type="paragraph" w:styleId="Obsah1">
    <w:name w:val="toc 1"/>
    <w:basedOn w:val="Normln"/>
    <w:next w:val="Normln"/>
    <w:uiPriority w:val="39"/>
    <w:unhideWhenUsed/>
    <w:qFormat/>
    <w:pPr>
      <w:tabs>
        <w:tab w:val="left" w:pos="442"/>
        <w:tab w:val="right" w:leader="dot" w:pos="9062"/>
      </w:tabs>
      <w:spacing w:after="0"/>
    </w:pPr>
  </w:style>
  <w:style w:type="paragraph" w:styleId="Obsah2">
    <w:name w:val="toc 2"/>
    <w:basedOn w:val="Normln"/>
    <w:next w:val="Normln"/>
    <w:uiPriority w:val="39"/>
    <w:unhideWhenUsed/>
    <w:qFormat/>
    <w:pPr>
      <w:tabs>
        <w:tab w:val="left" w:pos="709"/>
        <w:tab w:val="right" w:leader="dot" w:pos="9062"/>
      </w:tabs>
      <w:spacing w:after="0"/>
      <w:ind w:left="221"/>
    </w:pPr>
  </w:style>
  <w:style w:type="paragraph" w:styleId="Obsah3">
    <w:name w:val="toc 3"/>
    <w:basedOn w:val="Normln"/>
    <w:next w:val="Normln"/>
    <w:uiPriority w:val="39"/>
    <w:unhideWhenUsed/>
    <w:qFormat/>
    <w:pPr>
      <w:tabs>
        <w:tab w:val="left" w:pos="1134"/>
        <w:tab w:val="right" w:leader="dot" w:pos="9062"/>
      </w:tabs>
      <w:spacing w:after="0"/>
      <w:ind w:left="442"/>
    </w:pPr>
  </w:style>
  <w:style w:type="paragraph" w:styleId="Obsah4">
    <w:name w:val="toc 4"/>
    <w:basedOn w:val="Normln"/>
    <w:next w:val="Normln"/>
    <w:uiPriority w:val="39"/>
    <w:unhideWhenUsed/>
    <w:pPr>
      <w:spacing w:after="100"/>
      <w:ind w:left="660"/>
    </w:pPr>
    <w:rPr>
      <w:rFonts w:eastAsia="Arial"/>
    </w:rPr>
  </w:style>
  <w:style w:type="character" w:customStyle="1" w:styleId="TextbublinyChar">
    <w:name w:val="Text bubliny Char"/>
    <w:basedOn w:val="Standardnpsmoodstavce"/>
    <w:link w:val="Textbubliny"/>
    <w:uiPriority w:val="99"/>
    <w:semiHidden/>
    <w:rPr>
      <w:rFonts w:ascii="Tahoma" w:eastAsia="Times New Roman" w:hAnsi="Tahoma" w:cs="Tahoma"/>
      <w:sz w:val="16"/>
      <w:szCs w:val="16"/>
      <w:lang w:eastAsia="cs-CZ"/>
    </w:rPr>
  </w:style>
  <w:style w:type="character" w:customStyle="1" w:styleId="ZhlavChar">
    <w:name w:val="Záhlaví Char"/>
    <w:basedOn w:val="Standardnpsmoodstavce"/>
    <w:link w:val="Zhlav"/>
    <w:uiPriority w:val="99"/>
    <w:qFormat/>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Pr>
      <w:rFonts w:ascii="Times New Roman" w:eastAsia="Times New Roman" w:hAnsi="Times New Roman" w:cs="Times New Roman"/>
      <w:sz w:val="24"/>
      <w:szCs w:val="24"/>
      <w:lang w:eastAsia="cs-CZ"/>
    </w:rPr>
  </w:style>
  <w:style w:type="character" w:customStyle="1" w:styleId="PodnadpisChar">
    <w:name w:val="Podnadpis Char"/>
    <w:basedOn w:val="Standardnpsmoodstavce"/>
    <w:link w:val="Podnadpis"/>
    <w:rPr>
      <w:rFonts w:ascii="Cambria" w:eastAsia="Times New Roman" w:hAnsi="Cambria" w:cs="Times New Roman"/>
      <w:sz w:val="24"/>
      <w:szCs w:val="24"/>
      <w:lang w:eastAsia="cs-CZ"/>
    </w:rPr>
  </w:style>
  <w:style w:type="character" w:customStyle="1" w:styleId="Nadpis1Char">
    <w:name w:val="Nadpis 1 Char"/>
    <w:basedOn w:val="Standardnpsmoodstavce"/>
    <w:link w:val="Nadpis1"/>
    <w:rPr>
      <w:rFonts w:ascii="Arial" w:eastAsia="Times New Roman" w:hAnsi="Arial" w:cs="Arial"/>
      <w:b/>
      <w:caps/>
      <w:sz w:val="28"/>
      <w:lang w:eastAsia="cs-CZ"/>
    </w:rPr>
  </w:style>
  <w:style w:type="character" w:customStyle="1" w:styleId="Nadpis2Char">
    <w:name w:val="Nadpis 2 Char"/>
    <w:basedOn w:val="Standardnpsmoodstavce"/>
    <w:link w:val="Nadpis2"/>
    <w:qFormat/>
    <w:rPr>
      <w:rFonts w:ascii="Arial" w:eastAsia="Times New Roman" w:hAnsi="Arial" w:cs="Arial"/>
      <w:b/>
      <w:sz w:val="24"/>
      <w:szCs w:val="26"/>
      <w:lang w:eastAsia="cs-CZ"/>
    </w:rPr>
  </w:style>
  <w:style w:type="character" w:customStyle="1" w:styleId="Nadpis3Char">
    <w:name w:val="Nadpis 3 Char"/>
    <w:basedOn w:val="Standardnpsmoodstavce"/>
    <w:link w:val="Nadpis3"/>
    <w:rPr>
      <w:rFonts w:ascii="Arial" w:eastAsia="Times New Roman" w:hAnsi="Arial" w:cs="Arial"/>
      <w:b/>
      <w:lang w:eastAsia="cs-CZ"/>
    </w:rPr>
  </w:style>
  <w:style w:type="character" w:customStyle="1" w:styleId="TextpoznpodarouChar">
    <w:name w:val="Text pozn. pod čarou Char"/>
    <w:basedOn w:val="Standardnpsmoodstavce"/>
    <w:link w:val="Textpoznpodarou"/>
    <w:uiPriority w:val="99"/>
    <w:rPr>
      <w:rFonts w:ascii="Arial" w:hAnsi="Arial" w:cs="Arial"/>
      <w:color w:val="000000" w:themeColor="text1"/>
      <w:sz w:val="18"/>
      <w:szCs w:val="18"/>
    </w:rPr>
  </w:style>
  <w:style w:type="character" w:customStyle="1" w:styleId="Nadpis4Char">
    <w:name w:val="Nadpis 4 Char"/>
    <w:basedOn w:val="Standardnpsmoodstavce"/>
    <w:link w:val="Nadpis4"/>
    <w:qFormat/>
    <w:rPr>
      <w:rFonts w:ascii="Arial" w:eastAsia="Times New Roman" w:hAnsi="Arial" w:cs="Arial"/>
      <w:i/>
      <w:iCs/>
      <w:lang w:eastAsia="cs-CZ"/>
    </w:rPr>
  </w:style>
  <w:style w:type="character" w:customStyle="1" w:styleId="Nadpis5Char">
    <w:name w:val="Nadpis 5 Char"/>
    <w:basedOn w:val="Standardnpsmoodstavce"/>
    <w:link w:val="Nadpis5"/>
    <w:rPr>
      <w:rFonts w:asciiTheme="majorHAnsi" w:eastAsiaTheme="majorEastAsia" w:hAnsiTheme="majorHAnsi" w:cstheme="majorBidi"/>
      <w:color w:val="365F91" w:themeColor="accent1" w:themeShade="BF"/>
      <w:lang w:eastAsia="cs-CZ"/>
    </w:rPr>
  </w:style>
  <w:style w:type="character" w:customStyle="1" w:styleId="Nadpis6Char">
    <w:name w:val="Nadpis 6 Char"/>
    <w:basedOn w:val="Standardnpsmoodstavce"/>
    <w:link w:val="Nadpis6"/>
    <w:rPr>
      <w:rFonts w:asciiTheme="majorHAnsi" w:eastAsiaTheme="majorEastAsia" w:hAnsiTheme="majorHAnsi" w:cstheme="majorBidi"/>
      <w:color w:val="244061" w:themeColor="accent1" w:themeShade="80"/>
      <w:lang w:eastAsia="cs-CZ"/>
    </w:rPr>
  </w:style>
  <w:style w:type="character" w:customStyle="1" w:styleId="Nadpis7Char">
    <w:name w:val="Nadpis 7 Char"/>
    <w:basedOn w:val="Standardnpsmoodstavce"/>
    <w:link w:val="Nadpis7"/>
    <w:uiPriority w:val="9"/>
    <w:semiHidden/>
    <w:rPr>
      <w:rFonts w:asciiTheme="majorHAnsi" w:eastAsiaTheme="majorEastAsia" w:hAnsiTheme="majorHAnsi" w:cstheme="majorBidi"/>
      <w:i/>
      <w:iCs/>
      <w:color w:val="244061" w:themeColor="accent1" w:themeShade="80"/>
      <w:lang w:eastAsia="cs-CZ"/>
    </w:rPr>
  </w:style>
  <w:style w:type="character" w:customStyle="1" w:styleId="Nadpis8Char">
    <w:name w:val="Nadpis 8 Char"/>
    <w:basedOn w:val="Standardnpsmoodstavce"/>
    <w:link w:val="Nadpis8"/>
    <w:uiPriority w:val="9"/>
    <w:semiHidden/>
    <w:qFormat/>
    <w:rPr>
      <w:rFonts w:asciiTheme="majorHAnsi" w:eastAsiaTheme="majorEastAsia" w:hAnsiTheme="majorHAnsi" w:cstheme="majorBidi"/>
      <w:color w:val="262626" w:themeColor="text1" w:themeTint="D9"/>
      <w:sz w:val="21"/>
      <w:szCs w:val="21"/>
      <w:lang w:eastAsia="cs-CZ"/>
    </w:rPr>
  </w:style>
  <w:style w:type="character" w:customStyle="1" w:styleId="Nadpis9Char">
    <w:name w:val="Nadpis 9 Char"/>
    <w:basedOn w:val="Standardnpsmoodstavce"/>
    <w:link w:val="Nadpis9"/>
    <w:uiPriority w:val="9"/>
    <w:semiHidden/>
    <w:rPr>
      <w:rFonts w:asciiTheme="majorHAnsi" w:eastAsiaTheme="majorEastAsia" w:hAnsiTheme="majorHAnsi" w:cstheme="majorBidi"/>
      <w:i/>
      <w:iCs/>
      <w:color w:val="262626" w:themeColor="text1" w:themeTint="D9"/>
      <w:sz w:val="21"/>
      <w:szCs w:val="21"/>
      <w:lang w:eastAsia="cs-CZ"/>
    </w:rPr>
  </w:style>
  <w:style w:type="paragraph" w:customStyle="1" w:styleId="Nadpis1OBSAH">
    <w:name w:val="Nadpis 1 – OBSAH"/>
    <w:basedOn w:val="Nadpis1"/>
    <w:next w:val="Normln"/>
    <w:qFormat/>
    <w:pPr>
      <w:numPr>
        <w:numId w:val="0"/>
      </w:numPr>
    </w:pPr>
  </w:style>
  <w:style w:type="paragraph" w:styleId="Odstavecseseznamem">
    <w:name w:val="List Paragraph"/>
    <w:basedOn w:val="Normln"/>
    <w:link w:val="OdstavecseseznamemChar"/>
    <w:uiPriority w:val="34"/>
    <w:qFormat/>
    <w:pPr>
      <w:numPr>
        <w:numId w:val="3"/>
      </w:numPr>
      <w:spacing w:after="0"/>
      <w:ind w:left="397" w:hanging="227"/>
      <w:contextualSpacing/>
    </w:pPr>
    <w:rPr>
      <w:rFonts w:eastAsiaTheme="minorHAnsi"/>
      <w:lang w:eastAsia="en-US"/>
    </w:rPr>
  </w:style>
  <w:style w:type="paragraph" w:styleId="Bezmezer">
    <w:name w:val="No Spacing"/>
    <w:uiPriority w:val="1"/>
    <w:qFormat/>
    <w:pPr>
      <w:jc w:val="both"/>
    </w:pPr>
    <w:rPr>
      <w:rFonts w:ascii="Arial" w:eastAsia="Times New Roman" w:hAnsi="Arial" w:cs="Arial"/>
      <w:sz w:val="22"/>
      <w:szCs w:val="22"/>
    </w:rPr>
  </w:style>
  <w:style w:type="paragraph" w:customStyle="1" w:styleId="Odstavecseseznamema">
    <w:name w:val="Odstavec se seznamem a)"/>
    <w:basedOn w:val="Odstavecseseznamem"/>
    <w:qFormat/>
    <w:pPr>
      <w:numPr>
        <w:numId w:val="4"/>
      </w:numPr>
    </w:pPr>
  </w:style>
  <w:style w:type="table" w:customStyle="1" w:styleId="TableNormal1">
    <w:name w:val="Table Normal1"/>
    <w:pPr>
      <w:spacing w:after="80" w:line="259" w:lineRule="auto"/>
      <w:jc w:val="both"/>
    </w:pPr>
    <w:rPr>
      <w:rFonts w:ascii="Arial" w:eastAsia="Arial" w:hAnsi="Arial" w:cs="Arial"/>
    </w:rPr>
    <w:tblPr>
      <w:tblCellMar>
        <w:top w:w="0" w:type="dxa"/>
        <w:left w:w="0" w:type="dxa"/>
        <w:bottom w:w="0" w:type="dxa"/>
        <w:right w:w="0" w:type="dxa"/>
      </w:tblCellMar>
    </w:tblPr>
  </w:style>
  <w:style w:type="character" w:customStyle="1" w:styleId="NzevChar">
    <w:name w:val="Název Char"/>
    <w:basedOn w:val="Standardnpsmoodstavce"/>
    <w:link w:val="Nzev"/>
    <w:rPr>
      <w:rFonts w:ascii="Arial" w:eastAsia="Arial" w:hAnsi="Arial" w:cs="Arial"/>
      <w:b/>
      <w:sz w:val="72"/>
      <w:szCs w:val="72"/>
      <w:lang w:eastAsia="cs-CZ"/>
    </w:rPr>
  </w:style>
  <w:style w:type="character" w:customStyle="1" w:styleId="TextkomenteChar">
    <w:name w:val="Text komentáře Char"/>
    <w:basedOn w:val="Standardnpsmoodstavce"/>
    <w:link w:val="Textkomente"/>
    <w:uiPriority w:val="99"/>
    <w:semiHidden/>
    <w:rPr>
      <w:rFonts w:ascii="Arial" w:eastAsia="Arial" w:hAnsi="Arial" w:cs="Arial"/>
      <w:sz w:val="20"/>
      <w:szCs w:val="20"/>
      <w:lang w:eastAsia="cs-CZ"/>
    </w:rPr>
  </w:style>
  <w:style w:type="character" w:customStyle="1" w:styleId="PedmtkomenteChar">
    <w:name w:val="Předmět komentáře Char"/>
    <w:basedOn w:val="TextkomenteChar"/>
    <w:link w:val="Pedmtkomente"/>
    <w:uiPriority w:val="99"/>
    <w:semiHidden/>
    <w:rPr>
      <w:rFonts w:ascii="Arial" w:eastAsia="Arial" w:hAnsi="Arial" w:cs="Arial"/>
      <w:b/>
      <w:bCs/>
      <w:sz w:val="20"/>
      <w:szCs w:val="20"/>
      <w:lang w:eastAsia="cs-CZ"/>
    </w:rPr>
  </w:style>
  <w:style w:type="paragraph" w:customStyle="1" w:styleId="Revize1">
    <w:name w:val="Revize1"/>
    <w:hidden/>
    <w:uiPriority w:val="99"/>
    <w:semiHidden/>
    <w:rPr>
      <w:rFonts w:ascii="Arial" w:eastAsia="Times New Roman" w:hAnsi="Arial" w:cs="Arial"/>
      <w:sz w:val="22"/>
      <w:szCs w:val="22"/>
    </w:rPr>
  </w:style>
  <w:style w:type="paragraph" w:customStyle="1" w:styleId="Default">
    <w:name w:val="Default"/>
    <w:pPr>
      <w:autoSpaceDE w:val="0"/>
      <w:autoSpaceDN w:val="0"/>
      <w:adjustRightInd w:val="0"/>
    </w:pPr>
    <w:rPr>
      <w:rFonts w:ascii="Calibri" w:hAnsi="Calibri" w:cs="Calibri"/>
      <w:color w:val="000000"/>
      <w:sz w:val="24"/>
      <w:szCs w:val="24"/>
      <w:lang w:eastAsia="en-US"/>
    </w:rPr>
  </w:style>
  <w:style w:type="character" w:customStyle="1" w:styleId="normaltextrun">
    <w:name w:val="normaltextrun"/>
    <w:basedOn w:val="Standardnpsmoodstavce"/>
  </w:style>
  <w:style w:type="character" w:customStyle="1" w:styleId="spellingerror">
    <w:name w:val="spellingerror"/>
    <w:basedOn w:val="Standardnpsmoodstavce"/>
  </w:style>
  <w:style w:type="character" w:customStyle="1" w:styleId="OdstavecseseznamemChar">
    <w:name w:val="Odstavec se seznamem Char"/>
    <w:link w:val="Odstavecseseznamem"/>
    <w:uiPriority w:val="34"/>
    <w:rPr>
      <w:rFonts w:ascii="Arial" w:hAnsi="Arial" w:cs="Arial"/>
    </w:rPr>
  </w:style>
  <w:style w:type="paragraph" w:customStyle="1" w:styleId="mcntmcntmsonormal">
    <w:name w:val="mcntmcntmsonormal"/>
    <w:basedOn w:val="Normln"/>
    <w:rsid w:val="00C65BBA"/>
    <w:pPr>
      <w:spacing w:before="100" w:beforeAutospacing="1" w:after="100" w:afterAutospacing="1" w:line="240" w:lineRule="auto"/>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strast.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35E0B2-B547-4201-BDDB-9EAE9228B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13312</Words>
  <Characters>78542</Characters>
  <Application>Microsoft Office Word</Application>
  <DocSecurity>0</DocSecurity>
  <Lines>654</Lines>
  <Paragraphs>183</Paragraphs>
  <ScaleCrop>false</ScaleCrop>
  <HeadingPairs>
    <vt:vector size="2" baseType="variant">
      <vt:variant>
        <vt:lpstr>Název</vt:lpstr>
      </vt:variant>
      <vt:variant>
        <vt:i4>1</vt:i4>
      </vt:variant>
    </vt:vector>
  </HeadingPairs>
  <TitlesOfParts>
    <vt:vector size="1" baseType="lpstr">
      <vt:lpstr/>
    </vt:vector>
  </TitlesOfParts>
  <Company>MŠMT, DZS</Company>
  <LinksUpToDate>false</LinksUpToDate>
  <CharactersWithSpaces>91671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Pazour Michal TC</dc:creator>
  <cp:lastModifiedBy>Weisgärberová Zuzana</cp:lastModifiedBy>
  <cp:revision>3</cp:revision>
  <cp:lastPrinted>2021-01-28T11:15:00Z</cp:lastPrinted>
  <dcterms:created xsi:type="dcterms:W3CDTF">2021-03-29T09:33:00Z</dcterms:created>
  <dcterms:modified xsi:type="dcterms:W3CDTF">2021-03-31T15:34:00Z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ies>
</file>