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7B876" w14:textId="23EA166B" w:rsidR="009F4953" w:rsidRPr="00E04F9F" w:rsidRDefault="009F4953" w:rsidP="00291B31">
      <w:pPr>
        <w:pStyle w:val="Nadpis3"/>
        <w:numPr>
          <w:ilvl w:val="0"/>
          <w:numId w:val="0"/>
        </w:numPr>
        <w:rPr>
          <w:b w:val="0"/>
          <w:sz w:val="24"/>
        </w:rPr>
      </w:pPr>
      <w:r w:rsidRPr="00E04F9F">
        <w:rPr>
          <w:sz w:val="24"/>
        </w:rPr>
        <w:t>Příloha 10:</w:t>
      </w:r>
      <w:r w:rsidRPr="00E04F9F">
        <w:rPr>
          <w:sz w:val="24"/>
        </w:rPr>
        <w:tab/>
      </w:r>
      <w:r w:rsidR="00291B31" w:rsidRPr="00291B31">
        <w:rPr>
          <w:sz w:val="24"/>
          <w:szCs w:val="24"/>
        </w:rPr>
        <w:t xml:space="preserve">Synergické a komplementární projekty </w:t>
      </w:r>
      <w:r w:rsidR="001D6111">
        <w:rPr>
          <w:sz w:val="24"/>
          <w:szCs w:val="24"/>
        </w:rPr>
        <w:t>–</w:t>
      </w:r>
      <w:r w:rsidR="00291B31">
        <w:t xml:space="preserve"> </w:t>
      </w:r>
      <w:r w:rsidR="00D728EA" w:rsidRPr="00BA235E">
        <w:rPr>
          <w:sz w:val="24"/>
        </w:rPr>
        <w:t>p</w:t>
      </w:r>
      <w:r w:rsidR="00DF7362" w:rsidRPr="00E04F9F">
        <w:rPr>
          <w:sz w:val="24"/>
        </w:rPr>
        <w:t>řehled</w:t>
      </w:r>
      <w:r w:rsidRPr="00E04F9F">
        <w:rPr>
          <w:sz w:val="24"/>
        </w:rPr>
        <w:t xml:space="preserve"> aktivit v projektech NTK</w:t>
      </w:r>
    </w:p>
    <w:p w14:paraId="7141828A" w14:textId="297159A7" w:rsidR="00574BBF" w:rsidRDefault="00DF7362" w:rsidP="00574BBF">
      <w:r>
        <w:t xml:space="preserve">Příloha zachycuje </w:t>
      </w:r>
      <w:r w:rsidR="00E55288" w:rsidRPr="00E55288">
        <w:t xml:space="preserve">rozložení finančních nákladů </w:t>
      </w:r>
      <w:r w:rsidR="001224FC">
        <w:t>(</w:t>
      </w:r>
      <w:r w:rsidR="007145DC">
        <w:t xml:space="preserve">Schéma 1) </w:t>
      </w:r>
      <w:r w:rsidR="00E55288" w:rsidRPr="00E55288">
        <w:t xml:space="preserve">a </w:t>
      </w:r>
      <w:r w:rsidR="00574BBF">
        <w:t xml:space="preserve">systematickou návaznost projektových aktivit </w:t>
      </w:r>
      <w:r w:rsidR="001224FC">
        <w:t>(</w:t>
      </w:r>
      <w:r w:rsidR="00F06822">
        <w:t>Schéma 2</w:t>
      </w:r>
      <w:r w:rsidR="00F06822" w:rsidRPr="00F06822">
        <w:t>)</w:t>
      </w:r>
      <w:r w:rsidR="00F06822">
        <w:t xml:space="preserve"> </w:t>
      </w:r>
      <w:r w:rsidR="00574BBF">
        <w:t>tak, jak využívají zdrojů a následně výstupů jednoho projektu jako vstupu do projektu dalšího</w:t>
      </w:r>
      <w:r>
        <w:t>.</w:t>
      </w:r>
    </w:p>
    <w:p w14:paraId="11CFB376" w14:textId="77B91529" w:rsidR="00CD6032" w:rsidRDefault="00CD6032" w:rsidP="00BA235E">
      <w:pPr>
        <w:pStyle w:val="Nadpis3"/>
      </w:pPr>
      <w:r w:rsidRPr="0035609D">
        <w:t>Pro</w:t>
      </w:r>
      <w:r w:rsidR="0035609D" w:rsidRPr="0035609D">
        <w:t>jekty pro</w:t>
      </w:r>
      <w:r w:rsidRPr="0035609D">
        <w:t>gram</w:t>
      </w:r>
      <w:r w:rsidR="0035609D" w:rsidRPr="0035609D">
        <w:t>u</w:t>
      </w:r>
      <w:r w:rsidRPr="0035609D">
        <w:t xml:space="preserve"> VISK</w:t>
      </w:r>
    </w:p>
    <w:p w14:paraId="2D40C70E" w14:textId="65992C24" w:rsidR="00CD6032" w:rsidRDefault="00CD6032" w:rsidP="00CD6032">
      <w:r>
        <w:t xml:space="preserve">Jedná se </w:t>
      </w:r>
      <w:r w:rsidR="00BA235E">
        <w:t xml:space="preserve">o </w:t>
      </w:r>
      <w:r>
        <w:t>roční projekty v</w:t>
      </w:r>
      <w:r w:rsidR="005358AC">
        <w:t xml:space="preserve"> </w:t>
      </w:r>
      <w:r>
        <w:t>programové řadě Ministerstva kultury „Veřejné informační služby knihoven“ (v letech 2017–2020). Podpora je v</w:t>
      </w:r>
      <w:r w:rsidR="005358AC">
        <w:t xml:space="preserve"> </w:t>
      </w:r>
      <w:r>
        <w:t>jednotlivých podprogramech zaměřena zejména na ochranu a rozvoj knihovních fondů, jejich zpřístupňování a digitalizaci (zejména historického fondu), na rozšíření služeb pro veřejnost a na vzdělávání knihovnické obce</w:t>
      </w:r>
      <w:r w:rsidR="001D6111">
        <w:t xml:space="preserve"> (</w:t>
      </w:r>
      <w:r w:rsidR="001D6111" w:rsidRPr="00AA40C2">
        <w:rPr>
          <w:b/>
        </w:rPr>
        <w:t>0</w:t>
      </w:r>
      <w:r w:rsidR="001D6111">
        <w:t>)</w:t>
      </w:r>
      <w:r w:rsidR="001D6111">
        <w:rPr>
          <w:rStyle w:val="Znakapoznpodarou"/>
        </w:rPr>
        <w:footnoteReference w:id="2"/>
      </w:r>
      <w:r>
        <w:t xml:space="preserve">. </w:t>
      </w:r>
      <w:r w:rsidR="002B3DD3">
        <w:t>Níže jsou uvedeny projekty realizované, resp. pro realizaci připravené v</w:t>
      </w:r>
      <w:r w:rsidR="005358AC">
        <w:t xml:space="preserve"> </w:t>
      </w:r>
      <w:r w:rsidR="002B3DD3">
        <w:t>aktuálním roce.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3333"/>
        <w:gridCol w:w="835"/>
        <w:gridCol w:w="2524"/>
        <w:gridCol w:w="1139"/>
      </w:tblGrid>
      <w:tr w:rsidR="003542EC" w:rsidRPr="00662DF8" w14:paraId="67F6263B" w14:textId="77777777" w:rsidTr="004D546F">
        <w:trPr>
          <w:trHeight w:val="25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BF8F" w14:textId="744E543A" w:rsidR="003542EC" w:rsidRPr="00662DF8" w:rsidRDefault="003542EC" w:rsidP="00BA23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 projektu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80E7" w14:textId="194483C9" w:rsidR="003542EC" w:rsidRPr="00662DF8" w:rsidRDefault="003542EC" w:rsidP="00BA23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10159" w14:textId="78AAD852" w:rsidR="003542EC" w:rsidRDefault="003542EC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řešení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D8EAC" w14:textId="02CA529F" w:rsidR="003542EC" w:rsidRPr="00662DF8" w:rsidRDefault="00291B31" w:rsidP="00BA23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přidělená </w:t>
            </w:r>
            <w:r w:rsidR="003542EC">
              <w:rPr>
                <w:sz w:val="20"/>
                <w:szCs w:val="20"/>
              </w:rPr>
              <w:t>podpora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2012" w14:textId="545A1DF7" w:rsidR="003542EC" w:rsidRDefault="003542EC" w:rsidP="00BA235E">
            <w:pPr>
              <w:spacing w:after="0" w:line="240" w:lineRule="auto"/>
              <w:ind w:right="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</w:t>
            </w:r>
            <w:r w:rsidR="004D546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pr</w:t>
            </w:r>
            <w:r w:rsidR="001D611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gram</w:t>
            </w:r>
          </w:p>
        </w:tc>
      </w:tr>
      <w:tr w:rsidR="003542EC" w:rsidRPr="00662DF8" w14:paraId="30D8EAC9" w14:textId="77777777" w:rsidTr="004D546F">
        <w:trPr>
          <w:trHeight w:val="25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0DCFE" w14:textId="77777777" w:rsidR="00662DF8" w:rsidRPr="00662DF8" w:rsidRDefault="00662DF8" w:rsidP="00662DF8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662DF8">
              <w:rPr>
                <w:sz w:val="20"/>
                <w:szCs w:val="20"/>
              </w:rPr>
              <w:t>83650/2019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BFDC" w14:textId="5730FF1C" w:rsidR="00662DF8" w:rsidRPr="00662DF8" w:rsidRDefault="00662DF8" w:rsidP="00662DF8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662DF8">
              <w:rPr>
                <w:sz w:val="20"/>
                <w:szCs w:val="20"/>
              </w:rPr>
              <w:t xml:space="preserve">Virtuální národní fonotéka </w:t>
            </w:r>
            <w:r w:rsidR="001D6111">
              <w:rPr>
                <w:sz w:val="20"/>
                <w:szCs w:val="20"/>
              </w:rPr>
              <w:t>–</w:t>
            </w:r>
            <w:r w:rsidRPr="00662DF8">
              <w:rPr>
                <w:sz w:val="20"/>
                <w:szCs w:val="20"/>
              </w:rPr>
              <w:t xml:space="preserve"> 2.</w:t>
            </w:r>
            <w:r w:rsidR="005358AC">
              <w:rPr>
                <w:sz w:val="20"/>
                <w:szCs w:val="20"/>
              </w:rPr>
              <w:t xml:space="preserve"> </w:t>
            </w:r>
            <w:r w:rsidRPr="00662DF8">
              <w:rPr>
                <w:sz w:val="20"/>
                <w:szCs w:val="20"/>
              </w:rPr>
              <w:t xml:space="preserve">etapa: pilotní </w:t>
            </w:r>
            <w:proofErr w:type="spellStart"/>
            <w:r w:rsidRPr="00662DF8">
              <w:rPr>
                <w:sz w:val="20"/>
                <w:szCs w:val="20"/>
              </w:rPr>
              <w:t>redesign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F2E9D" w14:textId="241E2557" w:rsidR="00662DF8" w:rsidRPr="00662DF8" w:rsidRDefault="00D72751" w:rsidP="003542EC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C391F" w14:textId="5985A5FC" w:rsidR="00662DF8" w:rsidRPr="00662DF8" w:rsidRDefault="00662DF8" w:rsidP="00291B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2DF8">
              <w:rPr>
                <w:sz w:val="20"/>
                <w:szCs w:val="20"/>
              </w:rPr>
              <w:t>210</w:t>
            </w:r>
            <w:r w:rsidR="005358AC">
              <w:rPr>
                <w:sz w:val="20"/>
                <w:szCs w:val="20"/>
              </w:rPr>
              <w:t xml:space="preserve"> </w:t>
            </w:r>
            <w:r w:rsidRPr="00662DF8">
              <w:rPr>
                <w:sz w:val="20"/>
                <w:szCs w:val="20"/>
              </w:rPr>
              <w:t>000</w:t>
            </w:r>
            <w:r w:rsidR="00D72751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805F2" w14:textId="69BC0B5E" w:rsidR="00662DF8" w:rsidRPr="00662DF8" w:rsidRDefault="003542EC" w:rsidP="00D72751">
            <w:pPr>
              <w:spacing w:after="0" w:line="240" w:lineRule="auto"/>
              <w:ind w:right="6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VISK 1</w:t>
            </w:r>
          </w:p>
        </w:tc>
      </w:tr>
      <w:tr w:rsidR="003542EC" w:rsidRPr="00662DF8" w14:paraId="0C171A97" w14:textId="77777777" w:rsidTr="004D546F">
        <w:trPr>
          <w:trHeight w:val="25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C3E4" w14:textId="6D25BB05" w:rsidR="003542EC" w:rsidRPr="00662DF8" w:rsidRDefault="003542EC" w:rsidP="003542E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83026/2019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EAE0A" w14:textId="26126628" w:rsidR="003542EC" w:rsidRPr="00662DF8" w:rsidRDefault="003542EC" w:rsidP="003542E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Rozvoj a zajištění provozu systému Získej pro CPK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76F8D" w14:textId="23230BB7" w:rsidR="003542EC" w:rsidRDefault="003542EC" w:rsidP="003542EC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F5DB8" w14:textId="142C885C" w:rsidR="003542EC" w:rsidRPr="00662DF8" w:rsidRDefault="003542EC" w:rsidP="00291B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2 160</w:t>
            </w:r>
            <w:r w:rsidR="005358AC">
              <w:rPr>
                <w:rFonts w:ascii="Arial CE" w:hAnsi="Arial CE"/>
                <w:sz w:val="20"/>
                <w:szCs w:val="20"/>
              </w:rPr>
              <w:t xml:space="preserve"> </w:t>
            </w:r>
            <w:r>
              <w:rPr>
                <w:rFonts w:ascii="Arial CE" w:hAnsi="Arial CE"/>
                <w:sz w:val="20"/>
                <w:szCs w:val="20"/>
              </w:rPr>
              <w:t>000 Kč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B5274" w14:textId="655DF998" w:rsidR="003542EC" w:rsidRDefault="003542EC" w:rsidP="003542EC">
            <w:pPr>
              <w:spacing w:after="0" w:line="240" w:lineRule="auto"/>
              <w:ind w:right="6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VISK 8/B</w:t>
            </w:r>
          </w:p>
        </w:tc>
      </w:tr>
      <w:tr w:rsidR="003542EC" w:rsidRPr="00662DF8" w14:paraId="72D689AF" w14:textId="77777777" w:rsidTr="004D546F">
        <w:trPr>
          <w:trHeight w:val="25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856A3" w14:textId="77777777" w:rsidR="003542EC" w:rsidRDefault="003542EC" w:rsidP="003542EC">
            <w:r w:rsidRPr="003542EC">
              <w:rPr>
                <w:sz w:val="20"/>
                <w:szCs w:val="20"/>
              </w:rPr>
              <w:t>83663/2019</w:t>
            </w:r>
          </w:p>
          <w:p w14:paraId="7D051E73" w14:textId="77777777" w:rsidR="003542EC" w:rsidRPr="00662DF8" w:rsidRDefault="003542EC" w:rsidP="003542EC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E10E5" w14:textId="060FFD23" w:rsidR="003542EC" w:rsidRPr="00662DF8" w:rsidRDefault="003542EC" w:rsidP="003542E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542EC">
              <w:rPr>
                <w:sz w:val="20"/>
                <w:szCs w:val="20"/>
              </w:rPr>
              <w:t>Digitalizace fondu NTK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B096B" w14:textId="380DD2CD" w:rsidR="003542EC" w:rsidRDefault="003542EC" w:rsidP="003542EC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F51AC0" w14:textId="5915A498" w:rsidR="003542EC" w:rsidRPr="00291B31" w:rsidRDefault="003542EC" w:rsidP="00291B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1B31">
              <w:rPr>
                <w:sz w:val="18"/>
                <w:szCs w:val="18"/>
              </w:rPr>
              <w:t xml:space="preserve">nerealizován </w:t>
            </w:r>
            <w:r w:rsidR="00D728EA">
              <w:rPr>
                <w:sz w:val="18"/>
                <w:szCs w:val="18"/>
              </w:rPr>
              <w:t>–</w:t>
            </w:r>
            <w:r w:rsidRPr="00291B31">
              <w:rPr>
                <w:sz w:val="18"/>
                <w:szCs w:val="18"/>
              </w:rPr>
              <w:t xml:space="preserve"> podpora nepřidělena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FF92A" w14:textId="6739A14A" w:rsidR="003542EC" w:rsidRDefault="003542EC" w:rsidP="003542EC">
            <w:pPr>
              <w:spacing w:after="0" w:line="240" w:lineRule="auto"/>
              <w:ind w:right="6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VISK </w:t>
            </w:r>
            <w:r w:rsidR="00291B31">
              <w:rPr>
                <w:sz w:val="20"/>
                <w:szCs w:val="20"/>
              </w:rPr>
              <w:t>7</w:t>
            </w:r>
          </w:p>
        </w:tc>
      </w:tr>
      <w:tr w:rsidR="008A250B" w:rsidRPr="00662DF8" w14:paraId="6A608CC3" w14:textId="77777777" w:rsidTr="004D546F">
        <w:trPr>
          <w:trHeight w:val="25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DC571" w14:textId="429630FF" w:rsidR="008A250B" w:rsidRPr="003542EC" w:rsidRDefault="008A250B" w:rsidP="003542EC">
            <w:pPr>
              <w:rPr>
                <w:sz w:val="20"/>
                <w:szCs w:val="20"/>
              </w:rPr>
            </w:pPr>
            <w:r w:rsidRPr="008A250B">
              <w:rPr>
                <w:sz w:val="20"/>
                <w:szCs w:val="20"/>
              </w:rPr>
              <w:t>83654/2019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C3B9F" w14:textId="59143D2B" w:rsidR="008A250B" w:rsidRPr="003542EC" w:rsidRDefault="008A250B" w:rsidP="003542E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8A250B">
              <w:rPr>
                <w:sz w:val="20"/>
                <w:szCs w:val="20"/>
              </w:rPr>
              <w:t>Moderní inf</w:t>
            </w:r>
            <w:r>
              <w:rPr>
                <w:sz w:val="20"/>
                <w:szCs w:val="20"/>
              </w:rPr>
              <w:t>ormační</w:t>
            </w:r>
            <w:r w:rsidRPr="008A250B">
              <w:rPr>
                <w:sz w:val="20"/>
                <w:szCs w:val="20"/>
              </w:rPr>
              <w:t xml:space="preserve"> a komunikační technologie v knihovnictví 2020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805C0" w14:textId="027BC8E6" w:rsidR="008A250B" w:rsidRDefault="008A250B" w:rsidP="003542EC">
            <w:pPr>
              <w:spacing w:after="0" w:line="240" w:lineRule="auto"/>
              <w:ind w:lef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015910" w14:textId="100E2ED1" w:rsidR="008A250B" w:rsidRPr="00291B31" w:rsidRDefault="008A250B" w:rsidP="00291B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1B31">
              <w:rPr>
                <w:sz w:val="18"/>
                <w:szCs w:val="18"/>
              </w:rPr>
              <w:t>odstoupeno od projektu z</w:t>
            </w:r>
            <w:r w:rsidR="005358AC">
              <w:rPr>
                <w:sz w:val="18"/>
                <w:szCs w:val="18"/>
              </w:rPr>
              <w:t xml:space="preserve"> </w:t>
            </w:r>
            <w:r w:rsidRPr="00291B31">
              <w:rPr>
                <w:sz w:val="18"/>
                <w:szCs w:val="18"/>
              </w:rPr>
              <w:t xml:space="preserve">důvodů nemožnosti pořádat </w:t>
            </w:r>
            <w:r w:rsidR="00291B31">
              <w:rPr>
                <w:sz w:val="18"/>
                <w:szCs w:val="18"/>
              </w:rPr>
              <w:t>většinu na</w:t>
            </w:r>
            <w:r w:rsidRPr="00291B31">
              <w:rPr>
                <w:sz w:val="18"/>
                <w:szCs w:val="18"/>
              </w:rPr>
              <w:t>plánovan</w:t>
            </w:r>
            <w:r w:rsidR="00291B31">
              <w:rPr>
                <w:sz w:val="18"/>
                <w:szCs w:val="18"/>
              </w:rPr>
              <w:t>ých</w:t>
            </w:r>
            <w:r w:rsidRPr="00291B31">
              <w:rPr>
                <w:sz w:val="18"/>
                <w:szCs w:val="18"/>
              </w:rPr>
              <w:t xml:space="preserve"> prezenční</w:t>
            </w:r>
            <w:r w:rsidR="00291B31">
              <w:rPr>
                <w:sz w:val="18"/>
                <w:szCs w:val="18"/>
              </w:rPr>
              <w:t>ch</w:t>
            </w:r>
            <w:r w:rsidRPr="00291B31">
              <w:rPr>
                <w:sz w:val="18"/>
                <w:szCs w:val="18"/>
              </w:rPr>
              <w:t xml:space="preserve"> vzdělávací</w:t>
            </w:r>
            <w:r w:rsidR="00291B31">
              <w:rPr>
                <w:sz w:val="18"/>
                <w:szCs w:val="18"/>
              </w:rPr>
              <w:t>ch</w:t>
            </w:r>
            <w:r w:rsidRPr="00291B31">
              <w:rPr>
                <w:sz w:val="18"/>
                <w:szCs w:val="18"/>
              </w:rPr>
              <w:t xml:space="preserve"> aktivit</w:t>
            </w:r>
            <w:r w:rsidR="00291B31">
              <w:rPr>
                <w:sz w:val="18"/>
                <w:szCs w:val="18"/>
              </w:rPr>
              <w:t xml:space="preserve"> </w:t>
            </w:r>
            <w:r w:rsidRPr="00291B31">
              <w:rPr>
                <w:sz w:val="18"/>
                <w:szCs w:val="18"/>
              </w:rPr>
              <w:t>-podpora ne</w:t>
            </w:r>
            <w:r w:rsidR="00291B31" w:rsidRPr="00291B31">
              <w:rPr>
                <w:sz w:val="18"/>
                <w:szCs w:val="18"/>
              </w:rPr>
              <w:t>čerpána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28B23" w14:textId="3A0FBFAA" w:rsidR="008A250B" w:rsidRDefault="00291B31" w:rsidP="003542EC">
            <w:pPr>
              <w:spacing w:after="0" w:line="240" w:lineRule="auto"/>
              <w:ind w:right="6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VISK 2</w:t>
            </w:r>
          </w:p>
        </w:tc>
      </w:tr>
    </w:tbl>
    <w:p w14:paraId="7CE5D11B" w14:textId="77777777" w:rsidR="008A250B" w:rsidRPr="00662DF8" w:rsidRDefault="008A250B" w:rsidP="00662DF8"/>
    <w:p w14:paraId="1B897F48" w14:textId="6B5FC884" w:rsidR="008A250B" w:rsidRDefault="008A250B" w:rsidP="00E55288">
      <w:r>
        <w:t>Projekt virtuální fonotéky je časově, věcně i finančně komplementární k</w:t>
      </w:r>
      <w:r w:rsidR="005358AC">
        <w:t xml:space="preserve"> </w:t>
      </w:r>
      <w:r>
        <w:t xml:space="preserve">projektu NCIP a nebyly identifikovány žádné </w:t>
      </w:r>
      <w:r w:rsidR="0008586A">
        <w:t xml:space="preserve">duplicity ani </w:t>
      </w:r>
      <w:r>
        <w:t>překryvy.</w:t>
      </w:r>
    </w:p>
    <w:p w14:paraId="67345931" w14:textId="60F3282D" w:rsidR="00E55288" w:rsidRPr="008A250B" w:rsidRDefault="00CD6032" w:rsidP="00E55288">
      <w:pPr>
        <w:rPr>
          <w:szCs w:val="24"/>
        </w:rPr>
      </w:pPr>
      <w:r>
        <w:t xml:space="preserve">Projekt ZÍSKEJ je zaměřen na podstatnou inovaci služby VPK vyvinuté v rámci projektu </w:t>
      </w:r>
      <w:r w:rsidRPr="002E59A9">
        <w:t>LI200028</w:t>
      </w:r>
      <w:r>
        <w:t xml:space="preserve"> pro dodávání dokumentů elektronickou cestou</w:t>
      </w:r>
      <w:r w:rsidR="00BA235E">
        <w:t>.</w:t>
      </w:r>
      <w:r w:rsidR="008A250B">
        <w:t xml:space="preserve"> </w:t>
      </w:r>
      <w:r w:rsidR="00BA235E">
        <w:t xml:space="preserve">Projekt </w:t>
      </w:r>
      <w:r w:rsidR="007145DC">
        <w:t xml:space="preserve">řeší dodávání dokumentů na národní úrovni a je </w:t>
      </w:r>
      <w:r>
        <w:t xml:space="preserve">postupně </w:t>
      </w:r>
      <w:r w:rsidR="007145DC">
        <w:t>vyvíjen</w:t>
      </w:r>
      <w:r>
        <w:t xml:space="preserve"> </w:t>
      </w:r>
      <w:r w:rsidR="007145DC">
        <w:t>od roku 2017</w:t>
      </w:r>
      <w:r w:rsidR="008A250B">
        <w:t xml:space="preserve">. </w:t>
      </w:r>
      <w:r w:rsidR="008A250B">
        <w:rPr>
          <w:szCs w:val="24"/>
        </w:rPr>
        <w:t>R</w:t>
      </w:r>
      <w:r w:rsidR="008A250B">
        <w:rPr>
          <w:iCs/>
          <w:szCs w:val="24"/>
        </w:rPr>
        <w:t>ealizací projektu je plněno opatření 1.1.2 Koncepce rozvoje knihoven ČR na léta 2017</w:t>
      </w:r>
      <w:r w:rsidR="00D728EA">
        <w:rPr>
          <w:iCs/>
          <w:szCs w:val="24"/>
        </w:rPr>
        <w:t>–</w:t>
      </w:r>
      <w:r w:rsidR="008A250B">
        <w:rPr>
          <w:iCs/>
          <w:szCs w:val="24"/>
        </w:rPr>
        <w:t xml:space="preserve">2020 </w:t>
      </w:r>
      <w:r w:rsidR="008A250B">
        <w:rPr>
          <w:iCs/>
        </w:rPr>
        <w:t>(konkr</w:t>
      </w:r>
      <w:r w:rsidR="00BA235E">
        <w:rPr>
          <w:iCs/>
        </w:rPr>
        <w:t>étně</w:t>
      </w:r>
      <w:r w:rsidR="008A250B">
        <w:rPr>
          <w:iCs/>
        </w:rPr>
        <w:t xml:space="preserve"> </w:t>
      </w:r>
      <w:r w:rsidR="005358AC">
        <w:t>úkol 1.1.2.4 Rozvíjet a</w:t>
      </w:r>
      <w:r w:rsidR="00FC23AF">
        <w:t> </w:t>
      </w:r>
      <w:r w:rsidR="008A250B">
        <w:t>integrovat meziknihovní výpůjční služby a dodávání dokumentů do knihoven)</w:t>
      </w:r>
      <w:r w:rsidR="008A250B">
        <w:rPr>
          <w:szCs w:val="24"/>
        </w:rPr>
        <w:t xml:space="preserve"> v</w:t>
      </w:r>
      <w:r w:rsidR="005358AC">
        <w:rPr>
          <w:szCs w:val="24"/>
        </w:rPr>
        <w:t xml:space="preserve"> </w:t>
      </w:r>
      <w:r w:rsidR="008A250B">
        <w:rPr>
          <w:szCs w:val="24"/>
        </w:rPr>
        <w:t>návaznosti na implementaci Státní kulturní politiky na léta 2015</w:t>
      </w:r>
      <w:r w:rsidR="00D728EA">
        <w:rPr>
          <w:szCs w:val="24"/>
        </w:rPr>
        <w:t>–</w:t>
      </w:r>
      <w:r w:rsidR="008A250B">
        <w:rPr>
          <w:szCs w:val="24"/>
        </w:rPr>
        <w:t xml:space="preserve">2020. </w:t>
      </w:r>
      <w:r w:rsidR="008A250B">
        <w:t>Systém ZÍSKEJ je výchozí základnou pro fungování meziknihovních výpůjčních služeb a služeb dodávání dokumentů v</w:t>
      </w:r>
      <w:r w:rsidR="00FC23AF">
        <w:t> </w:t>
      </w:r>
      <w:r w:rsidR="008A250B">
        <w:t xml:space="preserve">rámci národního </w:t>
      </w:r>
      <w:r w:rsidR="00BA235E">
        <w:t>Centrálního portálu knihoven (</w:t>
      </w:r>
      <w:r w:rsidR="008A250B">
        <w:t>CPK</w:t>
      </w:r>
      <w:r w:rsidR="00BA235E">
        <w:t>)</w:t>
      </w:r>
      <w:r w:rsidR="008A250B">
        <w:t xml:space="preserve">. </w:t>
      </w:r>
      <w:r w:rsidR="008A250B">
        <w:rPr>
          <w:szCs w:val="24"/>
        </w:rPr>
        <w:t>V r. 2020 je plánován vývoj software v</w:t>
      </w:r>
      <w:r w:rsidR="00FC23AF">
        <w:rPr>
          <w:szCs w:val="24"/>
        </w:rPr>
        <w:t> </w:t>
      </w:r>
      <w:r w:rsidR="008A250B">
        <w:rPr>
          <w:szCs w:val="24"/>
        </w:rPr>
        <w:t>jazyce Python k</w:t>
      </w:r>
      <w:r w:rsidR="005358AC">
        <w:rPr>
          <w:szCs w:val="24"/>
        </w:rPr>
        <w:t xml:space="preserve"> </w:t>
      </w:r>
      <w:r w:rsidR="008A250B">
        <w:rPr>
          <w:szCs w:val="24"/>
        </w:rPr>
        <w:t>zajištění úprav systému, úprav informačního portálu, podpůrné činnosti při nasazování EDD a optimalizaci MVS, zejm. školení pro zapojující se knihovny, propagace, metodika služby, komplexní podpora knihoven a koncových zákazníků využívajících služby ZÍSKEJ v</w:t>
      </w:r>
      <w:r w:rsidR="005358AC">
        <w:rPr>
          <w:szCs w:val="24"/>
        </w:rPr>
        <w:t xml:space="preserve"> </w:t>
      </w:r>
      <w:r w:rsidR="008A250B">
        <w:rPr>
          <w:szCs w:val="24"/>
        </w:rPr>
        <w:t xml:space="preserve">CPK. </w:t>
      </w:r>
      <w:r>
        <w:t>Výsledky projektu, resp. s</w:t>
      </w:r>
      <w:r w:rsidR="008A250B">
        <w:t xml:space="preserve">ystém </w:t>
      </w:r>
      <w:proofErr w:type="gramStart"/>
      <w:r w:rsidR="007C758D" w:rsidRPr="007C758D">
        <w:t xml:space="preserve">ZÍSKEJ </w:t>
      </w:r>
      <w:r w:rsidR="007C758D">
        <w:t>bude</w:t>
      </w:r>
      <w:proofErr w:type="gramEnd"/>
      <w:r w:rsidR="007C758D">
        <w:t xml:space="preserve"> </w:t>
      </w:r>
      <w:r w:rsidR="007145DC">
        <w:t xml:space="preserve">využíván </w:t>
      </w:r>
      <w:r w:rsidR="007C758D">
        <w:t xml:space="preserve">i </w:t>
      </w:r>
      <w:r w:rsidR="007145DC">
        <w:t>pro sdílení dokumentů pocházejících z</w:t>
      </w:r>
      <w:r w:rsidR="005358AC">
        <w:t xml:space="preserve"> </w:t>
      </w:r>
      <w:r w:rsidR="007145DC">
        <w:t>licencovaných zdrojů</w:t>
      </w:r>
      <w:r w:rsidR="007C758D">
        <w:t xml:space="preserve"> pořízených v</w:t>
      </w:r>
      <w:r w:rsidR="005358AC">
        <w:t xml:space="preserve"> </w:t>
      </w:r>
      <w:r w:rsidR="007C758D">
        <w:t>rámci projektu CzechELib</w:t>
      </w:r>
      <w:r w:rsidR="0035609D">
        <w:t xml:space="preserve"> a je tedy </w:t>
      </w:r>
      <w:r w:rsidR="008A250B">
        <w:t>jedním z</w:t>
      </w:r>
      <w:r w:rsidR="005358AC">
        <w:t xml:space="preserve"> </w:t>
      </w:r>
      <w:r w:rsidR="008A250B">
        <w:t xml:space="preserve">výchozích </w:t>
      </w:r>
      <w:r w:rsidR="0035609D">
        <w:t>vstup</w:t>
      </w:r>
      <w:r w:rsidR="008A250B">
        <w:t>ů</w:t>
      </w:r>
      <w:r w:rsidR="0035609D">
        <w:t xml:space="preserve"> do </w:t>
      </w:r>
      <w:r w:rsidR="008A250B">
        <w:t>projektu NCIP</w:t>
      </w:r>
      <w:r w:rsidR="007145DC">
        <w:t>.</w:t>
      </w:r>
      <w:r w:rsidR="0035609D">
        <w:t xml:space="preserve"> </w:t>
      </w:r>
      <w:r w:rsidR="008A250B">
        <w:t>V</w:t>
      </w:r>
      <w:r w:rsidR="0035609D">
        <w:t xml:space="preserve">ývoj </w:t>
      </w:r>
      <w:r w:rsidR="008A250B">
        <w:t xml:space="preserve">systému </w:t>
      </w:r>
      <w:r w:rsidR="0035609D">
        <w:t>je financován komplementárně</w:t>
      </w:r>
      <w:r w:rsidR="008A250B">
        <w:t xml:space="preserve">, věcně i časově, a </w:t>
      </w:r>
      <w:r w:rsidR="0035609D">
        <w:t xml:space="preserve">předměty podpory </w:t>
      </w:r>
      <w:r w:rsidR="008A250B">
        <w:t xml:space="preserve">obou projektů </w:t>
      </w:r>
      <w:r w:rsidR="0035609D">
        <w:t>se vzájemně nepřekrývají.</w:t>
      </w:r>
    </w:p>
    <w:p w14:paraId="37F8FBAA" w14:textId="77777777" w:rsidR="0035609D" w:rsidRPr="00574BBF" w:rsidRDefault="0035609D" w:rsidP="00E55288"/>
    <w:p w14:paraId="095E7343" w14:textId="07EC04EB" w:rsidR="0035609D" w:rsidRPr="0035609D" w:rsidRDefault="0035609D" w:rsidP="00BA235E">
      <w:pPr>
        <w:pStyle w:val="Nadpis3"/>
        <w:rPr>
          <w:u w:val="single"/>
        </w:rPr>
      </w:pPr>
      <w:r w:rsidRPr="00BA235E">
        <w:lastRenderedPageBreak/>
        <w:t>Individuální projekt systémový „</w:t>
      </w:r>
      <w:r w:rsidRPr="009F4953">
        <w:t>Národní centrum pro elektronické informační zdroje – CzechELib</w:t>
      </w:r>
      <w:r>
        <w:t>“</w:t>
      </w:r>
      <w:r w:rsidRPr="0035609D">
        <w:rPr>
          <w:u w:val="single"/>
        </w:rPr>
        <w:t xml:space="preserve"> </w:t>
      </w:r>
    </w:p>
    <w:p w14:paraId="59BF82F5" w14:textId="0914FFAF" w:rsidR="00D72751" w:rsidRPr="0035609D" w:rsidRDefault="0035609D" w:rsidP="0035609D">
      <w:r w:rsidRPr="0035609D">
        <w:t>Projekt s</w:t>
      </w:r>
      <w:r w:rsidR="005358AC">
        <w:t xml:space="preserve"> </w:t>
      </w:r>
      <w:r w:rsidRPr="0035609D">
        <w:t>ID</w:t>
      </w:r>
      <w:r>
        <w:t>:</w:t>
      </w:r>
      <w:r w:rsidRPr="0035609D">
        <w:t xml:space="preserve"> EF16_040/0003542 je řešen </w:t>
      </w:r>
      <w:r>
        <w:t xml:space="preserve">NTK v </w:t>
      </w:r>
      <w:r w:rsidRPr="0035609D">
        <w:t>Oper</w:t>
      </w:r>
      <w:r w:rsidR="005358AC">
        <w:t>ačním programu „Výzkum, vývoj a</w:t>
      </w:r>
      <w:r w:rsidR="00FC23AF">
        <w:t> </w:t>
      </w:r>
      <w:r w:rsidRPr="0035609D">
        <w:t>vzdělávání jako individuální systémový projekt. Byl schválen 12/2016 na období realizace 2017–2022</w:t>
      </w:r>
      <w:r>
        <w:t>. P</w:t>
      </w:r>
      <w:r w:rsidR="00D72751" w:rsidRPr="0035609D">
        <w:t>oskytovatel</w:t>
      </w:r>
      <w:r>
        <w:t>em je</w:t>
      </w:r>
      <w:r w:rsidR="00D72751" w:rsidRPr="0035609D">
        <w:t xml:space="preserve"> Ministerstvo školství, mládeže a tělovýchovy</w:t>
      </w:r>
      <w:r>
        <w:t>.</w:t>
      </w:r>
      <w:r w:rsidR="00D72751" w:rsidRPr="0035609D">
        <w:t xml:space="preserve"> </w:t>
      </w:r>
    </w:p>
    <w:p w14:paraId="3C066B96" w14:textId="421B20DE" w:rsidR="009F4953" w:rsidRDefault="009F4953" w:rsidP="009F4953">
      <w:r w:rsidRPr="009F4953">
        <w:t xml:space="preserve">Cílem </w:t>
      </w:r>
      <w:r w:rsidR="0035609D">
        <w:t xml:space="preserve">tohoto systémového </w:t>
      </w:r>
      <w:r>
        <w:t xml:space="preserve">projektu </w:t>
      </w:r>
      <w:r w:rsidRPr="009F4953">
        <w:t>je zvýšení výkonnosti a efektivity oblasti výzkumu, vývoje a inovací v</w:t>
      </w:r>
      <w:r w:rsidR="005358AC">
        <w:t xml:space="preserve"> </w:t>
      </w:r>
      <w:r w:rsidRPr="009F4953">
        <w:t xml:space="preserve">České republice prostřednictvím </w:t>
      </w:r>
      <w:r w:rsidRPr="00F67CA5">
        <w:rPr>
          <w:b/>
        </w:rPr>
        <w:t>systémové změny způsobu zajištění</w:t>
      </w:r>
      <w:r w:rsidRPr="009F4953">
        <w:t xml:space="preserve"> elektronických vědeckých časopisů, knih a speciálních databází (tzv. elektronické informační zdroje) pro uživatele z</w:t>
      </w:r>
      <w:r w:rsidR="005358AC">
        <w:t xml:space="preserve"> </w:t>
      </w:r>
      <w:r w:rsidRPr="009F4953">
        <w:t>oblasti výzkumu, vývoje a inovací, která přin</w:t>
      </w:r>
      <w:r w:rsidR="0035609D">
        <w:t>áší</w:t>
      </w:r>
      <w:r w:rsidRPr="009F4953">
        <w:t xml:space="preserve"> významnou úsporu veřejných prostředků vynakládaných uživateli – výzkumnými organizacemi na související administrativu.</w:t>
      </w:r>
    </w:p>
    <w:p w14:paraId="724E2467" w14:textId="08EC7BA7" w:rsidR="009F4953" w:rsidRDefault="00030738" w:rsidP="009F4953">
      <w:r>
        <w:t>V</w:t>
      </w:r>
      <w:r w:rsidR="005358AC">
        <w:t xml:space="preserve"> </w:t>
      </w:r>
      <w:r w:rsidR="008D4DFA">
        <w:t>p</w:t>
      </w:r>
      <w:r w:rsidR="00291B31">
        <w:t>ředchozích letech</w:t>
      </w:r>
      <w:r w:rsidR="008D4DFA">
        <w:t xml:space="preserve"> </w:t>
      </w:r>
      <w:r w:rsidR="0035609D">
        <w:t xml:space="preserve">řešení bylo </w:t>
      </w:r>
      <w:r w:rsidR="009F4953">
        <w:t>vytvořen</w:t>
      </w:r>
      <w:r w:rsidR="0035609D">
        <w:t>o</w:t>
      </w:r>
      <w:r w:rsidR="009F4953">
        <w:t xml:space="preserve"> </w:t>
      </w:r>
      <w:r w:rsidR="0035609D">
        <w:t>národní licenční centrum</w:t>
      </w:r>
      <w:r w:rsidR="00742FC6">
        <w:t xml:space="preserve"> (</w:t>
      </w:r>
      <w:r w:rsidR="00742FC6" w:rsidRPr="00F67CA5">
        <w:rPr>
          <w:b/>
        </w:rPr>
        <w:t>1</w:t>
      </w:r>
      <w:r w:rsidR="00742FC6">
        <w:t>)</w:t>
      </w:r>
      <w:r w:rsidR="00FC23AF">
        <w:t xml:space="preserve"> </w:t>
      </w:r>
      <w:r w:rsidR="00FC23AF" w:rsidRPr="00FC23AF">
        <w:t>a</w:t>
      </w:r>
      <w:r w:rsidR="00FC23AF">
        <w:t xml:space="preserve"> </w:t>
      </w:r>
      <w:r w:rsidR="001D6111" w:rsidRPr="00FC23AF">
        <w:t>zahájen</w:t>
      </w:r>
      <w:r w:rsidR="001D6111">
        <w:t xml:space="preserve"> jeho provoz</w:t>
      </w:r>
      <w:r w:rsidR="0035609D">
        <w:t xml:space="preserve">. Výstupem projektu jsou </w:t>
      </w:r>
      <w:r w:rsidR="009F4953">
        <w:t>metodik</w:t>
      </w:r>
      <w:r w:rsidR="0035609D">
        <w:t xml:space="preserve">y, definování a zavedení organizačně administrativních </w:t>
      </w:r>
      <w:r w:rsidR="009F4953">
        <w:t>procesů v</w:t>
      </w:r>
      <w:r w:rsidR="005358AC">
        <w:t xml:space="preserve"> </w:t>
      </w:r>
      <w:r w:rsidR="009F4953">
        <w:t>NTK pro právní a ekonomické zajištění pořizování elektronických informačních zdrojů</w:t>
      </w:r>
      <w:r w:rsidR="00742FC6">
        <w:t xml:space="preserve"> (</w:t>
      </w:r>
      <w:r w:rsidR="00742FC6" w:rsidRPr="00F67CA5">
        <w:rPr>
          <w:b/>
        </w:rPr>
        <w:t>2</w:t>
      </w:r>
      <w:r w:rsidR="00742FC6">
        <w:t>)</w:t>
      </w:r>
      <w:r w:rsidR="009F4953">
        <w:t>. V</w:t>
      </w:r>
      <w:r w:rsidR="005358AC">
        <w:t xml:space="preserve"> </w:t>
      </w:r>
      <w:r w:rsidR="009F4953">
        <w:t>další fázi</w:t>
      </w:r>
      <w:r w:rsidR="0035609D">
        <w:t xml:space="preserve"> řešení </w:t>
      </w:r>
      <w:r w:rsidR="007219FF">
        <w:t>proběhne</w:t>
      </w:r>
      <w:r w:rsidR="009F4953">
        <w:t xml:space="preserve"> tříleté ověření funkcionality centra</w:t>
      </w:r>
      <w:r w:rsidR="00742FC6">
        <w:t xml:space="preserve"> (</w:t>
      </w:r>
      <w:r w:rsidR="00742FC6" w:rsidRPr="00F67CA5">
        <w:rPr>
          <w:b/>
        </w:rPr>
        <w:t>3</w:t>
      </w:r>
      <w:r w:rsidR="00742FC6">
        <w:t>)</w:t>
      </w:r>
      <w:r w:rsidR="009F4953">
        <w:t xml:space="preserve"> při podpoře pořizování zdrojů z</w:t>
      </w:r>
      <w:r w:rsidR="005358AC">
        <w:t xml:space="preserve"> </w:t>
      </w:r>
      <w:r w:rsidR="009F4953">
        <w:t>prostředků OP</w:t>
      </w:r>
      <w:r w:rsidR="008D4DFA">
        <w:t xml:space="preserve"> </w:t>
      </w:r>
      <w:r w:rsidR="00C53359">
        <w:t>VVV</w:t>
      </w:r>
      <w:r w:rsidR="007219FF">
        <w:t>. S</w:t>
      </w:r>
      <w:r w:rsidR="009F4953">
        <w:t xml:space="preserve">oučasně </w:t>
      </w:r>
      <w:r w:rsidR="008D4DFA">
        <w:t>probíh</w:t>
      </w:r>
      <w:r w:rsidR="007219FF">
        <w:t>á</w:t>
      </w:r>
      <w:r w:rsidR="008D4DFA">
        <w:t xml:space="preserve"> </w:t>
      </w:r>
      <w:r w:rsidR="009F4953">
        <w:t>vývoj nástrojů pr</w:t>
      </w:r>
      <w:r>
        <w:t>o</w:t>
      </w:r>
      <w:r w:rsidR="009F4953">
        <w:t xml:space="preserve"> správu </w:t>
      </w:r>
      <w:r w:rsidR="0084776A">
        <w:t xml:space="preserve">EIZ (ERMS) </w:t>
      </w:r>
      <w:r w:rsidR="009F4953">
        <w:t xml:space="preserve">a </w:t>
      </w:r>
      <w:r>
        <w:t xml:space="preserve">sběr </w:t>
      </w:r>
      <w:r w:rsidR="009F4953">
        <w:t>statistick</w:t>
      </w:r>
      <w:r>
        <w:t>ých údajů</w:t>
      </w:r>
      <w:r w:rsidR="009F4953">
        <w:t xml:space="preserve"> </w:t>
      </w:r>
      <w:r>
        <w:t>o</w:t>
      </w:r>
      <w:r w:rsidR="005358AC">
        <w:t xml:space="preserve"> </w:t>
      </w:r>
      <w:r w:rsidR="009F4953">
        <w:t>využívání zdrojů</w:t>
      </w:r>
      <w:r w:rsidR="0084776A">
        <w:t xml:space="preserve"> (CELUS; oba </w:t>
      </w:r>
      <w:r w:rsidR="00742FC6" w:rsidRPr="00F67CA5">
        <w:rPr>
          <w:b/>
        </w:rPr>
        <w:t>4</w:t>
      </w:r>
      <w:r w:rsidR="00A9053D">
        <w:t>)</w:t>
      </w:r>
      <w:r w:rsidR="009F4953">
        <w:t>. V</w:t>
      </w:r>
      <w:r w:rsidR="005358AC">
        <w:t xml:space="preserve"> </w:t>
      </w:r>
      <w:r w:rsidR="009F4953">
        <w:t>závěrečných dvou letech projektu se podpora projektu omezuje pouze na provoz centr</w:t>
      </w:r>
      <w:r w:rsidR="00761760">
        <w:t>a</w:t>
      </w:r>
      <w:r w:rsidR="009F4953">
        <w:t xml:space="preserve"> a užívání </w:t>
      </w:r>
      <w:r w:rsidR="00761760">
        <w:t xml:space="preserve">a rozvoj </w:t>
      </w:r>
      <w:r w:rsidR="009F4953">
        <w:t>vyvinutých nástrojů</w:t>
      </w:r>
      <w:r w:rsidR="00A9053D">
        <w:t xml:space="preserve"> </w:t>
      </w:r>
      <w:r w:rsidR="00A9053D" w:rsidRPr="00A9053D">
        <w:t>(</w:t>
      </w:r>
      <w:r w:rsidR="00A9053D" w:rsidRPr="00F67CA5">
        <w:rPr>
          <w:b/>
        </w:rPr>
        <w:t>5</w:t>
      </w:r>
      <w:r w:rsidR="00A9053D" w:rsidRPr="00A9053D">
        <w:t>)</w:t>
      </w:r>
      <w:r w:rsidR="00761760">
        <w:t>.</w:t>
      </w:r>
      <w:r w:rsidR="007219FF">
        <w:t xml:space="preserve"> Výstupy tohoto projektu jsou vstupními atributy do </w:t>
      </w:r>
      <w:r w:rsidR="00291B31">
        <w:t xml:space="preserve">jednotlivých etap řešení </w:t>
      </w:r>
      <w:r w:rsidR="007219FF">
        <w:t>projektu NCIP, aktivity i jejich financování j</w:t>
      </w:r>
      <w:r w:rsidR="001D6111">
        <w:t>sou</w:t>
      </w:r>
      <w:r w:rsidR="007219FF">
        <w:t xml:space="preserve"> důs</w:t>
      </w:r>
      <w:r w:rsidR="005358AC">
        <w:t>ledně vzájemně komplementární a</w:t>
      </w:r>
      <w:r w:rsidR="00FC23AF">
        <w:t> </w:t>
      </w:r>
      <w:r w:rsidR="007219FF">
        <w:t>nepřekrýv</w:t>
      </w:r>
      <w:r w:rsidR="001D6111">
        <w:t>ají</w:t>
      </w:r>
      <w:r w:rsidR="007219FF">
        <w:t xml:space="preserve"> se.</w:t>
      </w:r>
    </w:p>
    <w:p w14:paraId="78B277FF" w14:textId="4D95F5DF" w:rsidR="005358AC" w:rsidRDefault="005358AC" w:rsidP="009F4953">
      <w:r w:rsidRPr="005358AC">
        <w:t xml:space="preserve">Schéma 1 znázorňuje náklady </w:t>
      </w:r>
      <w:r w:rsidR="00FC23AF">
        <w:t xml:space="preserve">IPs CzechELib </w:t>
      </w:r>
      <w:r w:rsidRPr="005358AC">
        <w:t>přímo svázané s rea</w:t>
      </w:r>
      <w:r w:rsidR="00FC23AF">
        <w:t>lizací projektu v uvedených letech,</w:t>
      </w:r>
      <w:r w:rsidRPr="005358AC">
        <w:t xml:space="preserve"> nikoliv</w:t>
      </w:r>
      <w:r w:rsidR="00FC23AF">
        <w:t xml:space="preserve"> finanční prostředky</w:t>
      </w:r>
      <w:r w:rsidRPr="005358AC">
        <w:t xml:space="preserve"> proplacené poskytovatelem dotace</w:t>
      </w:r>
      <w:r w:rsidR="00FC23AF">
        <w:t xml:space="preserve"> prostřednictvím ex-ante zálohových plateb</w:t>
      </w:r>
      <w:bookmarkStart w:id="0" w:name="_GoBack"/>
      <w:bookmarkEnd w:id="0"/>
      <w:r w:rsidR="00FC23AF">
        <w:t>.</w:t>
      </w:r>
    </w:p>
    <w:p w14:paraId="7883B963" w14:textId="73B324DB" w:rsidR="00F04283" w:rsidRDefault="00291B31" w:rsidP="004D546F">
      <w:pPr>
        <w:pStyle w:val="Nadpis3"/>
      </w:pPr>
      <w:r>
        <w:t>Programy MPO/TAČR</w:t>
      </w:r>
      <w:r w:rsidR="00F04283">
        <w:t xml:space="preserve"> </w:t>
      </w:r>
      <w:r w:rsidR="001D6111">
        <w:t>–</w:t>
      </w:r>
      <w:r w:rsidR="00F04283">
        <w:t xml:space="preserve"> očekávané k</w:t>
      </w:r>
      <w:r w:rsidR="00F04283" w:rsidRPr="00172742">
        <w:t>omplementarity a synergie v</w:t>
      </w:r>
      <w:r w:rsidR="005358AC">
        <w:t xml:space="preserve"> </w:t>
      </w:r>
      <w:r w:rsidR="00F04283" w:rsidRPr="00172742">
        <w:t>projektu NCIP VaVaI</w:t>
      </w:r>
    </w:p>
    <w:p w14:paraId="61E9A880" w14:textId="3E3B2E23" w:rsidR="00D15F40" w:rsidRDefault="00291B31" w:rsidP="009F4953">
      <w:r>
        <w:t xml:space="preserve">NTK připravila do veřejné soutěže programu TREND (poskytovatel: MPO, implementační agentura TAČR) návrh </w:t>
      </w:r>
      <w:r w:rsidR="00D15F40">
        <w:t xml:space="preserve">vývojového a inovativního </w:t>
      </w:r>
      <w:r w:rsidRPr="00291B31">
        <w:t xml:space="preserve">projektu „Výzkum metod automatického zpracování textu pro využití v systematických literárních a patentových rešerších – </w:t>
      </w:r>
      <w:proofErr w:type="spellStart"/>
      <w:r w:rsidRPr="00291B31">
        <w:t>Textbusters</w:t>
      </w:r>
      <w:proofErr w:type="spellEnd"/>
      <w:r>
        <w:t>“ v</w:t>
      </w:r>
      <w:r w:rsidR="004D546F">
        <w:t xml:space="preserve">e </w:t>
      </w:r>
      <w:r w:rsidR="00D15F40">
        <w:t>12/</w:t>
      </w:r>
      <w:r>
        <w:t>2019</w:t>
      </w:r>
      <w:r w:rsidR="00D15F40">
        <w:t xml:space="preserve">. Veřejná soutěž byla však implementační agenturou zrušena. Návrh byl dopracován a </w:t>
      </w:r>
      <w:r w:rsidR="00560F36" w:rsidRPr="00560F36">
        <w:t xml:space="preserve">znovu podán </w:t>
      </w:r>
      <w:r w:rsidR="00D15F40">
        <w:t xml:space="preserve">do nově vyhlášení soutěže </w:t>
      </w:r>
      <w:r w:rsidR="004D546F">
        <w:t>v</w:t>
      </w:r>
      <w:r w:rsidR="005358AC">
        <w:t xml:space="preserve"> </w:t>
      </w:r>
      <w:r w:rsidR="00DF7362" w:rsidRPr="00560F36">
        <w:t>0</w:t>
      </w:r>
      <w:r w:rsidR="00560F36" w:rsidRPr="00560F36">
        <w:t>2</w:t>
      </w:r>
      <w:r w:rsidR="00DF7362" w:rsidRPr="00560F36">
        <w:t>/2020</w:t>
      </w:r>
      <w:r w:rsidR="00D15F40">
        <w:t xml:space="preserve">. </w:t>
      </w:r>
    </w:p>
    <w:p w14:paraId="1C0E2B77" w14:textId="7AD603D3" w:rsidR="00D15F40" w:rsidRDefault="00D15F40" w:rsidP="009F4953">
      <w:r>
        <w:t xml:space="preserve">Cílem projektu je </w:t>
      </w:r>
      <w:r w:rsidRPr="00560F36">
        <w:t>zásadně zefektivnit klíčové (časově, finančně a odborně náročné) procesy v</w:t>
      </w:r>
      <w:r w:rsidR="00FC23AF">
        <w:t> </w:t>
      </w:r>
      <w:r w:rsidRPr="00560F36">
        <w:t xml:space="preserve">systematických </w:t>
      </w:r>
      <w:r w:rsidRPr="00D15F40">
        <w:t>literárních a patentových rešerších pomocí (polo)automatického hodnocení relevance textu a extrakce klíčových informací metodami</w:t>
      </w:r>
      <w:r>
        <w:t xml:space="preserve"> strojového učení a umělé inteligence. </w:t>
      </w:r>
    </w:p>
    <w:p w14:paraId="1C443A4F" w14:textId="204F3DD7" w:rsidR="00D15F40" w:rsidRDefault="00D15F40" w:rsidP="00D15F40">
      <w:r>
        <w:t xml:space="preserve">Výsledkem projektu budou metody a nástroj pro </w:t>
      </w:r>
      <w:r w:rsidRPr="00560F36">
        <w:rPr>
          <w:b/>
        </w:rPr>
        <w:t>analýzu plnotextových dokumentů</w:t>
      </w:r>
      <w:r>
        <w:t xml:space="preserve"> s</w:t>
      </w:r>
      <w:r w:rsidR="00FC23AF">
        <w:t> </w:t>
      </w:r>
      <w:r>
        <w:t>využitím strojového učení a umělé inteligence (</w:t>
      </w:r>
      <w:r w:rsidRPr="00F67CA5">
        <w:rPr>
          <w:b/>
        </w:rPr>
        <w:t>6</w:t>
      </w:r>
      <w:r>
        <w:t>). Role NTK v tomto projektu spočívá v</w:t>
      </w:r>
      <w:r w:rsidR="00FC23AF">
        <w:t> </w:t>
      </w:r>
      <w:r>
        <w:t>testování metod a ladění nástroje, který bude možné následně využít i v projektu NCIP VaVaI v</w:t>
      </w:r>
      <w:r w:rsidR="005358AC">
        <w:t xml:space="preserve"> </w:t>
      </w:r>
      <w:r>
        <w:t>pokročilých informačních službách a při správě Národního repozitáře (</w:t>
      </w:r>
      <w:r w:rsidRPr="00F67CA5">
        <w:rPr>
          <w:b/>
        </w:rPr>
        <w:t>12</w:t>
      </w:r>
      <w:r>
        <w:t>)</w:t>
      </w:r>
      <w:r w:rsidR="006301FF">
        <w:t>,</w:t>
      </w:r>
      <w:r>
        <w:t xml:space="preserve"> zejm. </w:t>
      </w:r>
      <w:r w:rsidR="004D546F">
        <w:t xml:space="preserve">pro </w:t>
      </w:r>
      <w:r>
        <w:t>patentové rešerše a generování popisných údajů z</w:t>
      </w:r>
      <w:r w:rsidR="005358AC">
        <w:t xml:space="preserve"> </w:t>
      </w:r>
      <w:r>
        <w:t>plnotextových dokumentů pro repozitáře.</w:t>
      </w:r>
    </w:p>
    <w:p w14:paraId="462A2568" w14:textId="09E383C8" w:rsidR="00172742" w:rsidRDefault="00172742" w:rsidP="00172742">
      <w:pPr>
        <w:rPr>
          <w:b/>
        </w:rPr>
      </w:pPr>
      <w:r>
        <w:t>Projektové aktivity byly plánovány komplementárně ve vztahu k</w:t>
      </w:r>
      <w:r w:rsidR="005358AC">
        <w:t xml:space="preserve"> </w:t>
      </w:r>
      <w:r>
        <w:t>NCIP a jejich realizace v</w:t>
      </w:r>
      <w:r w:rsidR="00FC23AF">
        <w:t> </w:t>
      </w:r>
      <w:r w:rsidR="001D6111">
        <w:t>období</w:t>
      </w:r>
      <w:r>
        <w:t xml:space="preserve"> </w:t>
      </w:r>
      <w:r w:rsidR="00AA40C2">
        <w:t>10/</w:t>
      </w:r>
      <w:r w:rsidR="009F4953" w:rsidRPr="00560F36">
        <w:t>2020</w:t>
      </w:r>
      <w:r w:rsidR="00DD1294">
        <w:t>–</w:t>
      </w:r>
      <w:r w:rsidR="00AA40C2">
        <w:t>3/</w:t>
      </w:r>
      <w:r w:rsidR="009F4953" w:rsidRPr="00560F36">
        <w:t>2023</w:t>
      </w:r>
      <w:r>
        <w:t xml:space="preserve"> měla probíhat nezávisle na NCIP</w:t>
      </w:r>
      <w:r w:rsidR="007219FF">
        <w:t xml:space="preserve">. </w:t>
      </w:r>
      <w:r w:rsidR="00D15F40">
        <w:t>Vzhledem k</w:t>
      </w:r>
      <w:r w:rsidR="005358AC">
        <w:t xml:space="preserve"> </w:t>
      </w:r>
      <w:r w:rsidR="00D15F40">
        <w:t>nedostatku finančních prostředků v</w:t>
      </w:r>
      <w:r w:rsidR="005358AC">
        <w:t xml:space="preserve"> </w:t>
      </w:r>
      <w:r w:rsidR="00D15F40">
        <w:t>programu p</w:t>
      </w:r>
      <w:r w:rsidR="007219FF">
        <w:t xml:space="preserve">rojekt </w:t>
      </w:r>
      <w:r w:rsidR="00D15F40">
        <w:t xml:space="preserve">ale </w:t>
      </w:r>
      <w:r w:rsidR="007219FF">
        <w:t xml:space="preserve">nebyl </w:t>
      </w:r>
      <w:r w:rsidR="00D15F40">
        <w:t xml:space="preserve">nakonec </w:t>
      </w:r>
      <w:r w:rsidR="007219FF">
        <w:t>podpořen</w:t>
      </w:r>
      <w:r>
        <w:t xml:space="preserve">. </w:t>
      </w:r>
      <w:r w:rsidR="00D15F40">
        <w:t xml:space="preserve">NTK </w:t>
      </w:r>
      <w:r>
        <w:t xml:space="preserve">nicméně </w:t>
      </w:r>
      <w:r w:rsidR="00D15F40">
        <w:t xml:space="preserve">bude hledat jiné zdroje financování tohoto komplementárního projektu, jehož výsledky </w:t>
      </w:r>
      <w:r>
        <w:t xml:space="preserve">by jako </w:t>
      </w:r>
      <w:r w:rsidR="00D15F40">
        <w:t>vstupy do</w:t>
      </w:r>
      <w:r w:rsidR="005358AC">
        <w:t xml:space="preserve"> </w:t>
      </w:r>
      <w:r w:rsidR="00D15F40">
        <w:t>některých konkrétních aktivit projektu NCIP</w:t>
      </w:r>
      <w:r>
        <w:t xml:space="preserve"> významně kvalitativně zhodnotily jeho přínosy. Posun </w:t>
      </w:r>
      <w:r w:rsidR="00D15F40">
        <w:t>v</w:t>
      </w:r>
      <w:r w:rsidR="005358AC">
        <w:t xml:space="preserve"> </w:t>
      </w:r>
      <w:r w:rsidR="00D15F40">
        <w:t xml:space="preserve">zahájení řešení, resp. nerealizování projektu </w:t>
      </w:r>
      <w:proofErr w:type="spellStart"/>
      <w:r w:rsidR="00D15F40">
        <w:t>Textbusters</w:t>
      </w:r>
      <w:proofErr w:type="spellEnd"/>
      <w:r w:rsidR="00D15F40">
        <w:t xml:space="preserve"> v</w:t>
      </w:r>
      <w:r w:rsidR="005358AC">
        <w:t xml:space="preserve"> </w:t>
      </w:r>
      <w:r w:rsidR="00D15F40">
        <w:t xml:space="preserve">programu TREND </w:t>
      </w:r>
      <w:r w:rsidR="00D15F40" w:rsidRPr="00D15F40">
        <w:rPr>
          <w:b/>
        </w:rPr>
        <w:t xml:space="preserve">nebude </w:t>
      </w:r>
      <w:r>
        <w:rPr>
          <w:b/>
        </w:rPr>
        <w:t xml:space="preserve">však </w:t>
      </w:r>
      <w:r w:rsidR="00D15F40" w:rsidRPr="00D15F40">
        <w:rPr>
          <w:b/>
        </w:rPr>
        <w:t xml:space="preserve">mít negativní dopady na zahájení a </w:t>
      </w:r>
      <w:r>
        <w:rPr>
          <w:b/>
        </w:rPr>
        <w:t xml:space="preserve">ani na očekávanou </w:t>
      </w:r>
      <w:r w:rsidR="00D15F40" w:rsidRPr="00D15F40">
        <w:rPr>
          <w:b/>
        </w:rPr>
        <w:t xml:space="preserve">kvalitu řešení projektu </w:t>
      </w:r>
      <w:r w:rsidR="004D546F">
        <w:rPr>
          <w:b/>
        </w:rPr>
        <w:t>NCIP VaVaI.</w:t>
      </w:r>
    </w:p>
    <w:p w14:paraId="22771483" w14:textId="77777777" w:rsidR="000B39C9" w:rsidRDefault="00761760" w:rsidP="000B39C9">
      <w:pPr>
        <w:pStyle w:val="Nadpis3"/>
      </w:pPr>
      <w:r w:rsidRPr="00761760">
        <w:lastRenderedPageBreak/>
        <w:t>Projekt sdílených činností</w:t>
      </w:r>
      <w:r>
        <w:t xml:space="preserve"> </w:t>
      </w:r>
      <w:r w:rsidR="00172742" w:rsidRPr="00761760">
        <w:t>Národní centrum pro informační podporu výzkumu, vývoje a inovací</w:t>
      </w:r>
    </w:p>
    <w:p w14:paraId="58027821" w14:textId="1F0A1B28" w:rsidR="00761760" w:rsidRPr="00761760" w:rsidRDefault="00172742" w:rsidP="00761760">
      <w:r>
        <w:t xml:space="preserve"> </w:t>
      </w:r>
      <w:r w:rsidR="004D546F">
        <w:t xml:space="preserve">Projekt byl </w:t>
      </w:r>
      <w:r w:rsidR="00DF7362">
        <w:t>předložen P</w:t>
      </w:r>
      <w:r w:rsidR="00DD1294">
        <w:t>oradě vedení</w:t>
      </w:r>
      <w:r w:rsidR="00DF7362">
        <w:t xml:space="preserve"> MŠMT 05/2020, realizace </w:t>
      </w:r>
      <w:r w:rsidR="004D546F">
        <w:t>v</w:t>
      </w:r>
      <w:r w:rsidR="005358AC">
        <w:t xml:space="preserve"> </w:t>
      </w:r>
      <w:r w:rsidR="004D546F">
        <w:t xml:space="preserve">období </w:t>
      </w:r>
      <w:r w:rsidR="00761760">
        <w:t>2021</w:t>
      </w:r>
      <w:r w:rsidR="00DD1294">
        <w:t>–</w:t>
      </w:r>
      <w:r w:rsidR="00761760">
        <w:t>2027</w:t>
      </w:r>
      <w:r>
        <w:t xml:space="preserve"> navazuje na výstupy projektu CzechELib a </w:t>
      </w:r>
      <w:r w:rsidR="00761760">
        <w:t>vybudování</w:t>
      </w:r>
      <w:r w:rsidR="00F04283">
        <w:t xml:space="preserve">m kvalitativní nadstavby, </w:t>
      </w:r>
      <w:r w:rsidR="00761760">
        <w:t>Národního centra pro informační podporu výzkumu, vývoje a inovací</w:t>
      </w:r>
      <w:r w:rsidR="000B39C9">
        <w:t xml:space="preserve"> </w:t>
      </w:r>
      <w:r w:rsidR="00761760">
        <w:t>přinese podstatné rozšíření nabídky služeb pro VaVaI a zároveň i</w:t>
      </w:r>
      <w:r w:rsidR="002B3724">
        <w:t xml:space="preserve"> </w:t>
      </w:r>
      <w:r w:rsidR="00761760">
        <w:t>zvýšení úrovně jejich kvality</w:t>
      </w:r>
      <w:r w:rsidR="00F67CA5">
        <w:t xml:space="preserve">, zejména prostřednictvím portálu </w:t>
      </w:r>
      <w:r w:rsidR="00F67CA5" w:rsidRPr="00560F36">
        <w:rPr>
          <w:b/>
        </w:rPr>
        <w:t xml:space="preserve">One-stop-shop for researchers </w:t>
      </w:r>
      <w:r w:rsidR="00F67CA5">
        <w:t>(OSS4R)</w:t>
      </w:r>
      <w:r w:rsidR="00761760">
        <w:t>. Klíčovými dílčími cíli projektu jsou kontinuální zajištění funkce NC CzechELib a rozvoj pokročilých informačních a datových služeb</w:t>
      </w:r>
      <w:r w:rsidR="009C1849">
        <w:t xml:space="preserve"> (</w:t>
      </w:r>
      <w:r w:rsidR="009C1849" w:rsidRPr="00F67CA5">
        <w:rPr>
          <w:b/>
        </w:rPr>
        <w:t>10</w:t>
      </w:r>
      <w:r w:rsidR="009C1849">
        <w:t>)</w:t>
      </w:r>
      <w:r w:rsidR="008D4DFA">
        <w:t xml:space="preserve"> a vybudování Národního repozitáře</w:t>
      </w:r>
      <w:r w:rsidR="00761760">
        <w:t xml:space="preserve"> </w:t>
      </w:r>
      <w:r w:rsidR="009C1849">
        <w:t>(</w:t>
      </w:r>
      <w:r w:rsidR="009C1849" w:rsidRPr="00F67CA5">
        <w:rPr>
          <w:b/>
        </w:rPr>
        <w:t>11</w:t>
      </w:r>
      <w:r w:rsidR="009C1849">
        <w:t xml:space="preserve">) </w:t>
      </w:r>
      <w:r w:rsidR="00761760">
        <w:t>včetně potřebné software i hardware infrastruktury. Tyto dílčí cíle umožní NTK poskytovat vysoce sofistikovanou a všem zájemcům z oblasti VaVaI celostátně dostupnou podporu na úrovni evropských i světových standardů.</w:t>
      </w:r>
    </w:p>
    <w:p w14:paraId="13B36D8E" w14:textId="68AE72DD" w:rsidR="007913C2" w:rsidRDefault="00030738" w:rsidP="009F4953">
      <w:pPr>
        <w:rPr>
          <w:rStyle w:val="Nadpis4Char"/>
          <w:i w:val="0"/>
        </w:rPr>
      </w:pPr>
      <w:r>
        <w:rPr>
          <w:rStyle w:val="Nadpis4Char"/>
          <w:i w:val="0"/>
        </w:rPr>
        <w:t>O</w:t>
      </w:r>
      <w:r w:rsidR="007913C2">
        <w:rPr>
          <w:rStyle w:val="Nadpis4Char"/>
          <w:i w:val="0"/>
        </w:rPr>
        <w:t xml:space="preserve">d počátku projektu, tj. od roku 2021 </w:t>
      </w:r>
      <w:r>
        <w:rPr>
          <w:rStyle w:val="Nadpis4Char"/>
          <w:i w:val="0"/>
        </w:rPr>
        <w:t>bude v</w:t>
      </w:r>
      <w:r w:rsidR="005358AC">
        <w:rPr>
          <w:rStyle w:val="Nadpis4Char"/>
          <w:i w:val="0"/>
        </w:rPr>
        <w:t xml:space="preserve"> </w:t>
      </w:r>
      <w:r>
        <w:rPr>
          <w:rStyle w:val="Nadpis4Char"/>
          <w:i w:val="0"/>
        </w:rPr>
        <w:t xml:space="preserve">aktivitě </w:t>
      </w:r>
      <w:r w:rsidRPr="007913C2">
        <w:rPr>
          <w:rStyle w:val="Nadpis4Char"/>
          <w:i w:val="0"/>
        </w:rPr>
        <w:t>Zajištění provozu NC EIZ CzechELib</w:t>
      </w:r>
      <w:r>
        <w:rPr>
          <w:rStyle w:val="Nadpis4Char"/>
          <w:i w:val="0"/>
        </w:rPr>
        <w:t xml:space="preserve"> </w:t>
      </w:r>
      <w:r w:rsidR="007913C2">
        <w:rPr>
          <w:rStyle w:val="Nadpis4Char"/>
          <w:i w:val="0"/>
        </w:rPr>
        <w:t>podporováno pořizování elektronických informačních zdrojů</w:t>
      </w:r>
      <w:r w:rsidR="007C2964">
        <w:rPr>
          <w:rStyle w:val="Nadpis4Char"/>
          <w:i w:val="0"/>
        </w:rPr>
        <w:t xml:space="preserve"> (</w:t>
      </w:r>
      <w:r w:rsidR="007C2964" w:rsidRPr="00F67CA5">
        <w:rPr>
          <w:rStyle w:val="Nadpis4Char"/>
          <w:b/>
          <w:i w:val="0"/>
        </w:rPr>
        <w:t>9</w:t>
      </w:r>
      <w:r w:rsidR="007C2964">
        <w:rPr>
          <w:rStyle w:val="Nadpis4Char"/>
          <w:i w:val="0"/>
        </w:rPr>
        <w:t>)</w:t>
      </w:r>
      <w:r w:rsidR="007913C2">
        <w:rPr>
          <w:rStyle w:val="Nadpis4Char"/>
          <w:i w:val="0"/>
        </w:rPr>
        <w:t xml:space="preserve">, </w:t>
      </w:r>
      <w:r w:rsidR="005733FA">
        <w:rPr>
          <w:rStyle w:val="Nadpis4Char"/>
          <w:i w:val="0"/>
        </w:rPr>
        <w:t>naproti tomu</w:t>
      </w:r>
      <w:r w:rsidR="007913C2">
        <w:rPr>
          <w:rStyle w:val="Nadpis4Char"/>
          <w:i w:val="0"/>
        </w:rPr>
        <w:t xml:space="preserve"> provoz samotného centra CzechELib bude i nadále podpořen z</w:t>
      </w:r>
      <w:r w:rsidR="005358AC">
        <w:rPr>
          <w:rStyle w:val="Nadpis4Char"/>
          <w:i w:val="0"/>
        </w:rPr>
        <w:t xml:space="preserve"> </w:t>
      </w:r>
      <w:r w:rsidR="007913C2">
        <w:rPr>
          <w:rStyle w:val="Nadpis4Char"/>
          <w:i w:val="0"/>
        </w:rPr>
        <w:t>projektu CzechELib, a to až do konce IPs CzechELib v</w:t>
      </w:r>
      <w:r w:rsidR="005358AC">
        <w:rPr>
          <w:rStyle w:val="Nadpis4Char"/>
          <w:i w:val="0"/>
        </w:rPr>
        <w:t xml:space="preserve"> </w:t>
      </w:r>
      <w:r w:rsidR="007913C2">
        <w:rPr>
          <w:rStyle w:val="Nadpis4Char"/>
          <w:i w:val="0"/>
        </w:rPr>
        <w:t xml:space="preserve">roce 2022. </w:t>
      </w:r>
      <w:r w:rsidR="005733FA">
        <w:rPr>
          <w:rStyle w:val="Nadpis4Char"/>
          <w:i w:val="0"/>
        </w:rPr>
        <w:t>Od roku 2023</w:t>
      </w:r>
      <w:r w:rsidR="007913C2">
        <w:rPr>
          <w:rStyle w:val="Nadpis4Char"/>
          <w:i w:val="0"/>
        </w:rPr>
        <w:t xml:space="preserve"> </w:t>
      </w:r>
      <w:r w:rsidR="005733FA">
        <w:rPr>
          <w:rStyle w:val="Nadpis4Char"/>
          <w:i w:val="0"/>
        </w:rPr>
        <w:t xml:space="preserve">převezme </w:t>
      </w:r>
      <w:r w:rsidR="007913C2">
        <w:rPr>
          <w:rStyle w:val="Nadpis4Char"/>
          <w:i w:val="0"/>
        </w:rPr>
        <w:t>podporu centra projekt NCIP</w:t>
      </w:r>
      <w:r w:rsidR="007C2964">
        <w:rPr>
          <w:rStyle w:val="Nadpis4Char"/>
          <w:i w:val="0"/>
        </w:rPr>
        <w:t xml:space="preserve"> </w:t>
      </w:r>
      <w:r w:rsidR="0084776A">
        <w:rPr>
          <w:rStyle w:val="Nadpis4Char"/>
          <w:i w:val="0"/>
        </w:rPr>
        <w:t xml:space="preserve">VaVaI </w:t>
      </w:r>
      <w:r w:rsidR="007C2964">
        <w:rPr>
          <w:rStyle w:val="Nadpis4Char"/>
          <w:i w:val="0"/>
        </w:rPr>
        <w:t>(</w:t>
      </w:r>
      <w:r w:rsidR="007C2964" w:rsidRPr="00F67CA5">
        <w:rPr>
          <w:rStyle w:val="Nadpis4Char"/>
          <w:b/>
          <w:i w:val="0"/>
        </w:rPr>
        <w:t>7</w:t>
      </w:r>
      <w:r w:rsidR="007C2964" w:rsidRPr="00795C3A">
        <w:rPr>
          <w:rStyle w:val="Nadpis4Char"/>
          <w:i w:val="0"/>
        </w:rPr>
        <w:t xml:space="preserve">, </w:t>
      </w:r>
      <w:r w:rsidR="007C2964" w:rsidRPr="00F67CA5">
        <w:rPr>
          <w:rStyle w:val="Nadpis4Char"/>
          <w:b/>
          <w:i w:val="0"/>
        </w:rPr>
        <w:t>8</w:t>
      </w:r>
      <w:r w:rsidR="007C2964">
        <w:rPr>
          <w:rStyle w:val="Nadpis4Char"/>
          <w:i w:val="0"/>
        </w:rPr>
        <w:t>)</w:t>
      </w:r>
      <w:r w:rsidR="005733FA">
        <w:rPr>
          <w:rStyle w:val="Nadpis4Char"/>
          <w:i w:val="0"/>
        </w:rPr>
        <w:t>.</w:t>
      </w:r>
    </w:p>
    <w:p w14:paraId="465E0A4F" w14:textId="704E718F" w:rsidR="007C2964" w:rsidRPr="009C1849" w:rsidRDefault="007C2964" w:rsidP="009F4953">
      <w:pPr>
        <w:rPr>
          <w:rStyle w:val="Nadpis4Char"/>
          <w:i w:val="0"/>
        </w:rPr>
      </w:pPr>
      <w:r>
        <w:rPr>
          <w:rStyle w:val="Nadpis4Char"/>
          <w:i w:val="0"/>
        </w:rPr>
        <w:t>V</w:t>
      </w:r>
      <w:r w:rsidR="005358AC">
        <w:rPr>
          <w:rStyle w:val="Nadpis4Char"/>
          <w:i w:val="0"/>
        </w:rPr>
        <w:t xml:space="preserve"> </w:t>
      </w:r>
      <w:r>
        <w:rPr>
          <w:rStyle w:val="Nadpis4Char"/>
          <w:i w:val="0"/>
        </w:rPr>
        <w:t xml:space="preserve">oddílu </w:t>
      </w:r>
      <w:r w:rsidRPr="007C2964">
        <w:rPr>
          <w:rStyle w:val="Nadpis4Char"/>
          <w:i w:val="0"/>
        </w:rPr>
        <w:t>3.2.5</w:t>
      </w:r>
      <w:r w:rsidRPr="007C2964">
        <w:rPr>
          <w:rStyle w:val="Nadpis4Char"/>
          <w:i w:val="0"/>
        </w:rPr>
        <w:tab/>
        <w:t xml:space="preserve"> Technické a softwarové zabezpečení</w:t>
      </w:r>
      <w:r>
        <w:rPr>
          <w:rStyle w:val="Nadpis4Char"/>
          <w:i w:val="0"/>
        </w:rPr>
        <w:t xml:space="preserve"> se uvádí</w:t>
      </w:r>
      <w:r w:rsidR="009C1849">
        <w:rPr>
          <w:rStyle w:val="Nadpis4Char"/>
          <w:i w:val="0"/>
        </w:rPr>
        <w:t>, že</w:t>
      </w:r>
      <w:r>
        <w:rPr>
          <w:rStyle w:val="Nadpis4Char"/>
          <w:i w:val="0"/>
        </w:rPr>
        <w:t xml:space="preserve"> </w:t>
      </w:r>
      <w:r w:rsidRPr="007C2964">
        <w:rPr>
          <w:rStyle w:val="Nadpis4Char"/>
        </w:rPr>
        <w:t>budou vyvíjeny nástroje založené na zpracování primárních i sekundárních informací pomocí umělé inteligence</w:t>
      </w:r>
      <w:r w:rsidR="009C1849">
        <w:rPr>
          <w:rStyle w:val="Nadpis4Char"/>
        </w:rPr>
        <w:t xml:space="preserve">. </w:t>
      </w:r>
      <w:r w:rsidR="009C1849">
        <w:rPr>
          <w:rStyle w:val="Nadpis4Char"/>
          <w:i w:val="0"/>
        </w:rPr>
        <w:t xml:space="preserve">Zde je třeba doplnit, že – pokud bude projekt </w:t>
      </w:r>
      <w:proofErr w:type="spellStart"/>
      <w:r w:rsidR="009C1849">
        <w:rPr>
          <w:rStyle w:val="Nadpis4Char"/>
          <w:i w:val="0"/>
        </w:rPr>
        <w:t>Textbusters</w:t>
      </w:r>
      <w:proofErr w:type="spellEnd"/>
      <w:r w:rsidR="009C1849">
        <w:rPr>
          <w:rStyle w:val="Nadpis4Char"/>
          <w:i w:val="0"/>
        </w:rPr>
        <w:t xml:space="preserve"> </w:t>
      </w:r>
      <w:r w:rsidR="00F04283">
        <w:rPr>
          <w:rStyle w:val="Nadpis4Char"/>
          <w:i w:val="0"/>
        </w:rPr>
        <w:t>realizován</w:t>
      </w:r>
      <w:r w:rsidR="009C1849">
        <w:rPr>
          <w:rStyle w:val="Znakapoznpodarou"/>
          <w:iCs/>
        </w:rPr>
        <w:footnoteReference w:id="3"/>
      </w:r>
      <w:r w:rsidR="009C1849">
        <w:rPr>
          <w:rStyle w:val="Nadpis4Char"/>
          <w:i w:val="0"/>
        </w:rPr>
        <w:t xml:space="preserve"> – bude </w:t>
      </w:r>
      <w:r w:rsidR="009C1849" w:rsidRPr="00560F36">
        <w:rPr>
          <w:rStyle w:val="Nadpis4Char"/>
          <w:b/>
          <w:i w:val="0"/>
        </w:rPr>
        <w:t>nástroj na zpracování primárních informací, tj. plných textů dokumentů, patentových přihlášek</w:t>
      </w:r>
      <w:r w:rsidR="009C1849">
        <w:rPr>
          <w:rStyle w:val="Nadpis4Char"/>
          <w:i w:val="0"/>
        </w:rPr>
        <w:t xml:space="preserve"> apod. (</w:t>
      </w:r>
      <w:r w:rsidR="009C1849" w:rsidRPr="00F67CA5">
        <w:rPr>
          <w:rStyle w:val="Nadpis4Char"/>
          <w:b/>
          <w:i w:val="0"/>
        </w:rPr>
        <w:t>6</w:t>
      </w:r>
      <w:r w:rsidR="009C1849">
        <w:rPr>
          <w:rStyle w:val="Nadpis4Char"/>
          <w:i w:val="0"/>
        </w:rPr>
        <w:t xml:space="preserve">) převzat jako vstup </w:t>
      </w:r>
      <w:r w:rsidR="00F04283">
        <w:rPr>
          <w:rStyle w:val="Nadpis4Char"/>
          <w:i w:val="0"/>
        </w:rPr>
        <w:t>do projektu NCIP a</w:t>
      </w:r>
      <w:r w:rsidR="00560F36">
        <w:rPr>
          <w:rStyle w:val="Nadpis4Char"/>
          <w:i w:val="0"/>
        </w:rPr>
        <w:t xml:space="preserve"> nebudou zde tedy čerpány finanční prostředky na jeho vývoj</w:t>
      </w:r>
      <w:r w:rsidR="009C1849">
        <w:rPr>
          <w:rStyle w:val="Nadpis4Char"/>
          <w:i w:val="0"/>
        </w:rPr>
        <w:t xml:space="preserve">. </w:t>
      </w:r>
      <w:r w:rsidR="00F04283">
        <w:rPr>
          <w:rStyle w:val="Nadpis4Char"/>
          <w:i w:val="0"/>
        </w:rPr>
        <w:t>Jeho případným nasazením s</w:t>
      </w:r>
      <w:r w:rsidR="009C1849">
        <w:rPr>
          <w:rStyle w:val="Nadpis4Char"/>
          <w:i w:val="0"/>
        </w:rPr>
        <w:t xml:space="preserve">e </w:t>
      </w:r>
      <w:r w:rsidR="00FB7A66">
        <w:rPr>
          <w:rStyle w:val="Nadpis4Char"/>
          <w:i w:val="0"/>
        </w:rPr>
        <w:t xml:space="preserve">však </w:t>
      </w:r>
      <w:r w:rsidR="00F04283">
        <w:rPr>
          <w:rStyle w:val="Nadpis4Char"/>
          <w:i w:val="0"/>
        </w:rPr>
        <w:t xml:space="preserve">může </w:t>
      </w:r>
      <w:r w:rsidR="009C1849">
        <w:rPr>
          <w:rStyle w:val="Nadpis4Char"/>
          <w:i w:val="0"/>
        </w:rPr>
        <w:t>docíl</w:t>
      </w:r>
      <w:r w:rsidR="00F04283">
        <w:rPr>
          <w:rStyle w:val="Nadpis4Char"/>
          <w:i w:val="0"/>
        </w:rPr>
        <w:t>it</w:t>
      </w:r>
      <w:r w:rsidR="009C1849">
        <w:rPr>
          <w:rStyle w:val="Nadpis4Char"/>
          <w:i w:val="0"/>
        </w:rPr>
        <w:t xml:space="preserve"> u</w:t>
      </w:r>
      <w:r w:rsidR="00F04283">
        <w:rPr>
          <w:rStyle w:val="Nadpis4Char"/>
          <w:i w:val="0"/>
        </w:rPr>
        <w:t>rychlení vývoje v</w:t>
      </w:r>
      <w:r w:rsidR="005358AC">
        <w:rPr>
          <w:rStyle w:val="Nadpis4Char"/>
          <w:i w:val="0"/>
        </w:rPr>
        <w:t xml:space="preserve"> </w:t>
      </w:r>
      <w:r w:rsidR="00F04283">
        <w:rPr>
          <w:rStyle w:val="Nadpis4Char"/>
          <w:i w:val="0"/>
        </w:rPr>
        <w:t>oblasti</w:t>
      </w:r>
      <w:r w:rsidR="009C1849">
        <w:rPr>
          <w:rStyle w:val="Nadpis4Char"/>
          <w:i w:val="0"/>
        </w:rPr>
        <w:t xml:space="preserve"> digitalizac</w:t>
      </w:r>
      <w:r w:rsidR="00F04283">
        <w:rPr>
          <w:rStyle w:val="Nadpis4Char"/>
          <w:i w:val="0"/>
        </w:rPr>
        <w:t>e</w:t>
      </w:r>
      <w:r w:rsidR="009C1849">
        <w:rPr>
          <w:rStyle w:val="Nadpis4Char"/>
          <w:i w:val="0"/>
        </w:rPr>
        <w:t xml:space="preserve"> p</w:t>
      </w:r>
      <w:r w:rsidR="009C1849" w:rsidRPr="009C1849">
        <w:rPr>
          <w:rStyle w:val="Nadpis4Char"/>
          <w:i w:val="0"/>
        </w:rPr>
        <w:t>okročil</w:t>
      </w:r>
      <w:r w:rsidR="009C1849">
        <w:rPr>
          <w:rStyle w:val="Nadpis4Char"/>
          <w:i w:val="0"/>
        </w:rPr>
        <w:t>ých</w:t>
      </w:r>
      <w:r w:rsidR="009C1849" w:rsidRPr="009C1849">
        <w:rPr>
          <w:rStyle w:val="Nadpis4Char"/>
          <w:i w:val="0"/>
        </w:rPr>
        <w:t xml:space="preserve"> informační</w:t>
      </w:r>
      <w:r w:rsidR="009C1849">
        <w:rPr>
          <w:rStyle w:val="Nadpis4Char"/>
          <w:i w:val="0"/>
        </w:rPr>
        <w:t>ch a</w:t>
      </w:r>
      <w:r w:rsidR="002B3724">
        <w:rPr>
          <w:rStyle w:val="Nadpis4Char"/>
          <w:i w:val="0"/>
        </w:rPr>
        <w:t xml:space="preserve"> </w:t>
      </w:r>
      <w:r w:rsidR="009C1849">
        <w:rPr>
          <w:rStyle w:val="Nadpis4Char"/>
          <w:i w:val="0"/>
        </w:rPr>
        <w:t>datových</w:t>
      </w:r>
      <w:r w:rsidR="009C1849" w:rsidRPr="009C1849">
        <w:rPr>
          <w:rStyle w:val="Nadpis4Char"/>
          <w:i w:val="0"/>
        </w:rPr>
        <w:t xml:space="preserve"> služ</w:t>
      </w:r>
      <w:r w:rsidR="009C1849">
        <w:rPr>
          <w:rStyle w:val="Nadpis4Char"/>
          <w:i w:val="0"/>
        </w:rPr>
        <w:t>e</w:t>
      </w:r>
      <w:r w:rsidR="009C1849" w:rsidRPr="009C1849">
        <w:rPr>
          <w:rStyle w:val="Nadpis4Char"/>
          <w:i w:val="0"/>
        </w:rPr>
        <w:t>b</w:t>
      </w:r>
      <w:r w:rsidR="009C1849">
        <w:rPr>
          <w:rStyle w:val="Nadpis4Char"/>
          <w:i w:val="0"/>
        </w:rPr>
        <w:t xml:space="preserve"> (</w:t>
      </w:r>
      <w:r w:rsidR="009C1849" w:rsidRPr="00F67CA5">
        <w:rPr>
          <w:rStyle w:val="Nadpis4Char"/>
          <w:b/>
          <w:i w:val="0"/>
        </w:rPr>
        <w:t>12</w:t>
      </w:r>
      <w:r w:rsidR="009C1849">
        <w:rPr>
          <w:rStyle w:val="Nadpis4Char"/>
          <w:i w:val="0"/>
        </w:rPr>
        <w:t>).</w:t>
      </w:r>
      <w:r w:rsidR="00FB7A66">
        <w:rPr>
          <w:rStyle w:val="Nadpis4Char"/>
          <w:i w:val="0"/>
        </w:rPr>
        <w:t xml:space="preserve"> Vzhledem ke změně období realizace projektu </w:t>
      </w:r>
      <w:proofErr w:type="spellStart"/>
      <w:r w:rsidR="00FB7A66">
        <w:rPr>
          <w:rStyle w:val="Nadpis4Char"/>
          <w:i w:val="0"/>
        </w:rPr>
        <w:t>Textbusters</w:t>
      </w:r>
      <w:proofErr w:type="spellEnd"/>
      <w:r w:rsidR="00FB7A66">
        <w:rPr>
          <w:rStyle w:val="Nadpis4Char"/>
          <w:i w:val="0"/>
        </w:rPr>
        <w:t xml:space="preserve"> (viz výše) může dojít také ke změně období využívání a</w:t>
      </w:r>
      <w:r w:rsidR="00FC23AF">
        <w:rPr>
          <w:rStyle w:val="Nadpis4Char"/>
          <w:i w:val="0"/>
        </w:rPr>
        <w:t> </w:t>
      </w:r>
      <w:r w:rsidR="00FB7A66">
        <w:rPr>
          <w:rStyle w:val="Nadpis4Char"/>
          <w:i w:val="0"/>
        </w:rPr>
        <w:t>realizace předmětného nástroje (</w:t>
      </w:r>
      <w:r w:rsidR="00FB7A66" w:rsidRPr="00FB7A66">
        <w:rPr>
          <w:rStyle w:val="Nadpis4Char"/>
          <w:b/>
          <w:i w:val="0"/>
        </w:rPr>
        <w:t>12</w:t>
      </w:r>
      <w:r w:rsidR="00FB7A66">
        <w:rPr>
          <w:rStyle w:val="Nadpis4Char"/>
          <w:i w:val="0"/>
        </w:rPr>
        <w:t>).</w:t>
      </w:r>
    </w:p>
    <w:p w14:paraId="1A0E557B" w14:textId="575F9363" w:rsidR="009F4953" w:rsidRDefault="009F4953" w:rsidP="009F4953">
      <w:r>
        <w:t>V</w:t>
      </w:r>
      <w:r w:rsidR="005358AC">
        <w:t xml:space="preserve"> </w:t>
      </w:r>
      <w:r w:rsidR="00A14A43">
        <w:t xml:space="preserve">oddílu 2.4.2 </w:t>
      </w:r>
      <w:r>
        <w:t>Podpora kompetencí a rozvoj digitálních pokročilých služeb</w:t>
      </w:r>
      <w:r w:rsidR="00A14A43">
        <w:t xml:space="preserve"> se mezi přínosy projektu zmiňují </w:t>
      </w:r>
      <w:r w:rsidRPr="00A14A43">
        <w:rPr>
          <w:i/>
        </w:rPr>
        <w:t xml:space="preserve">maximální automatizace zpracování a tvorba metadatového popisu dokumentů </w:t>
      </w:r>
      <w:r w:rsidR="00A14A43" w:rsidRPr="00A14A43">
        <w:rPr>
          <w:i/>
        </w:rPr>
        <w:t>a</w:t>
      </w:r>
      <w:r w:rsidRPr="00A14A43">
        <w:rPr>
          <w:i/>
        </w:rPr>
        <w:t xml:space="preserve"> dat s využitím umělé inteligence</w:t>
      </w:r>
      <w:r w:rsidR="00A14A43">
        <w:t xml:space="preserve"> a </w:t>
      </w:r>
      <w:r w:rsidR="00A14A43" w:rsidRPr="00A14A43">
        <w:rPr>
          <w:i/>
        </w:rPr>
        <w:t>automatizované stavění fondu dle multioborových témat s využitím AI</w:t>
      </w:r>
      <w:r w:rsidR="00A14A43">
        <w:t xml:space="preserve">, kterých bude dosaženo </w:t>
      </w:r>
      <w:r w:rsidR="00A14A43" w:rsidRPr="00560F36">
        <w:rPr>
          <w:b/>
        </w:rPr>
        <w:t xml:space="preserve">vývojem nástrojů pro </w:t>
      </w:r>
      <w:r w:rsidRPr="00560F36">
        <w:rPr>
          <w:b/>
        </w:rPr>
        <w:t>zpracování strukturovaných informací</w:t>
      </w:r>
      <w:r w:rsidR="007C2964">
        <w:t xml:space="preserve"> (</w:t>
      </w:r>
      <w:r w:rsidR="007C2964" w:rsidRPr="00F67CA5">
        <w:rPr>
          <w:b/>
        </w:rPr>
        <w:t>13</w:t>
      </w:r>
      <w:r w:rsidR="007C2964">
        <w:t>)</w:t>
      </w:r>
      <w:r w:rsidR="00A14A43">
        <w:t xml:space="preserve"> v</w:t>
      </w:r>
      <w:r w:rsidR="005358AC">
        <w:t xml:space="preserve"> </w:t>
      </w:r>
      <w:r w:rsidR="00A14A43">
        <w:t xml:space="preserve">rámci </w:t>
      </w:r>
      <w:r w:rsidR="0084776A">
        <w:t xml:space="preserve">PA 5 </w:t>
      </w:r>
      <w:r w:rsidR="00A14A43" w:rsidRPr="00A14A43">
        <w:t>Technické a softwarové zabezpečení</w:t>
      </w:r>
      <w:r w:rsidR="00761760">
        <w:t>.</w:t>
      </w:r>
      <w:r w:rsidR="00A14A43">
        <w:t xml:space="preserve"> </w:t>
      </w:r>
      <w:r w:rsidR="00560F36">
        <w:t>Vzhledem k</w:t>
      </w:r>
      <w:r w:rsidR="005358AC">
        <w:t xml:space="preserve"> </w:t>
      </w:r>
      <w:r w:rsidR="00560F36">
        <w:t xml:space="preserve">principiální odlišnosti </w:t>
      </w:r>
      <w:r w:rsidR="00560F36" w:rsidRPr="000B39C9">
        <w:rPr>
          <w:b/>
        </w:rPr>
        <w:t>vytěžování plných textů oproti strukturovaným údajům</w:t>
      </w:r>
      <w:r w:rsidR="00560F36">
        <w:t xml:space="preserve"> nebude </w:t>
      </w:r>
      <w:r w:rsidR="00F04283">
        <w:t xml:space="preserve">ale </w:t>
      </w:r>
      <w:r w:rsidR="00560F36">
        <w:t xml:space="preserve">možné </w:t>
      </w:r>
      <w:r w:rsidR="00F04283">
        <w:t xml:space="preserve">zde (v projektu NCIP) </w:t>
      </w:r>
      <w:r w:rsidR="00560F36">
        <w:t xml:space="preserve">pro tento účel </w:t>
      </w:r>
      <w:r w:rsidR="00F04283">
        <w:t xml:space="preserve">další </w:t>
      </w:r>
      <w:r w:rsidR="00560F36">
        <w:t xml:space="preserve">výstupy projektu </w:t>
      </w:r>
      <w:proofErr w:type="spellStart"/>
      <w:r w:rsidR="00560F36">
        <w:t>Textbusters</w:t>
      </w:r>
      <w:proofErr w:type="spellEnd"/>
      <w:r w:rsidR="00560F36">
        <w:t xml:space="preserve"> využít. </w:t>
      </w:r>
      <w:r w:rsidR="00A14A43">
        <w:t xml:space="preserve">Nástroje </w:t>
      </w:r>
      <w:r w:rsidR="00F04283">
        <w:t>vyvinuté v</w:t>
      </w:r>
      <w:r w:rsidR="005358AC">
        <w:t xml:space="preserve"> </w:t>
      </w:r>
      <w:r w:rsidR="00F04283">
        <w:t xml:space="preserve">projektu </w:t>
      </w:r>
      <w:proofErr w:type="spellStart"/>
      <w:r w:rsidR="00F04283">
        <w:t>Textbusters</w:t>
      </w:r>
      <w:proofErr w:type="spellEnd"/>
      <w:r w:rsidR="00F04283">
        <w:t xml:space="preserve"> mají být primárně </w:t>
      </w:r>
      <w:r w:rsidR="00A14A43">
        <w:t xml:space="preserve">využívány při zpracování fondu NTK </w:t>
      </w:r>
      <w:r w:rsidR="007C2964">
        <w:t>(</w:t>
      </w:r>
      <w:r w:rsidR="007C2964" w:rsidRPr="00F67CA5">
        <w:rPr>
          <w:b/>
        </w:rPr>
        <w:t>14</w:t>
      </w:r>
      <w:r w:rsidR="007C2964">
        <w:t xml:space="preserve">) </w:t>
      </w:r>
      <w:r w:rsidR="00A14A43">
        <w:t xml:space="preserve">a případně </w:t>
      </w:r>
      <w:r w:rsidR="00F04283">
        <w:t>k</w:t>
      </w:r>
      <w:r w:rsidR="005358AC">
        <w:t xml:space="preserve"> </w:t>
      </w:r>
      <w:r w:rsidR="00F04283">
        <w:t xml:space="preserve">dispozici </w:t>
      </w:r>
      <w:r w:rsidR="00A14A43">
        <w:t>další</w:t>
      </w:r>
      <w:r w:rsidR="00F04283">
        <w:t>m</w:t>
      </w:r>
      <w:r w:rsidR="00A14A43">
        <w:t xml:space="preserve"> </w:t>
      </w:r>
      <w:r w:rsidR="00F04283">
        <w:t xml:space="preserve">paměťovým </w:t>
      </w:r>
      <w:r w:rsidR="00A14A43">
        <w:t xml:space="preserve">institucí, které </w:t>
      </w:r>
      <w:r w:rsidR="00F04283">
        <w:t xml:space="preserve">o něj </w:t>
      </w:r>
      <w:r w:rsidR="00A14A43">
        <w:t>projeví zájem.</w:t>
      </w:r>
    </w:p>
    <w:p w14:paraId="0D60A888" w14:textId="15F90412" w:rsidR="008D4DFA" w:rsidRDefault="008D4DFA" w:rsidP="000B39C9">
      <w:pPr>
        <w:pStyle w:val="Nadpis3"/>
      </w:pPr>
      <w:r w:rsidRPr="00EF66C3">
        <w:t>C</w:t>
      </w:r>
      <w:r w:rsidR="00D728EA">
        <w:t>z</w:t>
      </w:r>
      <w:r w:rsidRPr="00EF66C3">
        <w:t xml:space="preserve">ech </w:t>
      </w:r>
      <w:proofErr w:type="spellStart"/>
      <w:r w:rsidRPr="00EF66C3">
        <w:t>Academic</w:t>
      </w:r>
      <w:proofErr w:type="spellEnd"/>
      <w:r w:rsidRPr="00EF66C3">
        <w:t xml:space="preserve"> and Research </w:t>
      </w:r>
      <w:proofErr w:type="spellStart"/>
      <w:r w:rsidRPr="00EF66C3">
        <w:t>Discovery</w:t>
      </w:r>
      <w:proofErr w:type="spellEnd"/>
      <w:r w:rsidRPr="00EF66C3">
        <w:t xml:space="preserve"> </w:t>
      </w:r>
      <w:proofErr w:type="spellStart"/>
      <w:r w:rsidRPr="00EF66C3">
        <w:t>Services</w:t>
      </w:r>
      <w:proofErr w:type="spellEnd"/>
      <w:r w:rsidRPr="00EF66C3">
        <w:t xml:space="preserve"> </w:t>
      </w:r>
      <w:r w:rsidR="00DD1294" w:rsidRPr="00EF66C3">
        <w:t>–</w:t>
      </w:r>
      <w:r w:rsidRPr="00EF66C3">
        <w:t xml:space="preserve"> CARDS</w:t>
      </w:r>
      <w:r w:rsidR="00E04F9F" w:rsidRPr="000B39C9">
        <w:rPr>
          <w:b w:val="0"/>
          <w:vertAlign w:val="superscript"/>
        </w:rPr>
        <w:footnoteReference w:id="4"/>
      </w:r>
    </w:p>
    <w:p w14:paraId="7BF81EFA" w14:textId="302AF6BB" w:rsidR="009F370F" w:rsidRDefault="008D4DFA" w:rsidP="009F4953">
      <w:r>
        <w:t xml:space="preserve">Ideový záměr </w:t>
      </w:r>
      <w:r w:rsidR="0084776A">
        <w:t xml:space="preserve">individuálního </w:t>
      </w:r>
      <w:r>
        <w:t xml:space="preserve">projektu </w:t>
      </w:r>
      <w:r w:rsidR="0084776A">
        <w:t>systémového</w:t>
      </w:r>
      <w:r w:rsidR="00845570">
        <w:t xml:space="preserve"> </w:t>
      </w:r>
      <w:r>
        <w:t>pro O</w:t>
      </w:r>
      <w:r w:rsidR="0084776A">
        <w:t>perační program</w:t>
      </w:r>
      <w:r>
        <w:t xml:space="preserve"> J</w:t>
      </w:r>
      <w:r w:rsidR="0084776A">
        <w:t xml:space="preserve">an </w:t>
      </w:r>
      <w:r>
        <w:t>A</w:t>
      </w:r>
      <w:r w:rsidR="0084776A">
        <w:t xml:space="preserve">mos </w:t>
      </w:r>
      <w:r>
        <w:t>K</w:t>
      </w:r>
      <w:r w:rsidR="0084776A">
        <w:t>omenský</w:t>
      </w:r>
      <w:r>
        <w:t xml:space="preserve"> </w:t>
      </w:r>
      <w:r w:rsidR="002B3724">
        <w:t xml:space="preserve">(OP JAK) </w:t>
      </w:r>
      <w:r w:rsidR="00425DE4">
        <w:t>byl</w:t>
      </w:r>
      <w:r w:rsidR="00EF66C3">
        <w:t xml:space="preserve"> </w:t>
      </w:r>
      <w:r w:rsidR="00DF7362">
        <w:t xml:space="preserve">navržen </w:t>
      </w:r>
      <w:r w:rsidR="004647AF">
        <w:t>02/2020</w:t>
      </w:r>
      <w:r w:rsidR="00EF66C3">
        <w:t xml:space="preserve"> a </w:t>
      </w:r>
      <w:r w:rsidR="00425DE4">
        <w:t xml:space="preserve">měl by být </w:t>
      </w:r>
      <w:r w:rsidR="004647AF">
        <w:t>realiz</w:t>
      </w:r>
      <w:r w:rsidR="00EF66C3">
        <w:t>ován</w:t>
      </w:r>
      <w:r w:rsidR="004647AF">
        <w:t xml:space="preserve"> i</w:t>
      </w:r>
      <w:r>
        <w:t xml:space="preserve">deálně </w:t>
      </w:r>
      <w:r w:rsidR="00EF66C3">
        <w:t>v</w:t>
      </w:r>
      <w:r w:rsidR="005358AC">
        <w:t xml:space="preserve"> </w:t>
      </w:r>
      <w:r w:rsidR="00EF66C3">
        <w:t xml:space="preserve">letech </w:t>
      </w:r>
      <w:r>
        <w:t>2023</w:t>
      </w:r>
      <w:r w:rsidR="00DD1294">
        <w:t>–</w:t>
      </w:r>
      <w:r>
        <w:t>2027</w:t>
      </w:r>
      <w:r w:rsidR="00EF66C3">
        <w:t xml:space="preserve">. </w:t>
      </w:r>
      <w:r w:rsidR="009F370F">
        <w:t>H</w:t>
      </w:r>
      <w:r w:rsidR="009F370F" w:rsidRPr="009F370F">
        <w:t xml:space="preserve">lavním cílem </w:t>
      </w:r>
      <w:r w:rsidR="00EF66C3">
        <w:t xml:space="preserve">tohoto </w:t>
      </w:r>
      <w:r w:rsidR="009F370F" w:rsidRPr="009F370F">
        <w:t>projekt</w:t>
      </w:r>
      <w:r w:rsidR="00EF66C3">
        <w:t>ového záměru</w:t>
      </w:r>
      <w:r w:rsidR="009F370F" w:rsidRPr="009F370F">
        <w:t xml:space="preserve"> </w:t>
      </w:r>
      <w:r w:rsidR="00EF66C3">
        <w:t>s</w:t>
      </w:r>
      <w:r w:rsidR="005358AC">
        <w:t xml:space="preserve"> </w:t>
      </w:r>
      <w:r w:rsidR="00EF66C3">
        <w:t xml:space="preserve">pracovním názvem </w:t>
      </w:r>
      <w:r w:rsidR="009F370F" w:rsidRPr="009F370F">
        <w:t>CARDS je vytvoření sdíleného prostoru pro všechny druhy informačních zdrojů na jedné platformě nové generace centrálně vytvářené, naplňované a</w:t>
      </w:r>
      <w:r w:rsidR="00783A05">
        <w:t xml:space="preserve"> </w:t>
      </w:r>
      <w:r w:rsidR="009F370F" w:rsidRPr="009F370F">
        <w:t>využívané společně k</w:t>
      </w:r>
      <w:r w:rsidR="005358AC">
        <w:t>nihovnami všech vysokých škol a</w:t>
      </w:r>
      <w:r w:rsidR="00FC23AF">
        <w:t> </w:t>
      </w:r>
      <w:r w:rsidR="009F370F" w:rsidRPr="009F370F">
        <w:t xml:space="preserve">výzkumných institucí i dalšími velkými knihovnami. </w:t>
      </w:r>
      <w:r w:rsidR="009F370F">
        <w:t>N</w:t>
      </w:r>
      <w:r w:rsidR="009F370F" w:rsidRPr="009F370F">
        <w:t>árodní repozitář</w:t>
      </w:r>
      <w:r w:rsidR="009F370F">
        <w:t xml:space="preserve"> u</w:t>
      </w:r>
      <w:r w:rsidR="009F370F" w:rsidRPr="009F370F">
        <w:t xml:space="preserve">snadní přístup </w:t>
      </w:r>
      <w:r w:rsidR="009F370F" w:rsidRPr="009F370F">
        <w:lastRenderedPageBreak/>
        <w:t>a</w:t>
      </w:r>
      <w:r w:rsidR="00FC23AF">
        <w:t> </w:t>
      </w:r>
      <w:r w:rsidR="009F370F" w:rsidRPr="009F370F">
        <w:t xml:space="preserve">citelně zlepší možnosti vytěžování a bezpečného uchovávání </w:t>
      </w:r>
      <w:r w:rsidR="00F94168">
        <w:t xml:space="preserve">všech typů </w:t>
      </w:r>
      <w:r w:rsidR="009F370F" w:rsidRPr="009F370F">
        <w:t>výstupů českého výzkumu.</w:t>
      </w:r>
      <w:r w:rsidR="009D627F">
        <w:t xml:space="preserve"> </w:t>
      </w:r>
    </w:p>
    <w:p w14:paraId="562AB944" w14:textId="20264AC8" w:rsidR="00F31C6B" w:rsidRDefault="00F31C6B" w:rsidP="00F31C6B">
      <w:pPr>
        <w:sectPr w:rsidR="00F31C6B" w:rsidSect="000F23C3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567" w:gutter="0"/>
          <w:cols w:space="708"/>
          <w:titlePg/>
          <w:docGrid w:linePitch="360"/>
        </w:sectPr>
      </w:pPr>
      <w:r>
        <w:t>Softwarové nástroje na bázi strojového učení a umělé inteligence vytvořené v</w:t>
      </w:r>
      <w:r w:rsidR="005358AC">
        <w:t xml:space="preserve"> </w:t>
      </w:r>
      <w:r>
        <w:t xml:space="preserve">projektech </w:t>
      </w:r>
      <w:proofErr w:type="spellStart"/>
      <w:r w:rsidRPr="009F370F">
        <w:t>Textbusters</w:t>
      </w:r>
      <w:proofErr w:type="spellEnd"/>
      <w:r w:rsidRPr="009F370F">
        <w:t xml:space="preserve"> </w:t>
      </w:r>
      <w:r>
        <w:t xml:space="preserve">a </w:t>
      </w:r>
      <w:r w:rsidRPr="009F370F">
        <w:t xml:space="preserve">NCIP VaVaI </w:t>
      </w:r>
      <w:r>
        <w:t>budou přizpůsobeny a adaptovány do prostředí nově pořízené, dosud neznámé platformy nové generace</w:t>
      </w:r>
      <w:r w:rsidR="009D627F">
        <w:t xml:space="preserve"> (</w:t>
      </w:r>
      <w:r w:rsidR="009D627F" w:rsidRPr="00DD0D34">
        <w:rPr>
          <w:b/>
        </w:rPr>
        <w:t>15</w:t>
      </w:r>
      <w:r w:rsidR="009D627F">
        <w:t>)</w:t>
      </w:r>
      <w:r>
        <w:t xml:space="preserve">, která bude vybrána </w:t>
      </w:r>
      <w:r w:rsidR="00425DE4">
        <w:t xml:space="preserve">a designována </w:t>
      </w:r>
      <w:r>
        <w:t>v</w:t>
      </w:r>
      <w:r w:rsidR="005358AC">
        <w:t xml:space="preserve"> </w:t>
      </w:r>
      <w:r>
        <w:t>projektu CARDS.</w:t>
      </w:r>
      <w:r w:rsidRPr="00F31C6B">
        <w:t xml:space="preserve"> </w:t>
      </w:r>
      <w:r>
        <w:t>Funkcionalita N</w:t>
      </w:r>
      <w:r w:rsidRPr="009F370F">
        <w:t>árodní</w:t>
      </w:r>
      <w:r>
        <w:t>ho</w:t>
      </w:r>
      <w:r w:rsidRPr="009F370F">
        <w:t xml:space="preserve"> repozitář</w:t>
      </w:r>
      <w:r>
        <w:t>e vytvořeného v</w:t>
      </w:r>
      <w:r w:rsidR="005358AC">
        <w:t xml:space="preserve"> </w:t>
      </w:r>
      <w:r>
        <w:t>projektu NCIP VaVaI b</w:t>
      </w:r>
      <w:r w:rsidR="00425DE4">
        <w:t xml:space="preserve">y tak mohla být </w:t>
      </w:r>
      <w:r>
        <w:t>významně rozšířena o možnost ukládání, vytěžování a správu vědeckých dat</w:t>
      </w:r>
      <w:r w:rsidR="009C1849">
        <w:t xml:space="preserve"> (</w:t>
      </w:r>
      <w:r w:rsidR="009C1849" w:rsidRPr="00DD0D34">
        <w:rPr>
          <w:b/>
        </w:rPr>
        <w:t>16</w:t>
      </w:r>
      <w:r w:rsidR="009C1849">
        <w:t>)</w:t>
      </w:r>
      <w:r>
        <w:t>.</w:t>
      </w:r>
      <w:r w:rsidR="009D627F" w:rsidRPr="009D627F">
        <w:t xml:space="preserve"> Analyticko-bibliometrické pracoviště komplexně využívající datových zdrojů a analytických nástrojů </w:t>
      </w:r>
      <w:r w:rsidR="009D627F">
        <w:t>(</w:t>
      </w:r>
      <w:r w:rsidR="009D627F" w:rsidRPr="00DD0D34">
        <w:rPr>
          <w:b/>
        </w:rPr>
        <w:t>17</w:t>
      </w:r>
      <w:r w:rsidR="009D627F">
        <w:t xml:space="preserve">) </w:t>
      </w:r>
      <w:r w:rsidR="009D627F" w:rsidRPr="009D627F">
        <w:t>b</w:t>
      </w:r>
      <w:r w:rsidR="00425DE4">
        <w:t xml:space="preserve">y přispívalo ke </w:t>
      </w:r>
      <w:r w:rsidR="009D627F" w:rsidRPr="009D627F">
        <w:t>stimul</w:t>
      </w:r>
      <w:r w:rsidR="00425DE4">
        <w:t>aci</w:t>
      </w:r>
      <w:r w:rsidR="009D627F" w:rsidRPr="009D627F">
        <w:t xml:space="preserve"> efektivní</w:t>
      </w:r>
      <w:r w:rsidR="00425DE4">
        <w:t>ho</w:t>
      </w:r>
      <w:r w:rsidR="009D627F" w:rsidRPr="009D627F">
        <w:t xml:space="preserve"> transfer</w:t>
      </w:r>
      <w:r w:rsidR="00425DE4">
        <w:t>u</w:t>
      </w:r>
      <w:r w:rsidR="009D627F" w:rsidRPr="009D627F">
        <w:t xml:space="preserve"> znalostí a současně b</w:t>
      </w:r>
      <w:r w:rsidR="00425DE4">
        <w:t>y</w:t>
      </w:r>
      <w:r w:rsidR="009D627F" w:rsidRPr="009D627F">
        <w:t xml:space="preserve"> osvětově působi</w:t>
      </w:r>
      <w:r w:rsidR="00425DE4">
        <w:t>lo</w:t>
      </w:r>
      <w:r w:rsidR="009D627F" w:rsidRPr="009D627F">
        <w:t xml:space="preserve"> i na širokou veřejnost.</w:t>
      </w:r>
    </w:p>
    <w:p w14:paraId="097E1925" w14:textId="0798ABDE" w:rsidR="00783A05" w:rsidRPr="00783A05" w:rsidRDefault="00783A05" w:rsidP="00783A05">
      <w:pPr>
        <w:ind w:left="-426"/>
        <w:rPr>
          <w:sz w:val="10"/>
        </w:rPr>
      </w:pPr>
      <w:r>
        <w:rPr>
          <w:noProof/>
          <w:sz w:val="10"/>
        </w:rPr>
        <w:lastRenderedPageBreak/>
        <w:drawing>
          <wp:anchor distT="0" distB="0" distL="114300" distR="114300" simplePos="0" relativeHeight="251659264" behindDoc="0" locked="0" layoutInCell="1" allowOverlap="1" wp14:anchorId="72F61747" wp14:editId="26F0B52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892000" cy="4534467"/>
            <wp:effectExtent l="0" t="0" r="4445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0" cy="4534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35DB3" w14:textId="35AA297A" w:rsidR="008E7B11" w:rsidRDefault="00056C1B" w:rsidP="008E7B11">
      <w:pPr>
        <w:rPr>
          <w:b/>
          <w:sz w:val="20"/>
        </w:rPr>
      </w:pPr>
      <w:r w:rsidRPr="00783A05">
        <w:rPr>
          <w:b/>
          <w:sz w:val="20"/>
        </w:rPr>
        <w:t>Schéma 1: Finanční náklady projektů NTK</w:t>
      </w:r>
    </w:p>
    <w:p w14:paraId="07552A24" w14:textId="77777777" w:rsidR="008E7B11" w:rsidRDefault="008E7B11">
      <w:pPr>
        <w:spacing w:after="200" w:line="276" w:lineRule="auto"/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2B0A4AE9" w14:textId="1FCBBB64" w:rsidR="009127CA" w:rsidRPr="00783A05" w:rsidRDefault="00FF6F15" w:rsidP="00795C3A">
      <w:pPr>
        <w:ind w:left="-426"/>
        <w:rPr>
          <w:b/>
          <w:sz w:val="8"/>
        </w:rPr>
      </w:pPr>
      <w:r w:rsidRPr="00FF6F15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61FF003" wp14:editId="51AE0F5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892000" cy="2308051"/>
            <wp:effectExtent l="0" t="0" r="4445" b="0"/>
            <wp:wrapTight wrapText="bothSides">
              <wp:wrapPolygon edited="0">
                <wp:start x="0" y="0"/>
                <wp:lineTo x="0" y="21398"/>
                <wp:lineTo x="21565" y="21398"/>
                <wp:lineTo x="21565" y="8559"/>
                <wp:lineTo x="19991" y="8559"/>
                <wp:lineTo x="21565" y="7668"/>
                <wp:lineTo x="21565" y="7311"/>
                <wp:lineTo x="19991" y="5706"/>
                <wp:lineTo x="21565" y="3923"/>
                <wp:lineTo x="21565" y="3566"/>
                <wp:lineTo x="19991" y="2853"/>
                <wp:lineTo x="21565" y="1427"/>
                <wp:lineTo x="2156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0" cy="230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F03B5" w14:textId="5B58CF33" w:rsidR="00E67ED5" w:rsidRPr="00056C1B" w:rsidRDefault="00742FC6" w:rsidP="008E7B11">
      <w:pPr>
        <w:rPr>
          <w:b/>
          <w:sz w:val="20"/>
        </w:rPr>
      </w:pPr>
      <w:r w:rsidRPr="00056C1B">
        <w:rPr>
          <w:b/>
          <w:sz w:val="20"/>
        </w:rPr>
        <w:t xml:space="preserve">Schéma </w:t>
      </w:r>
      <w:r w:rsidR="007145DC" w:rsidRPr="00056C1B">
        <w:rPr>
          <w:b/>
          <w:sz w:val="20"/>
        </w:rPr>
        <w:t>2</w:t>
      </w:r>
      <w:r w:rsidRPr="00056C1B">
        <w:rPr>
          <w:b/>
          <w:sz w:val="20"/>
        </w:rPr>
        <w:t>: Příbuzné a navazující aktivity v projektech NTK</w:t>
      </w:r>
    </w:p>
    <w:sectPr w:rsidR="00E67ED5" w:rsidRPr="00056C1B" w:rsidSect="00F31C6B">
      <w:pgSz w:w="16838" w:h="11906" w:orient="landscape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39E60" w14:textId="77777777" w:rsidR="00B673BA" w:rsidRDefault="00B673BA" w:rsidP="00973E09">
      <w:r>
        <w:separator/>
      </w:r>
    </w:p>
    <w:p w14:paraId="5F4F8ACF" w14:textId="77777777" w:rsidR="00B673BA" w:rsidRDefault="00B673BA" w:rsidP="00973E09"/>
  </w:endnote>
  <w:endnote w:type="continuationSeparator" w:id="0">
    <w:p w14:paraId="06477671" w14:textId="77777777" w:rsidR="00B673BA" w:rsidRDefault="00B673BA" w:rsidP="00973E09">
      <w:r>
        <w:continuationSeparator/>
      </w:r>
    </w:p>
    <w:p w14:paraId="7E97707D" w14:textId="77777777" w:rsidR="00B673BA" w:rsidRDefault="00B673BA" w:rsidP="00973E09"/>
  </w:endnote>
  <w:endnote w:type="continuationNotice" w:id="1">
    <w:p w14:paraId="6D889D44" w14:textId="77777777" w:rsidR="00B673BA" w:rsidRDefault="00B673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380714"/>
      <w:docPartObj>
        <w:docPartGallery w:val="Page Numbers (Bottom of Page)"/>
        <w:docPartUnique/>
      </w:docPartObj>
    </w:sdtPr>
    <w:sdtEndPr/>
    <w:sdtContent>
      <w:p w14:paraId="4A122911" w14:textId="27E347B8" w:rsidR="00A32D1A" w:rsidRDefault="00A32D1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3AF">
          <w:rPr>
            <w:noProof/>
          </w:rPr>
          <w:t>3</w:t>
        </w:r>
        <w:r>
          <w:fldChar w:fldCharType="end"/>
        </w:r>
      </w:p>
    </w:sdtContent>
  </w:sdt>
  <w:p w14:paraId="7BD818DB" w14:textId="47881172" w:rsidR="00815E75" w:rsidRPr="00D05426" w:rsidRDefault="00815E75" w:rsidP="00973E09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201095744"/>
      <w:docPartObj>
        <w:docPartGallery w:val="Page Numbers (Bottom of Page)"/>
        <w:docPartUnique/>
      </w:docPartObj>
    </w:sdtPr>
    <w:sdtEndPr/>
    <w:sdtContent>
      <w:p w14:paraId="7482E33E" w14:textId="34CD3BEE" w:rsidR="00815E75" w:rsidRPr="00BA6DEC" w:rsidRDefault="00815E75">
        <w:pPr>
          <w:pStyle w:val="Zpat"/>
          <w:jc w:val="center"/>
          <w:rPr>
            <w:sz w:val="20"/>
          </w:rPr>
        </w:pPr>
        <w:r w:rsidRPr="00BA6DEC">
          <w:rPr>
            <w:sz w:val="20"/>
          </w:rPr>
          <w:fldChar w:fldCharType="begin"/>
        </w:r>
        <w:r w:rsidRPr="00BA6DEC">
          <w:rPr>
            <w:sz w:val="20"/>
          </w:rPr>
          <w:instrText>PAGE   \* MERGEFORMAT</w:instrText>
        </w:r>
        <w:r w:rsidRPr="00BA6DEC">
          <w:rPr>
            <w:sz w:val="20"/>
          </w:rPr>
          <w:fldChar w:fldCharType="separate"/>
        </w:r>
        <w:r w:rsidR="00FC23AF">
          <w:rPr>
            <w:noProof/>
            <w:sz w:val="20"/>
          </w:rPr>
          <w:t>1</w:t>
        </w:r>
        <w:r w:rsidRPr="00BA6DE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EBE9B" w14:textId="77777777" w:rsidR="00B673BA" w:rsidRDefault="00B673BA" w:rsidP="00973E09">
      <w:r>
        <w:separator/>
      </w:r>
    </w:p>
  </w:footnote>
  <w:footnote w:type="continuationSeparator" w:id="0">
    <w:p w14:paraId="7AB71EDC" w14:textId="77777777" w:rsidR="00B673BA" w:rsidRDefault="00B673BA" w:rsidP="00973E09">
      <w:r>
        <w:continuationSeparator/>
      </w:r>
    </w:p>
  </w:footnote>
  <w:footnote w:type="continuationNotice" w:id="1">
    <w:p w14:paraId="3A4AA5C1" w14:textId="77777777" w:rsidR="00B673BA" w:rsidRDefault="00B673BA">
      <w:pPr>
        <w:spacing w:after="0" w:line="240" w:lineRule="auto"/>
      </w:pPr>
    </w:p>
  </w:footnote>
  <w:footnote w:id="2">
    <w:p w14:paraId="454F7F23" w14:textId="734E198D" w:rsidR="001D6111" w:rsidRDefault="001D6111">
      <w:pPr>
        <w:pStyle w:val="Textpoznpodarou"/>
      </w:pPr>
      <w:r>
        <w:rPr>
          <w:rStyle w:val="Znakapoznpodarou"/>
        </w:rPr>
        <w:footnoteRef/>
      </w:r>
      <w:r>
        <w:t xml:space="preserve"> Čísla v</w:t>
      </w:r>
      <w:r w:rsidR="00D728EA">
        <w:t xml:space="preserve"> </w:t>
      </w:r>
      <w:r>
        <w:t xml:space="preserve">závorkách odpovídají označení </w:t>
      </w:r>
      <w:r w:rsidRPr="00742FC6">
        <w:t>aktivit</w:t>
      </w:r>
      <w:r>
        <w:t xml:space="preserve"> ve Schématu 2.</w:t>
      </w:r>
    </w:p>
  </w:footnote>
  <w:footnote w:id="3">
    <w:p w14:paraId="6D0A0C96" w14:textId="7B482F62" w:rsidR="009C1849" w:rsidRDefault="009C1849">
      <w:pPr>
        <w:pStyle w:val="Textpoznpodarou"/>
      </w:pPr>
      <w:r>
        <w:rPr>
          <w:rStyle w:val="Znakapoznpodarou"/>
        </w:rPr>
        <w:footnoteRef/>
      </w:r>
      <w:r>
        <w:t xml:space="preserve"> Což v</w:t>
      </w:r>
      <w:r w:rsidR="005358AC">
        <w:t xml:space="preserve"> </w:t>
      </w:r>
      <w:r>
        <w:t>okamžiku předložení projektu Poradě vedení MŠMT nebylo známo.</w:t>
      </w:r>
    </w:p>
  </w:footnote>
  <w:footnote w:id="4">
    <w:p w14:paraId="277B0509" w14:textId="649A5DE9" w:rsidR="00E04F9F" w:rsidRDefault="00E04F9F" w:rsidP="00425DE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F9F">
        <w:t xml:space="preserve">V době, kdy byl připravován záměr projektu CARDS, nebylo zřejmé, </w:t>
      </w:r>
      <w:r w:rsidR="00425DE4">
        <w:t>zda</w:t>
      </w:r>
      <w:r w:rsidRPr="00E04F9F">
        <w:t xml:space="preserve"> </w:t>
      </w:r>
      <w:r w:rsidR="00F67CA5">
        <w:t xml:space="preserve">vývoj </w:t>
      </w:r>
      <w:r w:rsidRPr="00E04F9F">
        <w:t>někter</w:t>
      </w:r>
      <w:r w:rsidR="00F67CA5">
        <w:t>ých</w:t>
      </w:r>
      <w:r w:rsidRPr="00E04F9F">
        <w:t xml:space="preserve"> tam navržen</w:t>
      </w:r>
      <w:r w:rsidR="00F67CA5">
        <w:t>ých</w:t>
      </w:r>
      <w:r w:rsidRPr="00E04F9F">
        <w:t xml:space="preserve"> </w:t>
      </w:r>
      <w:r w:rsidR="00F67CA5">
        <w:t>produktů</w:t>
      </w:r>
      <w:r w:rsidRPr="00E04F9F">
        <w:t xml:space="preserve"> bude možné zahájit již v rámci dřívějších projektů. Jak je uvedeno v komentáři, jde o vytvořen</w:t>
      </w:r>
      <w:r>
        <w:t>í</w:t>
      </w:r>
      <w:r w:rsidRPr="00E04F9F">
        <w:t xml:space="preserve"> softwarov</w:t>
      </w:r>
      <w:r>
        <w:t>ých</w:t>
      </w:r>
      <w:r w:rsidRPr="00E04F9F">
        <w:t xml:space="preserve"> nástroj</w:t>
      </w:r>
      <w:r>
        <w:t>ů</w:t>
      </w:r>
      <w:r w:rsidRPr="00E04F9F">
        <w:t xml:space="preserve"> již v projektech </w:t>
      </w:r>
      <w:proofErr w:type="spellStart"/>
      <w:r w:rsidRPr="00E04F9F">
        <w:t>Textbusters</w:t>
      </w:r>
      <w:proofErr w:type="spellEnd"/>
      <w:r w:rsidRPr="00E04F9F">
        <w:t xml:space="preserve"> a NCIP VaVaI.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3E796" w14:textId="77777777" w:rsidR="00E0490D" w:rsidRDefault="00E049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ADB"/>
    <w:multiLevelType w:val="multilevel"/>
    <w:tmpl w:val="776A9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1709"/>
    <w:multiLevelType w:val="multilevel"/>
    <w:tmpl w:val="C05C3E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28A"/>
    <w:multiLevelType w:val="hybridMultilevel"/>
    <w:tmpl w:val="38AC98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2EA"/>
    <w:multiLevelType w:val="multilevel"/>
    <w:tmpl w:val="3A2C29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CE5037"/>
    <w:multiLevelType w:val="multilevel"/>
    <w:tmpl w:val="3CA015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55C86"/>
    <w:multiLevelType w:val="hybridMultilevel"/>
    <w:tmpl w:val="8F2047DC"/>
    <w:lvl w:ilvl="0" w:tplc="A3100AB0">
      <w:start w:val="1"/>
      <w:numFmt w:val="decimal"/>
      <w:pStyle w:val="Nadpis3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77555"/>
    <w:multiLevelType w:val="hybridMultilevel"/>
    <w:tmpl w:val="2C60B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E2183"/>
    <w:multiLevelType w:val="hybridMultilevel"/>
    <w:tmpl w:val="7C34478A"/>
    <w:lvl w:ilvl="0" w:tplc="E7CE84C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D7349"/>
    <w:multiLevelType w:val="hybridMultilevel"/>
    <w:tmpl w:val="997A4F22"/>
    <w:lvl w:ilvl="0" w:tplc="E85CD8CC">
      <w:start w:val="1"/>
      <w:numFmt w:val="lowerLetter"/>
      <w:pStyle w:val="Odstavecseseznamem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66702"/>
    <w:multiLevelType w:val="multilevel"/>
    <w:tmpl w:val="15D62A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E653E53"/>
    <w:multiLevelType w:val="multilevel"/>
    <w:tmpl w:val="486815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52BB6"/>
    <w:multiLevelType w:val="multilevel"/>
    <w:tmpl w:val="735C0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A2FF1"/>
    <w:multiLevelType w:val="hybridMultilevel"/>
    <w:tmpl w:val="2C60B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151A"/>
    <w:multiLevelType w:val="multilevel"/>
    <w:tmpl w:val="66DA58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B1E5B"/>
    <w:multiLevelType w:val="multilevel"/>
    <w:tmpl w:val="81900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12048"/>
    <w:multiLevelType w:val="multilevel"/>
    <w:tmpl w:val="99AE13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9"/>
  </w:num>
  <w:num w:numId="12">
    <w:abstractNumId w:val="14"/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12"/>
  </w:num>
  <w:num w:numId="23">
    <w:abstractNumId w:val="7"/>
  </w:num>
  <w:num w:numId="24">
    <w:abstractNumId w:val="7"/>
  </w:num>
  <w:num w:numId="25">
    <w:abstractNumId w:val="6"/>
  </w:num>
  <w:num w:numId="26">
    <w:abstractNumId w:val="7"/>
  </w:num>
  <w:num w:numId="27">
    <w:abstractNumId w:val="7"/>
  </w:num>
  <w:num w:numId="28">
    <w:abstractNumId w:val="2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4"/>
    <w:rsid w:val="00003F14"/>
    <w:rsid w:val="00006279"/>
    <w:rsid w:val="00012142"/>
    <w:rsid w:val="00012838"/>
    <w:rsid w:val="00026770"/>
    <w:rsid w:val="00030738"/>
    <w:rsid w:val="00033BF2"/>
    <w:rsid w:val="00033F6C"/>
    <w:rsid w:val="00035C75"/>
    <w:rsid w:val="00050359"/>
    <w:rsid w:val="00051F9D"/>
    <w:rsid w:val="000543E8"/>
    <w:rsid w:val="00056C1B"/>
    <w:rsid w:val="00065458"/>
    <w:rsid w:val="00080072"/>
    <w:rsid w:val="0008586A"/>
    <w:rsid w:val="00092411"/>
    <w:rsid w:val="00095494"/>
    <w:rsid w:val="000969C1"/>
    <w:rsid w:val="000A364B"/>
    <w:rsid w:val="000A6051"/>
    <w:rsid w:val="000B0DF6"/>
    <w:rsid w:val="000B39C9"/>
    <w:rsid w:val="000B4303"/>
    <w:rsid w:val="000B7E3E"/>
    <w:rsid w:val="000C45E5"/>
    <w:rsid w:val="000C5A5B"/>
    <w:rsid w:val="000E0491"/>
    <w:rsid w:val="000E2E32"/>
    <w:rsid w:val="000E3240"/>
    <w:rsid w:val="000F1D3B"/>
    <w:rsid w:val="000F23C3"/>
    <w:rsid w:val="000F4FD0"/>
    <w:rsid w:val="000F55BD"/>
    <w:rsid w:val="000F566E"/>
    <w:rsid w:val="001113BF"/>
    <w:rsid w:val="00120119"/>
    <w:rsid w:val="001224FC"/>
    <w:rsid w:val="00126D8F"/>
    <w:rsid w:val="00142C47"/>
    <w:rsid w:val="00143B78"/>
    <w:rsid w:val="00151B3D"/>
    <w:rsid w:val="0016230B"/>
    <w:rsid w:val="0016475F"/>
    <w:rsid w:val="00172742"/>
    <w:rsid w:val="001757A7"/>
    <w:rsid w:val="00175D6B"/>
    <w:rsid w:val="001854D3"/>
    <w:rsid w:val="00186897"/>
    <w:rsid w:val="00194341"/>
    <w:rsid w:val="001A463C"/>
    <w:rsid w:val="001A6828"/>
    <w:rsid w:val="001B209A"/>
    <w:rsid w:val="001B6C19"/>
    <w:rsid w:val="001C1CC9"/>
    <w:rsid w:val="001C6CC4"/>
    <w:rsid w:val="001D5C6D"/>
    <w:rsid w:val="001D6111"/>
    <w:rsid w:val="001D7109"/>
    <w:rsid w:val="001F0C84"/>
    <w:rsid w:val="00202981"/>
    <w:rsid w:val="002032B6"/>
    <w:rsid w:val="00204DD4"/>
    <w:rsid w:val="00210824"/>
    <w:rsid w:val="00215020"/>
    <w:rsid w:val="0023127C"/>
    <w:rsid w:val="00232F55"/>
    <w:rsid w:val="00234D44"/>
    <w:rsid w:val="002414CC"/>
    <w:rsid w:val="00241DD5"/>
    <w:rsid w:val="00242386"/>
    <w:rsid w:val="002456D3"/>
    <w:rsid w:val="00245FE5"/>
    <w:rsid w:val="00247BEF"/>
    <w:rsid w:val="0025337D"/>
    <w:rsid w:val="00253989"/>
    <w:rsid w:val="002621EB"/>
    <w:rsid w:val="002646E1"/>
    <w:rsid w:val="00273A75"/>
    <w:rsid w:val="00277794"/>
    <w:rsid w:val="0028568D"/>
    <w:rsid w:val="00290D7B"/>
    <w:rsid w:val="00291B31"/>
    <w:rsid w:val="00297650"/>
    <w:rsid w:val="002A2DC1"/>
    <w:rsid w:val="002A7B41"/>
    <w:rsid w:val="002B3724"/>
    <w:rsid w:val="002B3DD3"/>
    <w:rsid w:val="002B7457"/>
    <w:rsid w:val="002C0049"/>
    <w:rsid w:val="002C1B15"/>
    <w:rsid w:val="002C3715"/>
    <w:rsid w:val="002D22EC"/>
    <w:rsid w:val="002E1C6C"/>
    <w:rsid w:val="002E59A9"/>
    <w:rsid w:val="002F1E44"/>
    <w:rsid w:val="00301D5A"/>
    <w:rsid w:val="00314CF5"/>
    <w:rsid w:val="00320E00"/>
    <w:rsid w:val="003301EF"/>
    <w:rsid w:val="00341D95"/>
    <w:rsid w:val="003542EC"/>
    <w:rsid w:val="0035609D"/>
    <w:rsid w:val="003578DA"/>
    <w:rsid w:val="00360B57"/>
    <w:rsid w:val="0037472F"/>
    <w:rsid w:val="003770FA"/>
    <w:rsid w:val="00385935"/>
    <w:rsid w:val="00385FA5"/>
    <w:rsid w:val="003865E5"/>
    <w:rsid w:val="00387C95"/>
    <w:rsid w:val="00394C02"/>
    <w:rsid w:val="00397348"/>
    <w:rsid w:val="003978D9"/>
    <w:rsid w:val="003A6604"/>
    <w:rsid w:val="003C4277"/>
    <w:rsid w:val="003C7937"/>
    <w:rsid w:val="003E3FF3"/>
    <w:rsid w:val="004047FF"/>
    <w:rsid w:val="00417503"/>
    <w:rsid w:val="00417892"/>
    <w:rsid w:val="00425D92"/>
    <w:rsid w:val="00425DE4"/>
    <w:rsid w:val="00437BF6"/>
    <w:rsid w:val="00443DD9"/>
    <w:rsid w:val="0045240C"/>
    <w:rsid w:val="00453C24"/>
    <w:rsid w:val="004603A4"/>
    <w:rsid w:val="004607E7"/>
    <w:rsid w:val="004608D7"/>
    <w:rsid w:val="004616EF"/>
    <w:rsid w:val="00461C56"/>
    <w:rsid w:val="004647AF"/>
    <w:rsid w:val="00464894"/>
    <w:rsid w:val="00471280"/>
    <w:rsid w:val="004718C1"/>
    <w:rsid w:val="0047432F"/>
    <w:rsid w:val="0048112A"/>
    <w:rsid w:val="00481621"/>
    <w:rsid w:val="00491AD0"/>
    <w:rsid w:val="0049794D"/>
    <w:rsid w:val="004A5D21"/>
    <w:rsid w:val="004B56FF"/>
    <w:rsid w:val="004B59F8"/>
    <w:rsid w:val="004B667F"/>
    <w:rsid w:val="004B73A1"/>
    <w:rsid w:val="004C76DB"/>
    <w:rsid w:val="004D4E70"/>
    <w:rsid w:val="004D546F"/>
    <w:rsid w:val="004D5BE6"/>
    <w:rsid w:val="004D6824"/>
    <w:rsid w:val="004D7E22"/>
    <w:rsid w:val="004F535E"/>
    <w:rsid w:val="00503545"/>
    <w:rsid w:val="005136BB"/>
    <w:rsid w:val="005212CD"/>
    <w:rsid w:val="005358AC"/>
    <w:rsid w:val="00537091"/>
    <w:rsid w:val="00560F36"/>
    <w:rsid w:val="005733FA"/>
    <w:rsid w:val="005736EF"/>
    <w:rsid w:val="00574BBF"/>
    <w:rsid w:val="0057571B"/>
    <w:rsid w:val="00582B21"/>
    <w:rsid w:val="00585E9C"/>
    <w:rsid w:val="00590241"/>
    <w:rsid w:val="00590FB8"/>
    <w:rsid w:val="00591572"/>
    <w:rsid w:val="00594331"/>
    <w:rsid w:val="0059448E"/>
    <w:rsid w:val="005A2372"/>
    <w:rsid w:val="005A32F3"/>
    <w:rsid w:val="005C198C"/>
    <w:rsid w:val="005C23D9"/>
    <w:rsid w:val="005C364F"/>
    <w:rsid w:val="005C61FC"/>
    <w:rsid w:val="005C6D02"/>
    <w:rsid w:val="005D54C9"/>
    <w:rsid w:val="005D5AC2"/>
    <w:rsid w:val="005D6606"/>
    <w:rsid w:val="005E3AA5"/>
    <w:rsid w:val="005E6819"/>
    <w:rsid w:val="005F6834"/>
    <w:rsid w:val="00602324"/>
    <w:rsid w:val="00612848"/>
    <w:rsid w:val="00615476"/>
    <w:rsid w:val="00621402"/>
    <w:rsid w:val="00623E1C"/>
    <w:rsid w:val="00626DF3"/>
    <w:rsid w:val="00627692"/>
    <w:rsid w:val="006301FF"/>
    <w:rsid w:val="006352A0"/>
    <w:rsid w:val="00662DF8"/>
    <w:rsid w:val="00664ED8"/>
    <w:rsid w:val="0067092C"/>
    <w:rsid w:val="00674FFC"/>
    <w:rsid w:val="00677D69"/>
    <w:rsid w:val="0068120F"/>
    <w:rsid w:val="006832EE"/>
    <w:rsid w:val="006867E0"/>
    <w:rsid w:val="00690CA9"/>
    <w:rsid w:val="006914CB"/>
    <w:rsid w:val="006A13A1"/>
    <w:rsid w:val="006A3BB3"/>
    <w:rsid w:val="006A4B6E"/>
    <w:rsid w:val="006A79D8"/>
    <w:rsid w:val="006B07C8"/>
    <w:rsid w:val="006B3369"/>
    <w:rsid w:val="006B4992"/>
    <w:rsid w:val="006C3314"/>
    <w:rsid w:val="006D5F96"/>
    <w:rsid w:val="006F2916"/>
    <w:rsid w:val="00703784"/>
    <w:rsid w:val="0070608B"/>
    <w:rsid w:val="007145DC"/>
    <w:rsid w:val="00715508"/>
    <w:rsid w:val="007209D9"/>
    <w:rsid w:val="007219FF"/>
    <w:rsid w:val="007235AF"/>
    <w:rsid w:val="007273DF"/>
    <w:rsid w:val="00727439"/>
    <w:rsid w:val="00737260"/>
    <w:rsid w:val="00742FC6"/>
    <w:rsid w:val="007464D8"/>
    <w:rsid w:val="00747F47"/>
    <w:rsid w:val="0075067D"/>
    <w:rsid w:val="00752177"/>
    <w:rsid w:val="00755A00"/>
    <w:rsid w:val="00755E3A"/>
    <w:rsid w:val="007567E9"/>
    <w:rsid w:val="00756F8B"/>
    <w:rsid w:val="00761760"/>
    <w:rsid w:val="0076177F"/>
    <w:rsid w:val="007732DB"/>
    <w:rsid w:val="00773E68"/>
    <w:rsid w:val="0077531C"/>
    <w:rsid w:val="00783A05"/>
    <w:rsid w:val="00785E99"/>
    <w:rsid w:val="007913C2"/>
    <w:rsid w:val="00793788"/>
    <w:rsid w:val="00795C3A"/>
    <w:rsid w:val="007C1376"/>
    <w:rsid w:val="007C268A"/>
    <w:rsid w:val="007C2964"/>
    <w:rsid w:val="007C758D"/>
    <w:rsid w:val="007D6830"/>
    <w:rsid w:val="007D6B13"/>
    <w:rsid w:val="007E51ED"/>
    <w:rsid w:val="007E621D"/>
    <w:rsid w:val="00802977"/>
    <w:rsid w:val="0080439D"/>
    <w:rsid w:val="00815E75"/>
    <w:rsid w:val="00825A32"/>
    <w:rsid w:val="00845570"/>
    <w:rsid w:val="00845D14"/>
    <w:rsid w:val="0084776A"/>
    <w:rsid w:val="008665D1"/>
    <w:rsid w:val="008736E5"/>
    <w:rsid w:val="00874F70"/>
    <w:rsid w:val="008807F7"/>
    <w:rsid w:val="0088296E"/>
    <w:rsid w:val="0088514A"/>
    <w:rsid w:val="008A250B"/>
    <w:rsid w:val="008A6C64"/>
    <w:rsid w:val="008A6F71"/>
    <w:rsid w:val="008A7953"/>
    <w:rsid w:val="008B1862"/>
    <w:rsid w:val="008B7C08"/>
    <w:rsid w:val="008C3F85"/>
    <w:rsid w:val="008D4DFA"/>
    <w:rsid w:val="008E374B"/>
    <w:rsid w:val="008E7B11"/>
    <w:rsid w:val="0090108C"/>
    <w:rsid w:val="0090342E"/>
    <w:rsid w:val="00903472"/>
    <w:rsid w:val="00906A52"/>
    <w:rsid w:val="009127CA"/>
    <w:rsid w:val="00913604"/>
    <w:rsid w:val="0091462C"/>
    <w:rsid w:val="00914B55"/>
    <w:rsid w:val="00920BA0"/>
    <w:rsid w:val="009278EA"/>
    <w:rsid w:val="00930AC8"/>
    <w:rsid w:val="0093213D"/>
    <w:rsid w:val="00932E49"/>
    <w:rsid w:val="00940B0A"/>
    <w:rsid w:val="009410B7"/>
    <w:rsid w:val="0094297B"/>
    <w:rsid w:val="00944370"/>
    <w:rsid w:val="00965AA2"/>
    <w:rsid w:val="00973E09"/>
    <w:rsid w:val="00977165"/>
    <w:rsid w:val="00981C31"/>
    <w:rsid w:val="009831C3"/>
    <w:rsid w:val="009923FB"/>
    <w:rsid w:val="00997895"/>
    <w:rsid w:val="009A5662"/>
    <w:rsid w:val="009B469F"/>
    <w:rsid w:val="009C1849"/>
    <w:rsid w:val="009D054B"/>
    <w:rsid w:val="009D34A0"/>
    <w:rsid w:val="009D627F"/>
    <w:rsid w:val="009D7DC3"/>
    <w:rsid w:val="009E0180"/>
    <w:rsid w:val="009E5F4A"/>
    <w:rsid w:val="009F370F"/>
    <w:rsid w:val="009F4953"/>
    <w:rsid w:val="009F73DF"/>
    <w:rsid w:val="009F74F8"/>
    <w:rsid w:val="00A14A43"/>
    <w:rsid w:val="00A24BC3"/>
    <w:rsid w:val="00A24ECB"/>
    <w:rsid w:val="00A270AF"/>
    <w:rsid w:val="00A32D1A"/>
    <w:rsid w:val="00A42AD8"/>
    <w:rsid w:val="00A43F11"/>
    <w:rsid w:val="00A5318B"/>
    <w:rsid w:val="00A639A1"/>
    <w:rsid w:val="00A65F13"/>
    <w:rsid w:val="00A746DF"/>
    <w:rsid w:val="00A9053D"/>
    <w:rsid w:val="00A90FB6"/>
    <w:rsid w:val="00AA03F2"/>
    <w:rsid w:val="00AA18D1"/>
    <w:rsid w:val="00AA40C2"/>
    <w:rsid w:val="00AB0CD4"/>
    <w:rsid w:val="00AC3654"/>
    <w:rsid w:val="00AC71B2"/>
    <w:rsid w:val="00AD0627"/>
    <w:rsid w:val="00AD6F6A"/>
    <w:rsid w:val="00AE016E"/>
    <w:rsid w:val="00AE2195"/>
    <w:rsid w:val="00AE620B"/>
    <w:rsid w:val="00AE7211"/>
    <w:rsid w:val="00AE73A9"/>
    <w:rsid w:val="00B0077E"/>
    <w:rsid w:val="00B07A32"/>
    <w:rsid w:val="00B1108D"/>
    <w:rsid w:val="00B15A07"/>
    <w:rsid w:val="00B15B9A"/>
    <w:rsid w:val="00B27150"/>
    <w:rsid w:val="00B271F0"/>
    <w:rsid w:val="00B31FFE"/>
    <w:rsid w:val="00B342D6"/>
    <w:rsid w:val="00B35757"/>
    <w:rsid w:val="00B42D03"/>
    <w:rsid w:val="00B5300C"/>
    <w:rsid w:val="00B5626C"/>
    <w:rsid w:val="00B57BED"/>
    <w:rsid w:val="00B673BA"/>
    <w:rsid w:val="00B74894"/>
    <w:rsid w:val="00B922A5"/>
    <w:rsid w:val="00B93A2D"/>
    <w:rsid w:val="00B95CF0"/>
    <w:rsid w:val="00BA235E"/>
    <w:rsid w:val="00BA6DEC"/>
    <w:rsid w:val="00BB3F5A"/>
    <w:rsid w:val="00BC647A"/>
    <w:rsid w:val="00BC7474"/>
    <w:rsid w:val="00BD4C8B"/>
    <w:rsid w:val="00BD68BC"/>
    <w:rsid w:val="00BE0799"/>
    <w:rsid w:val="00BE2C8F"/>
    <w:rsid w:val="00BE7553"/>
    <w:rsid w:val="00BF38DE"/>
    <w:rsid w:val="00BF7D5B"/>
    <w:rsid w:val="00C01A35"/>
    <w:rsid w:val="00C03EDD"/>
    <w:rsid w:val="00C04F3B"/>
    <w:rsid w:val="00C058D8"/>
    <w:rsid w:val="00C11DB4"/>
    <w:rsid w:val="00C12592"/>
    <w:rsid w:val="00C131FE"/>
    <w:rsid w:val="00C132D7"/>
    <w:rsid w:val="00C260A5"/>
    <w:rsid w:val="00C27302"/>
    <w:rsid w:val="00C46153"/>
    <w:rsid w:val="00C468CB"/>
    <w:rsid w:val="00C472B2"/>
    <w:rsid w:val="00C53359"/>
    <w:rsid w:val="00C632CD"/>
    <w:rsid w:val="00C75F1C"/>
    <w:rsid w:val="00C75F39"/>
    <w:rsid w:val="00C76262"/>
    <w:rsid w:val="00C80CF4"/>
    <w:rsid w:val="00C870CA"/>
    <w:rsid w:val="00C94EC6"/>
    <w:rsid w:val="00CA5192"/>
    <w:rsid w:val="00CB1359"/>
    <w:rsid w:val="00CB533E"/>
    <w:rsid w:val="00CC77A5"/>
    <w:rsid w:val="00CD6032"/>
    <w:rsid w:val="00CE7082"/>
    <w:rsid w:val="00CE783E"/>
    <w:rsid w:val="00CF0F8A"/>
    <w:rsid w:val="00CF5E40"/>
    <w:rsid w:val="00CF7E17"/>
    <w:rsid w:val="00D05426"/>
    <w:rsid w:val="00D07558"/>
    <w:rsid w:val="00D11D27"/>
    <w:rsid w:val="00D15121"/>
    <w:rsid w:val="00D15F40"/>
    <w:rsid w:val="00D216E7"/>
    <w:rsid w:val="00D2700C"/>
    <w:rsid w:val="00D278AE"/>
    <w:rsid w:val="00D32629"/>
    <w:rsid w:val="00D33E67"/>
    <w:rsid w:val="00D443CC"/>
    <w:rsid w:val="00D46838"/>
    <w:rsid w:val="00D517D5"/>
    <w:rsid w:val="00D55191"/>
    <w:rsid w:val="00D55841"/>
    <w:rsid w:val="00D56A74"/>
    <w:rsid w:val="00D5736D"/>
    <w:rsid w:val="00D70538"/>
    <w:rsid w:val="00D72751"/>
    <w:rsid w:val="00D728EA"/>
    <w:rsid w:val="00D95CAA"/>
    <w:rsid w:val="00D97F21"/>
    <w:rsid w:val="00DB0D74"/>
    <w:rsid w:val="00DB2C51"/>
    <w:rsid w:val="00DB612C"/>
    <w:rsid w:val="00DB6184"/>
    <w:rsid w:val="00DC1967"/>
    <w:rsid w:val="00DD0D34"/>
    <w:rsid w:val="00DD1294"/>
    <w:rsid w:val="00DE65D5"/>
    <w:rsid w:val="00DE6F06"/>
    <w:rsid w:val="00DF1B18"/>
    <w:rsid w:val="00DF2664"/>
    <w:rsid w:val="00DF37D3"/>
    <w:rsid w:val="00DF7362"/>
    <w:rsid w:val="00E00E5B"/>
    <w:rsid w:val="00E010EE"/>
    <w:rsid w:val="00E0490D"/>
    <w:rsid w:val="00E04F9F"/>
    <w:rsid w:val="00E11D4C"/>
    <w:rsid w:val="00E11DDB"/>
    <w:rsid w:val="00E31A83"/>
    <w:rsid w:val="00E359E1"/>
    <w:rsid w:val="00E41CA6"/>
    <w:rsid w:val="00E46093"/>
    <w:rsid w:val="00E54722"/>
    <w:rsid w:val="00E55288"/>
    <w:rsid w:val="00E62A3B"/>
    <w:rsid w:val="00E6577C"/>
    <w:rsid w:val="00E67940"/>
    <w:rsid w:val="00E67ED5"/>
    <w:rsid w:val="00E74FE8"/>
    <w:rsid w:val="00E80FBA"/>
    <w:rsid w:val="00E907FE"/>
    <w:rsid w:val="00E91978"/>
    <w:rsid w:val="00E91EB4"/>
    <w:rsid w:val="00E9664B"/>
    <w:rsid w:val="00EA15FA"/>
    <w:rsid w:val="00EB26BE"/>
    <w:rsid w:val="00EB604C"/>
    <w:rsid w:val="00EC0D8E"/>
    <w:rsid w:val="00EC0E07"/>
    <w:rsid w:val="00EC2113"/>
    <w:rsid w:val="00EC7A65"/>
    <w:rsid w:val="00ED662D"/>
    <w:rsid w:val="00ED7A80"/>
    <w:rsid w:val="00EE3949"/>
    <w:rsid w:val="00EF1790"/>
    <w:rsid w:val="00EF66C3"/>
    <w:rsid w:val="00F04283"/>
    <w:rsid w:val="00F06822"/>
    <w:rsid w:val="00F23FAC"/>
    <w:rsid w:val="00F24571"/>
    <w:rsid w:val="00F24628"/>
    <w:rsid w:val="00F2679B"/>
    <w:rsid w:val="00F31C6B"/>
    <w:rsid w:val="00F36573"/>
    <w:rsid w:val="00F379C9"/>
    <w:rsid w:val="00F515B1"/>
    <w:rsid w:val="00F51920"/>
    <w:rsid w:val="00F54C8A"/>
    <w:rsid w:val="00F60341"/>
    <w:rsid w:val="00F6461E"/>
    <w:rsid w:val="00F652EE"/>
    <w:rsid w:val="00F67CA5"/>
    <w:rsid w:val="00F7612B"/>
    <w:rsid w:val="00F779FB"/>
    <w:rsid w:val="00F827FC"/>
    <w:rsid w:val="00F87D2F"/>
    <w:rsid w:val="00F94168"/>
    <w:rsid w:val="00FA0B8A"/>
    <w:rsid w:val="00FA4C06"/>
    <w:rsid w:val="00FA54FF"/>
    <w:rsid w:val="00FB2720"/>
    <w:rsid w:val="00FB39C4"/>
    <w:rsid w:val="00FB41B4"/>
    <w:rsid w:val="00FB582B"/>
    <w:rsid w:val="00FB7A66"/>
    <w:rsid w:val="00FC23AF"/>
    <w:rsid w:val="00FC6FBC"/>
    <w:rsid w:val="00FD5173"/>
    <w:rsid w:val="00FE6AA2"/>
    <w:rsid w:val="00FF3FA9"/>
    <w:rsid w:val="00FF579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D5D0"/>
  <w15:docId w15:val="{C46EB301-EF75-4B48-9F07-8FB0DDD8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E09"/>
    <w:pPr>
      <w:spacing w:after="80" w:line="259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4331"/>
    <w:pPr>
      <w:keepNext/>
      <w:keepLines/>
      <w:numPr>
        <w:numId w:val="1"/>
      </w:numPr>
      <w:spacing w:before="720" w:after="120"/>
      <w:ind w:left="340" w:hanging="340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F94168"/>
    <w:pPr>
      <w:keepNext/>
      <w:keepLines/>
      <w:spacing w:before="240" w:after="120"/>
      <w:outlineLvl w:val="1"/>
    </w:pPr>
    <w:rPr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728EA"/>
    <w:pPr>
      <w:keepNext/>
      <w:keepLines/>
      <w:numPr>
        <w:numId w:val="29"/>
      </w:numPr>
      <w:spacing w:before="20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nhideWhenUsed/>
    <w:qFormat/>
    <w:rsid w:val="00186897"/>
    <w:pPr>
      <w:keepNext/>
      <w:keepLines/>
      <w:spacing w:before="120" w:after="4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73E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973E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3E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3E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3E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594331"/>
    <w:rPr>
      <w:rFonts w:ascii="Arial" w:eastAsia="Times New Roman" w:hAnsi="Arial" w:cs="Arial"/>
      <w:b/>
      <w:caps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94168"/>
    <w:rPr>
      <w:rFonts w:ascii="Arial" w:eastAsia="Times New Roman" w:hAnsi="Arial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728EA"/>
    <w:rPr>
      <w:rFonts w:ascii="Arial" w:eastAsia="Times New Roman" w:hAnsi="Arial" w:cs="Arial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665D1"/>
    <w:pPr>
      <w:spacing w:after="60"/>
      <w:ind w:left="170" w:hanging="170"/>
      <w:jc w:val="left"/>
    </w:pPr>
    <w:rPr>
      <w:rFonts w:eastAsiaTheme="minorHAnsi"/>
      <w:color w:val="000000" w:themeColor="text1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665D1"/>
    <w:rPr>
      <w:rFonts w:ascii="Arial" w:hAnsi="Arial" w:cs="Arial"/>
      <w:color w:val="000000" w:themeColor="text1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590FB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D32629"/>
    <w:rPr>
      <w:color w:val="auto"/>
      <w:u w:val="none"/>
    </w:rPr>
  </w:style>
  <w:style w:type="character" w:customStyle="1" w:styleId="Nadpis4Char">
    <w:name w:val="Nadpis 4 Char"/>
    <w:basedOn w:val="Standardnpsmoodstavce"/>
    <w:link w:val="Nadpis4"/>
    <w:rsid w:val="00186897"/>
    <w:rPr>
      <w:rFonts w:ascii="Arial" w:eastAsia="Times New Roman" w:hAnsi="Arial" w:cs="Arial"/>
      <w:i/>
      <w:iCs/>
      <w:lang w:eastAsia="cs-CZ"/>
    </w:rPr>
  </w:style>
  <w:style w:type="character" w:customStyle="1" w:styleId="Nadpis5Char">
    <w:name w:val="Nadpis 5 Char"/>
    <w:basedOn w:val="Standardnpsmoodstavce"/>
    <w:link w:val="Nadpis5"/>
    <w:rsid w:val="00973E09"/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customStyle="1" w:styleId="Nadpis6Char">
    <w:name w:val="Nadpis 6 Char"/>
    <w:basedOn w:val="Standardnpsmoodstavce"/>
    <w:link w:val="Nadpis6"/>
    <w:rsid w:val="00973E09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3E09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3E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3E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Nadpis1OBSAH">
    <w:name w:val="Nadpis 1 – OBSAH"/>
    <w:basedOn w:val="Nadpis1"/>
    <w:next w:val="Normln"/>
    <w:qFormat/>
    <w:rsid w:val="00D70538"/>
    <w:pPr>
      <w:numPr>
        <w:numId w:val="0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AD6F6A"/>
    <w:pPr>
      <w:tabs>
        <w:tab w:val="left" w:pos="442"/>
        <w:tab w:val="right" w:leader="dot" w:pos="9062"/>
      </w:tabs>
      <w:spacing w:after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9831C3"/>
    <w:pPr>
      <w:tabs>
        <w:tab w:val="left" w:pos="709"/>
        <w:tab w:val="right" w:leader="dot" w:pos="9062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9831C3"/>
    <w:pPr>
      <w:tabs>
        <w:tab w:val="left" w:pos="1134"/>
        <w:tab w:val="right" w:leader="dot" w:pos="9062"/>
      </w:tabs>
      <w:spacing w:after="0"/>
      <w:ind w:left="442"/>
    </w:pPr>
  </w:style>
  <w:style w:type="paragraph" w:styleId="Odstavecseseznamem">
    <w:name w:val="List Paragraph"/>
    <w:basedOn w:val="Normln"/>
    <w:uiPriority w:val="34"/>
    <w:qFormat/>
    <w:rsid w:val="00627692"/>
    <w:pPr>
      <w:numPr>
        <w:numId w:val="2"/>
      </w:numPr>
      <w:spacing w:after="0"/>
      <w:contextualSpacing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B1862"/>
    <w:pPr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table" w:styleId="Mkatabulky">
    <w:name w:val="Table Grid"/>
    <w:basedOn w:val="Normlntabulka"/>
    <w:uiPriority w:val="39"/>
    <w:rsid w:val="00866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a">
    <w:name w:val="Odstavec se seznamem a)"/>
    <w:basedOn w:val="Odstavecseseznamem"/>
    <w:qFormat/>
    <w:rsid w:val="00B5626C"/>
    <w:pPr>
      <w:numPr>
        <w:numId w:val="13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FF3FA9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920BA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rsid w:val="00E67ED5"/>
    <w:pPr>
      <w:spacing w:after="80" w:line="259" w:lineRule="auto"/>
      <w:jc w:val="both"/>
    </w:pPr>
    <w:rPr>
      <w:rFonts w:ascii="Arial" w:eastAsia="Arial" w:hAnsi="Arial" w:cs="Arial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E67ED5"/>
    <w:pPr>
      <w:keepNext/>
      <w:keepLines/>
      <w:spacing w:before="480" w:after="120"/>
    </w:pPr>
    <w:rPr>
      <w:rFonts w:eastAsia="Arial"/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E67ED5"/>
    <w:rPr>
      <w:rFonts w:ascii="Arial" w:eastAsia="Arial" w:hAnsi="Arial" w:cs="Arial"/>
      <w:b/>
      <w:sz w:val="72"/>
      <w:szCs w:val="72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7ED5"/>
    <w:pPr>
      <w:spacing w:line="240" w:lineRule="auto"/>
    </w:pPr>
    <w:rPr>
      <w:rFonts w:eastAsia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7ED5"/>
    <w:rPr>
      <w:rFonts w:ascii="Arial" w:eastAsia="Arial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67ED5"/>
    <w:rPr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E67ED5"/>
    <w:pPr>
      <w:spacing w:after="100"/>
      <w:ind w:left="660"/>
    </w:pPr>
    <w:rPr>
      <w:rFonts w:eastAsia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7E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7ED5"/>
    <w:rPr>
      <w:rFonts w:ascii="Arial" w:eastAsia="Arial" w:hAnsi="Arial" w:cs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85E99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styleId="Siln">
    <w:name w:val="Strong"/>
    <w:basedOn w:val="Standardnpsmoodstavce"/>
    <w:uiPriority w:val="22"/>
    <w:qFormat/>
    <w:rsid w:val="00D72751"/>
    <w:rPr>
      <w:b/>
      <w:bCs/>
    </w:rPr>
  </w:style>
  <w:style w:type="paragraph" w:customStyle="1" w:styleId="note">
    <w:name w:val="note"/>
    <w:basedOn w:val="Normln"/>
    <w:rsid w:val="00D7275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8055">
          <w:marLeft w:val="0"/>
          <w:marRight w:val="0"/>
          <w:marTop w:val="0"/>
          <w:marBottom w:val="0"/>
          <w:divBdr>
            <w:top w:val="single" w:sz="6" w:space="7" w:color="DDDDDD"/>
            <w:left w:val="single" w:sz="6" w:space="5" w:color="DDDDDD"/>
            <w:bottom w:val="single" w:sz="6" w:space="7" w:color="DDDDDD"/>
            <w:right w:val="single" w:sz="6" w:space="5" w:color="DDDDDD"/>
          </w:divBdr>
        </w:div>
        <w:div w:id="1481849482">
          <w:marLeft w:val="0"/>
          <w:marRight w:val="0"/>
          <w:marTop w:val="0"/>
          <w:marBottom w:val="0"/>
          <w:divBdr>
            <w:top w:val="single" w:sz="6" w:space="6" w:color="DDDDDD"/>
            <w:left w:val="single" w:sz="6" w:space="8" w:color="DDDDDD"/>
            <w:bottom w:val="single" w:sz="6" w:space="6" w:color="DDDDDD"/>
            <w:right w:val="single" w:sz="6" w:space="8" w:color="DDDDDD"/>
          </w:divBdr>
        </w:div>
      </w:divsChild>
    </w:div>
    <w:div w:id="1687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13E96-8AC7-4C53-BBC6-F90105D2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1530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Bezděkovská</dc:creator>
  <cp:keywords/>
  <dc:description/>
  <cp:lastModifiedBy>MŠMT</cp:lastModifiedBy>
  <cp:revision>6</cp:revision>
  <cp:lastPrinted>2020-09-03T06:51:00Z</cp:lastPrinted>
  <dcterms:created xsi:type="dcterms:W3CDTF">2020-09-04T12:12:00Z</dcterms:created>
  <dcterms:modified xsi:type="dcterms:W3CDTF">2020-10-13T07:49:00Z</dcterms:modified>
</cp:coreProperties>
</file>