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Závěrečná zpráva o věcném plnění projektu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Shrňte stručně zaměření a obsah soutěží. 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soutěží, témata a použité metody či přístupy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soutěží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 xml:space="preserve">Dopad soutěží a odborné výstupy: </w:t>
      </w:r>
    </w:p>
    <w:p w:rsidR="00336879" w:rsidRDefault="00336879" w:rsidP="00336879">
      <w:pPr>
        <w:spacing w:line="252" w:lineRule="auto"/>
        <w:ind w:left="720"/>
        <w:contextualSpacing/>
        <w:rPr>
          <w:b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soutěží a využití výsledků soutěží: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Popište, jak jste informovali o vašich soutěžích veřejnost, popř. média (u tištěných článků připojte jejich kopii, u elektronických uveďte odkaz). Popište také, jak </w:t>
      </w:r>
      <w:proofErr w:type="gramStart"/>
      <w:r>
        <w:rPr>
          <w:rFonts w:eastAsia="Calibri"/>
          <w:sz w:val="22"/>
          <w:szCs w:val="22"/>
        </w:rPr>
        <w:t>využíváte a nebo šíříte</w:t>
      </w:r>
      <w:proofErr w:type="gramEnd"/>
      <w:r>
        <w:rPr>
          <w:rFonts w:eastAsia="Calibri"/>
          <w:sz w:val="22"/>
          <w:szCs w:val="22"/>
        </w:rPr>
        <w:t xml:space="preserve"> zkušenosti získané na soutěžích.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vaše soutěže vyhodnocovali (průběžně i po jejím skončení) a shrňte jednotlivé výsledky hodnocení.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počty: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Soutěží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Krajských kol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Okresních kol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krajských kol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okresních kol</w:t>
      </w:r>
    </w:p>
    <w:p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Doprovodu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:rsidR="005B4446" w:rsidRDefault="00C452DB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79"/>
    <w:rsid w:val="00336879"/>
    <w:rsid w:val="00631E09"/>
    <w:rsid w:val="00854217"/>
    <w:rsid w:val="00A65CA1"/>
    <w:rsid w:val="00C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Jansa Petr</cp:lastModifiedBy>
  <cp:revision>3</cp:revision>
  <dcterms:created xsi:type="dcterms:W3CDTF">2021-06-15T05:33:00Z</dcterms:created>
  <dcterms:modified xsi:type="dcterms:W3CDTF">2021-06-15T06:13:00Z</dcterms:modified>
</cp:coreProperties>
</file>