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693F" w14:textId="77777777" w:rsidR="000F542E" w:rsidRPr="00DC01CA" w:rsidRDefault="00B33D5B" w:rsidP="000F542E">
      <w:pPr>
        <w:pStyle w:val="Zkladntextodsazen"/>
        <w:spacing w:after="180" w:line="360" w:lineRule="exact"/>
        <w:ind w:firstLine="0"/>
        <w:rPr>
          <w:rFonts w:asciiTheme="minorHAnsi" w:hAnsiTheme="minorHAnsi" w:cstheme="minorHAnsi"/>
          <w:sz w:val="28"/>
          <w:szCs w:val="28"/>
        </w:rPr>
      </w:pPr>
      <w:r w:rsidRPr="00DC01CA">
        <w:rPr>
          <w:rFonts w:asciiTheme="minorHAnsi" w:hAnsiTheme="minorHAnsi" w:cstheme="minorHAnsi"/>
          <w:b/>
          <w:sz w:val="28"/>
          <w:szCs w:val="28"/>
        </w:rPr>
        <w:t xml:space="preserve">Základní informace o změnách </w:t>
      </w:r>
      <w:r w:rsidR="00F27B68" w:rsidRPr="00DC01CA">
        <w:rPr>
          <w:rFonts w:asciiTheme="minorHAnsi" w:hAnsiTheme="minorHAnsi" w:cstheme="minorHAnsi"/>
          <w:b/>
          <w:sz w:val="28"/>
          <w:szCs w:val="28"/>
        </w:rPr>
        <w:t xml:space="preserve">ve </w:t>
      </w:r>
      <w:r w:rsidRPr="00DC01CA">
        <w:rPr>
          <w:rFonts w:asciiTheme="minorHAnsi" w:hAnsiTheme="minorHAnsi" w:cstheme="minorHAnsi"/>
          <w:b/>
          <w:sz w:val="28"/>
          <w:szCs w:val="28"/>
        </w:rPr>
        <w:t>„</w:t>
      </w:r>
      <w:r w:rsidR="000F542E" w:rsidRPr="00DC01CA">
        <w:rPr>
          <w:rFonts w:asciiTheme="minorHAnsi" w:hAnsiTheme="minorHAnsi" w:cstheme="minorHAnsi"/>
          <w:b/>
          <w:sz w:val="28"/>
          <w:szCs w:val="28"/>
        </w:rPr>
        <w:t xml:space="preserve">Výzvě </w:t>
      </w:r>
      <w:r w:rsidR="00F27B68" w:rsidRPr="00DC01CA">
        <w:rPr>
          <w:rFonts w:asciiTheme="minorHAnsi" w:hAnsiTheme="minorHAnsi" w:cstheme="minorHAnsi"/>
          <w:b/>
          <w:sz w:val="28"/>
          <w:szCs w:val="28"/>
        </w:rPr>
        <w:t>PRÁCE S DĚTMI A MLÁDEŽÍ 2022 - pro osvědčené organizace</w:t>
      </w:r>
      <w:r w:rsidRPr="00DC01CA">
        <w:rPr>
          <w:rFonts w:asciiTheme="minorHAnsi" w:hAnsiTheme="minorHAnsi" w:cstheme="minorHAnsi"/>
          <w:b/>
          <w:sz w:val="28"/>
          <w:szCs w:val="28"/>
        </w:rPr>
        <w:t xml:space="preserve">“ </w:t>
      </w:r>
      <w:r w:rsidRPr="00DC01CA">
        <w:rPr>
          <w:rFonts w:asciiTheme="minorHAnsi" w:hAnsiTheme="minorHAnsi" w:cstheme="minorHAnsi"/>
          <w:sz w:val="28"/>
          <w:szCs w:val="28"/>
        </w:rPr>
        <w:t xml:space="preserve">(dále také „Výzva“) </w:t>
      </w:r>
    </w:p>
    <w:p w14:paraId="32C89B69" w14:textId="59D7600C" w:rsidR="000F542E" w:rsidRPr="00DC01CA" w:rsidRDefault="00F27B68" w:rsidP="00F27B68">
      <w:pPr>
        <w:pStyle w:val="Zkladntextodsazen"/>
        <w:numPr>
          <w:ilvl w:val="0"/>
          <w:numId w:val="2"/>
        </w:numPr>
        <w:spacing w:before="0" w:line="360" w:lineRule="atLeast"/>
        <w:ind w:left="360"/>
        <w:rPr>
          <w:rFonts w:asciiTheme="minorHAnsi" w:eastAsia="Times New Roman" w:hAnsiTheme="minorHAnsi" w:cstheme="minorHAnsi"/>
          <w:szCs w:val="24"/>
        </w:rPr>
      </w:pPr>
      <w:r w:rsidRPr="00DC01CA">
        <w:rPr>
          <w:rFonts w:asciiTheme="minorHAnsi" w:eastAsia="Times New Roman" w:hAnsiTheme="minorHAnsi" w:cstheme="minorHAnsi"/>
          <w:szCs w:val="24"/>
        </w:rPr>
        <w:t>Ve</w:t>
      </w:r>
      <w:r w:rsidR="000F542E" w:rsidRPr="00DC01CA">
        <w:rPr>
          <w:rFonts w:asciiTheme="minorHAnsi" w:eastAsia="Times New Roman" w:hAnsiTheme="minorHAnsi" w:cstheme="minorHAnsi"/>
          <w:szCs w:val="24"/>
        </w:rPr>
        <w:t xml:space="preserve"> Výzvě mohou </w:t>
      </w:r>
      <w:r w:rsidR="00B33D5B" w:rsidRPr="00DC01CA">
        <w:rPr>
          <w:rFonts w:asciiTheme="minorHAnsi" w:eastAsia="Times New Roman" w:hAnsiTheme="minorHAnsi" w:cstheme="minorHAnsi"/>
          <w:szCs w:val="24"/>
        </w:rPr>
        <w:t xml:space="preserve">o podporu </w:t>
      </w:r>
      <w:r w:rsidR="000F542E" w:rsidRPr="00DC01CA">
        <w:rPr>
          <w:rFonts w:asciiTheme="minorHAnsi" w:eastAsia="Times New Roman" w:hAnsiTheme="minorHAnsi" w:cstheme="minorHAnsi"/>
          <w:szCs w:val="24"/>
        </w:rPr>
        <w:t xml:space="preserve">žádat i nestátní neziskové organizace (dále jen „NNO“), které v roce podání žádosti </w:t>
      </w:r>
      <w:r w:rsidR="00B33D5B" w:rsidRPr="00DC01CA">
        <w:rPr>
          <w:rFonts w:asciiTheme="minorHAnsi" w:eastAsia="Times New Roman" w:hAnsiTheme="minorHAnsi" w:cstheme="minorHAnsi"/>
          <w:szCs w:val="24"/>
        </w:rPr>
        <w:t xml:space="preserve">nezískaly </w:t>
      </w:r>
      <w:r w:rsidR="000F542E" w:rsidRPr="00DC01CA">
        <w:rPr>
          <w:rFonts w:asciiTheme="minorHAnsi" w:eastAsia="Times New Roman" w:hAnsiTheme="minorHAnsi" w:cstheme="minorHAnsi"/>
          <w:szCs w:val="24"/>
        </w:rPr>
        <w:t xml:space="preserve">titul “NNO uznaná MŠMT pro práci s dětmi a mládeží“, ale pouze doloží </w:t>
      </w:r>
      <w:r w:rsidR="00FA3D76" w:rsidRPr="00DC01CA">
        <w:rPr>
          <w:rFonts w:asciiTheme="minorHAnsi" w:eastAsia="Times New Roman" w:hAnsiTheme="minorHAnsi" w:cstheme="minorHAnsi"/>
          <w:szCs w:val="24"/>
        </w:rPr>
        <w:t>podklady, kterými by splnily podmínky pro tzv. uznanou NNO</w:t>
      </w:r>
      <w:r w:rsidR="000F542E" w:rsidRPr="00DC01CA">
        <w:rPr>
          <w:rFonts w:asciiTheme="minorHAnsi" w:eastAsia="Times New Roman" w:hAnsiTheme="minorHAnsi" w:cstheme="minorHAnsi"/>
          <w:szCs w:val="24"/>
        </w:rPr>
        <w:t xml:space="preserve">. S tím souvisí </w:t>
      </w:r>
      <w:r w:rsidR="00DC01CA">
        <w:rPr>
          <w:rFonts w:asciiTheme="minorHAnsi" w:eastAsia="Times New Roman" w:hAnsiTheme="minorHAnsi" w:cstheme="minorHAnsi"/>
          <w:szCs w:val="24"/>
        </w:rPr>
        <w:br/>
      </w:r>
      <w:r w:rsidR="000F542E" w:rsidRPr="00DC01CA">
        <w:rPr>
          <w:rFonts w:asciiTheme="minorHAnsi" w:eastAsia="Times New Roman" w:hAnsiTheme="minorHAnsi" w:cstheme="minorHAnsi"/>
          <w:szCs w:val="24"/>
        </w:rPr>
        <w:t>i změna názvu výzvy oproti roku 2021, který zněl: Výzva pro „NNO uznané MŠMT pro práci s dětmi a mládeží“.</w:t>
      </w:r>
    </w:p>
    <w:p w14:paraId="54FED8FE" w14:textId="24E092D3" w:rsidR="000F542E" w:rsidRPr="00DC01CA" w:rsidRDefault="00312721" w:rsidP="007B02AC">
      <w:pPr>
        <w:pStyle w:val="Odstavecseseznamem"/>
        <w:numPr>
          <w:ilvl w:val="0"/>
          <w:numId w:val="2"/>
        </w:numPr>
        <w:spacing w:line="360" w:lineRule="atLeast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DC01CA">
        <w:rPr>
          <w:rFonts w:asciiTheme="minorHAnsi" w:eastAsia="Times New Roman" w:hAnsiTheme="minorHAnsi" w:cstheme="minorHAnsi"/>
          <w:sz w:val="24"/>
          <w:szCs w:val="24"/>
        </w:rPr>
        <w:t>V</w:t>
      </w:r>
      <w:r w:rsidR="00B33D5B" w:rsidRPr="00DC01CA">
        <w:rPr>
          <w:rFonts w:asciiTheme="minorHAnsi" w:eastAsia="Times New Roman" w:hAnsiTheme="minorHAnsi" w:cstheme="minorHAnsi"/>
          <w:sz w:val="24"/>
          <w:szCs w:val="24"/>
        </w:rPr>
        <w:t>e výzvě j</w:t>
      </w:r>
      <w:r w:rsidR="000F542E" w:rsidRPr="00DC01CA">
        <w:rPr>
          <w:rFonts w:asciiTheme="minorHAnsi" w:eastAsia="Times New Roman" w:hAnsiTheme="minorHAnsi" w:cstheme="minorHAnsi"/>
          <w:sz w:val="24"/>
          <w:szCs w:val="24"/>
        </w:rPr>
        <w:t>e blíže specifikován jeden ze tří účelů dotace:</w:t>
      </w:r>
    </w:p>
    <w:p w14:paraId="4D6E28C5" w14:textId="7D138FBC" w:rsidR="00312721" w:rsidRPr="00DC01CA" w:rsidRDefault="00DC01CA" w:rsidP="00B33D5B">
      <w:pPr>
        <w:pStyle w:val="Odstavecseseznamem"/>
        <w:numPr>
          <w:ilvl w:val="0"/>
          <w:numId w:val="1"/>
        </w:numPr>
        <w:spacing w:before="240" w:after="180" w:line="360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v</w:t>
      </w:r>
      <w:r w:rsidR="00312721" w:rsidRPr="00DC01CA">
        <w:rPr>
          <w:rFonts w:asciiTheme="minorHAnsi" w:eastAsia="Times New Roman" w:hAnsiTheme="minorHAnsi" w:cstheme="minorHAnsi"/>
          <w:sz w:val="24"/>
          <w:szCs w:val="24"/>
        </w:rPr>
        <w:t xml:space="preserve"> roce 2021 byl </w:t>
      </w:r>
      <w:r w:rsidR="00FA3D76" w:rsidRPr="00DC01CA">
        <w:rPr>
          <w:rFonts w:asciiTheme="minorHAnsi" w:eastAsia="Times New Roman" w:hAnsiTheme="minorHAnsi" w:cstheme="minorHAnsi"/>
          <w:sz w:val="24"/>
          <w:szCs w:val="24"/>
        </w:rPr>
        <w:t>tento</w:t>
      </w:r>
      <w:r w:rsidR="00312721" w:rsidRPr="00DC01CA">
        <w:rPr>
          <w:rFonts w:asciiTheme="minorHAnsi" w:eastAsia="Times New Roman" w:hAnsiTheme="minorHAnsi" w:cstheme="minorHAnsi"/>
          <w:sz w:val="24"/>
          <w:szCs w:val="24"/>
        </w:rPr>
        <w:t xml:space="preserve"> účel specifikován jako </w:t>
      </w:r>
      <w:r w:rsidR="00FA3D76" w:rsidRPr="00DC01CA">
        <w:rPr>
          <w:rFonts w:asciiTheme="minorHAnsi" w:eastAsia="Times New Roman" w:hAnsiTheme="minorHAnsi" w:cstheme="minorHAnsi"/>
          <w:sz w:val="24"/>
          <w:szCs w:val="24"/>
        </w:rPr>
        <w:t>„</w:t>
      </w:r>
      <w:r w:rsidR="000F542E" w:rsidRPr="00DC01CA">
        <w:rPr>
          <w:rFonts w:asciiTheme="minorHAnsi" w:eastAsia="Times New Roman" w:hAnsiTheme="minorHAnsi" w:cstheme="minorHAnsi"/>
          <w:sz w:val="24"/>
          <w:szCs w:val="24"/>
        </w:rPr>
        <w:t>zabezpečení péče o volný čas mládeže</w:t>
      </w:r>
      <w:r w:rsidR="00FA3D76" w:rsidRPr="00DC01CA">
        <w:rPr>
          <w:rFonts w:asciiTheme="minorHAnsi" w:eastAsia="Times New Roman" w:hAnsiTheme="minorHAnsi" w:cstheme="minorHAnsi"/>
          <w:sz w:val="24"/>
          <w:szCs w:val="24"/>
        </w:rPr>
        <w:t>“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="000F542E" w:rsidRPr="00DC01C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906343B" w14:textId="6C8837DD" w:rsidR="000F542E" w:rsidRPr="00DC01CA" w:rsidRDefault="00312721" w:rsidP="00B33D5B">
      <w:pPr>
        <w:pStyle w:val="Odstavecseseznamem"/>
        <w:numPr>
          <w:ilvl w:val="0"/>
          <w:numId w:val="1"/>
        </w:numPr>
        <w:spacing w:before="240" w:after="180" w:line="360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 xml:space="preserve"> </w:t>
      </w:r>
      <w:r w:rsidR="00DC01CA">
        <w:rPr>
          <w:rFonts w:asciiTheme="minorHAnsi" w:hAnsiTheme="minorHAnsi" w:cstheme="minorHAnsi"/>
          <w:sz w:val="24"/>
          <w:szCs w:val="24"/>
        </w:rPr>
        <w:t>v</w:t>
      </w:r>
      <w:r w:rsidRPr="00DC01CA">
        <w:rPr>
          <w:rFonts w:asciiTheme="minorHAnsi" w:hAnsiTheme="minorHAnsi" w:cstheme="minorHAnsi"/>
          <w:sz w:val="24"/>
          <w:szCs w:val="24"/>
        </w:rPr>
        <w:t xml:space="preserve"> roce 2022 je </w:t>
      </w:r>
      <w:r w:rsidR="00FA3D76" w:rsidRPr="00DC01CA">
        <w:rPr>
          <w:rFonts w:asciiTheme="minorHAnsi" w:hAnsiTheme="minorHAnsi" w:cstheme="minorHAnsi"/>
          <w:sz w:val="24"/>
          <w:szCs w:val="24"/>
        </w:rPr>
        <w:t xml:space="preserve">tento </w:t>
      </w:r>
      <w:r w:rsidRPr="00DC01CA">
        <w:rPr>
          <w:rFonts w:asciiTheme="minorHAnsi" w:hAnsiTheme="minorHAnsi" w:cstheme="minorHAnsi"/>
          <w:sz w:val="24"/>
          <w:szCs w:val="24"/>
        </w:rPr>
        <w:t xml:space="preserve">účel z roku 2021 blíže specifikován jako </w:t>
      </w:r>
      <w:r w:rsidR="00FA3D76" w:rsidRPr="00DC01CA">
        <w:rPr>
          <w:rFonts w:asciiTheme="minorHAnsi" w:hAnsiTheme="minorHAnsi" w:cstheme="minorHAnsi"/>
          <w:sz w:val="24"/>
          <w:szCs w:val="24"/>
        </w:rPr>
        <w:t>„</w:t>
      </w:r>
      <w:r w:rsidR="000F542E" w:rsidRPr="00DC01CA">
        <w:rPr>
          <w:rFonts w:asciiTheme="minorHAnsi" w:hAnsiTheme="minorHAnsi" w:cstheme="minorHAnsi"/>
          <w:sz w:val="24"/>
          <w:szCs w:val="24"/>
        </w:rPr>
        <w:t>zajištění rozvoje kompetencí potřebných pro aktivní občanský, profesní i osobní život</w:t>
      </w:r>
      <w:r w:rsidR="00F27B68" w:rsidRPr="00DC01CA">
        <w:rPr>
          <w:rFonts w:asciiTheme="minorHAnsi" w:hAnsiTheme="minorHAnsi" w:cstheme="minorHAnsi"/>
          <w:sz w:val="24"/>
          <w:szCs w:val="24"/>
        </w:rPr>
        <w:t xml:space="preserve"> </w:t>
      </w:r>
      <w:r w:rsidR="000F542E" w:rsidRPr="00DC01CA">
        <w:rPr>
          <w:rFonts w:asciiTheme="minorHAnsi" w:hAnsiTheme="minorHAnsi" w:cstheme="minorHAnsi"/>
          <w:sz w:val="24"/>
          <w:szCs w:val="24"/>
        </w:rPr>
        <w:t>dětí a mládeže od 6 do 26 let pomocí aktivit ve volném čase</w:t>
      </w:r>
      <w:r w:rsidR="00FA3D76" w:rsidRPr="00DC01CA">
        <w:rPr>
          <w:rFonts w:asciiTheme="minorHAnsi" w:hAnsiTheme="minorHAnsi" w:cstheme="minorHAnsi"/>
          <w:sz w:val="24"/>
          <w:szCs w:val="24"/>
        </w:rPr>
        <w:t>“</w:t>
      </w:r>
      <w:r w:rsidR="000F542E" w:rsidRPr="00DC01CA">
        <w:rPr>
          <w:rFonts w:asciiTheme="minorHAnsi" w:hAnsiTheme="minorHAnsi" w:cstheme="minorHAnsi"/>
          <w:sz w:val="24"/>
          <w:szCs w:val="24"/>
        </w:rPr>
        <w:t>.</w:t>
      </w:r>
    </w:p>
    <w:p w14:paraId="1E0E7415" w14:textId="5DE62657" w:rsidR="000F542E" w:rsidRPr="00DC01CA" w:rsidRDefault="000F542E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 xml:space="preserve">Tři specifické aktivity pro rok 2021 (snižování dopadů pandemie </w:t>
      </w:r>
      <w:proofErr w:type="spellStart"/>
      <w:r w:rsidRPr="00DC01CA">
        <w:rPr>
          <w:rFonts w:asciiTheme="minorHAnsi" w:hAnsiTheme="minorHAnsi" w:cstheme="minorHAnsi"/>
          <w:sz w:val="24"/>
          <w:szCs w:val="24"/>
        </w:rPr>
        <w:t>Covid</w:t>
      </w:r>
      <w:proofErr w:type="spellEnd"/>
      <w:r w:rsidRPr="00DC01CA">
        <w:rPr>
          <w:rFonts w:asciiTheme="minorHAnsi" w:hAnsiTheme="minorHAnsi" w:cstheme="minorHAnsi"/>
          <w:sz w:val="24"/>
          <w:szCs w:val="24"/>
        </w:rPr>
        <w:t xml:space="preserve"> 19 na děti a mládež, propojování formálního a neformálního vzdělávání, mezigenerační dialog) jsou doplněny </w:t>
      </w:r>
      <w:r w:rsidRPr="00DC01CA">
        <w:rPr>
          <w:rFonts w:asciiTheme="minorHAnsi" w:hAnsiTheme="minorHAnsi" w:cstheme="minorHAnsi"/>
          <w:sz w:val="24"/>
          <w:szCs w:val="24"/>
        </w:rPr>
        <w:br/>
        <w:t>o další specifické aktivity mj. v souvislosti s předsednictvím Č</w:t>
      </w:r>
      <w:r w:rsidR="00FA3D76" w:rsidRPr="00DC01CA">
        <w:rPr>
          <w:rFonts w:asciiTheme="minorHAnsi" w:hAnsiTheme="minorHAnsi" w:cstheme="minorHAnsi"/>
          <w:sz w:val="24"/>
          <w:szCs w:val="24"/>
        </w:rPr>
        <w:t>eské republiky</w:t>
      </w:r>
      <w:r w:rsidRPr="00DC01CA">
        <w:rPr>
          <w:rFonts w:asciiTheme="minorHAnsi" w:hAnsiTheme="minorHAnsi" w:cstheme="minorHAnsi"/>
          <w:sz w:val="24"/>
          <w:szCs w:val="24"/>
        </w:rPr>
        <w:t xml:space="preserve"> v Radě EU.</w:t>
      </w:r>
    </w:p>
    <w:p w14:paraId="2B880965" w14:textId="77777777" w:rsidR="000F542E" w:rsidRPr="00DC01CA" w:rsidRDefault="000F542E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Alokace Výzvy 2022 je navýšena o 10 mil. Kč oproti Výzvě 2021. Alokace je pohyblivá dle počtu a kvality podaných žádostí vzhledem k tomu, že Výzva 2022 bude otevřena většímu a zároveň ne striktně omezenému počtu žadatelů oproti Výzvě 2021.</w:t>
      </w:r>
    </w:p>
    <w:p w14:paraId="1CDD3146" w14:textId="77777777" w:rsidR="000F542E" w:rsidRPr="00DC01CA" w:rsidRDefault="000F542E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Minimální částka dotace je zvýšena ze 150 000 Kč na 300 000 Kč.</w:t>
      </w:r>
    </w:p>
    <w:p w14:paraId="6CB80C24" w14:textId="77777777" w:rsidR="000F542E" w:rsidRPr="00DC01CA" w:rsidRDefault="000F542E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Ve Výzvě 2022 může příjemce dotace nově zahrnout do vlastních nákladů i práci dobrovolníků, která však může být vykázána jako max. 10 % celkových nákladů projektu.</w:t>
      </w:r>
    </w:p>
    <w:p w14:paraId="6BB6A661" w14:textId="77777777" w:rsidR="000F542E" w:rsidRPr="00DC01CA" w:rsidRDefault="000F542E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Dochází k</w:t>
      </w:r>
      <w:r w:rsidR="00F27B68" w:rsidRPr="00DC01CA">
        <w:rPr>
          <w:rFonts w:asciiTheme="minorHAnsi" w:hAnsiTheme="minorHAnsi" w:cstheme="minorHAnsi"/>
          <w:sz w:val="24"/>
          <w:szCs w:val="24"/>
        </w:rPr>
        <w:t>e</w:t>
      </w:r>
      <w:r w:rsidRPr="00DC01CA">
        <w:rPr>
          <w:rFonts w:asciiTheme="minorHAnsi" w:hAnsiTheme="minorHAnsi" w:cstheme="minorHAnsi"/>
          <w:sz w:val="24"/>
          <w:szCs w:val="24"/>
        </w:rPr>
        <w:t xml:space="preserve"> zvýšení částky na letní tábory navazující na celoroční činnost, a to z 80 Kč na dítě a den v roce 2021 na 100 Kč na dítě a den v roce 2022. </w:t>
      </w:r>
    </w:p>
    <w:p w14:paraId="5919C741" w14:textId="77777777" w:rsidR="00F27B68" w:rsidRPr="00DC01CA" w:rsidRDefault="00F27B68" w:rsidP="00273A35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Jsou</w:t>
      </w:r>
      <w:r w:rsidR="000F542E" w:rsidRPr="00DC01CA">
        <w:rPr>
          <w:rFonts w:asciiTheme="minorHAnsi" w:hAnsiTheme="minorHAnsi" w:cstheme="minorHAnsi"/>
          <w:sz w:val="24"/>
          <w:szCs w:val="24"/>
        </w:rPr>
        <w:t xml:space="preserve"> přesněji definovány a rozšířeny povinné ukazatele sloužící k vyhodnocení Výzvy 2022. </w:t>
      </w:r>
    </w:p>
    <w:p w14:paraId="4CFDF7BB" w14:textId="77777777" w:rsidR="000F542E" w:rsidRPr="00DC01CA" w:rsidRDefault="00F27B68" w:rsidP="00F27B68">
      <w:pPr>
        <w:pStyle w:val="Odstavecseseznamem"/>
        <w:numPr>
          <w:ilvl w:val="0"/>
          <w:numId w:val="2"/>
        </w:numPr>
        <w:spacing w:after="180" w:line="36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Dochází ke z</w:t>
      </w:r>
      <w:r w:rsidR="000F542E" w:rsidRPr="00DC01CA">
        <w:rPr>
          <w:rFonts w:asciiTheme="minorHAnsi" w:hAnsiTheme="minorHAnsi" w:cstheme="minorHAnsi"/>
          <w:sz w:val="24"/>
          <w:szCs w:val="24"/>
        </w:rPr>
        <w:t>měn</w:t>
      </w:r>
      <w:r w:rsidRPr="00DC01CA">
        <w:rPr>
          <w:rFonts w:asciiTheme="minorHAnsi" w:hAnsiTheme="minorHAnsi" w:cstheme="minorHAnsi"/>
          <w:sz w:val="24"/>
          <w:szCs w:val="24"/>
        </w:rPr>
        <w:t>ě</w:t>
      </w:r>
      <w:r w:rsidR="000F542E" w:rsidRPr="00DC01CA">
        <w:rPr>
          <w:rFonts w:asciiTheme="minorHAnsi" w:hAnsiTheme="minorHAnsi" w:cstheme="minorHAnsi"/>
          <w:sz w:val="24"/>
          <w:szCs w:val="24"/>
        </w:rPr>
        <w:t xml:space="preserve"> ve výpočtu výše dotace:</w:t>
      </w:r>
    </w:p>
    <w:p w14:paraId="4615A915" w14:textId="77777777" w:rsidR="000F542E" w:rsidRPr="00DC01CA" w:rsidRDefault="000F542E" w:rsidP="00F27B68">
      <w:pPr>
        <w:pStyle w:val="Odstavecseseznamem"/>
        <w:numPr>
          <w:ilvl w:val="0"/>
          <w:numId w:val="6"/>
        </w:numPr>
        <w:spacing w:after="180" w:line="360" w:lineRule="exact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 xml:space="preserve">ve Výzvě 2022 se žadateli negarantuje základní výše dotace na úrovni 90 % loňské dotace </w:t>
      </w:r>
    </w:p>
    <w:p w14:paraId="480476E6" w14:textId="77777777" w:rsidR="000F542E" w:rsidRPr="00DC01CA" w:rsidRDefault="000F542E" w:rsidP="00F27B68">
      <w:pPr>
        <w:pStyle w:val="Odstavecseseznamem"/>
        <w:numPr>
          <w:ilvl w:val="0"/>
          <w:numId w:val="6"/>
        </w:numPr>
        <w:spacing w:after="180" w:line="360" w:lineRule="exact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 xml:space="preserve">ve Výzvě 2022 musí jít na specifické aktivity min. 20 % přidělené dotace   </w:t>
      </w:r>
    </w:p>
    <w:p w14:paraId="6E524173" w14:textId="77777777" w:rsidR="000F542E" w:rsidRPr="00DC01CA" w:rsidRDefault="00F27B68" w:rsidP="003D3194">
      <w:pPr>
        <w:pStyle w:val="Odstavecseseznamem"/>
        <w:numPr>
          <w:ilvl w:val="0"/>
          <w:numId w:val="2"/>
        </w:numPr>
        <w:spacing w:after="180" w:line="360" w:lineRule="exac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C01CA">
        <w:rPr>
          <w:rFonts w:asciiTheme="minorHAnsi" w:hAnsiTheme="minorHAnsi" w:cstheme="minorHAnsi"/>
          <w:sz w:val="24"/>
          <w:szCs w:val="24"/>
        </w:rPr>
        <w:t>Ve výzvě</w:t>
      </w:r>
      <w:r w:rsidR="000F542E" w:rsidRPr="00DC01CA">
        <w:rPr>
          <w:rFonts w:asciiTheme="minorHAnsi" w:hAnsiTheme="minorHAnsi" w:cstheme="minorHAnsi"/>
          <w:sz w:val="24"/>
          <w:szCs w:val="24"/>
        </w:rPr>
        <w:t xml:space="preserve"> došlo k úpravě v hodnotících kritériích v souvislosti s textem Výzvy 2022. </w:t>
      </w:r>
    </w:p>
    <w:p w14:paraId="64A5C832" w14:textId="0EAC29B3" w:rsidR="00A67902" w:rsidRPr="00DC01CA" w:rsidRDefault="00A67902" w:rsidP="00A67902">
      <w:pPr>
        <w:pStyle w:val="Zkladntextodsazen"/>
        <w:numPr>
          <w:ilvl w:val="0"/>
          <w:numId w:val="2"/>
        </w:numPr>
        <w:spacing w:before="0" w:after="120" w:line="360" w:lineRule="atLeast"/>
        <w:ind w:left="360"/>
        <w:rPr>
          <w:rFonts w:asciiTheme="minorHAnsi" w:eastAsia="Times New Roman" w:hAnsiTheme="minorHAnsi" w:cstheme="minorHAnsi"/>
          <w:i/>
          <w:szCs w:val="24"/>
        </w:rPr>
      </w:pPr>
      <w:r w:rsidRPr="00DC01CA">
        <w:rPr>
          <w:rFonts w:asciiTheme="minorHAnsi" w:hAnsiTheme="minorHAnsi" w:cstheme="minorHAnsi"/>
          <w:b/>
          <w:szCs w:val="24"/>
        </w:rPr>
        <w:t>Zásadní změna</w:t>
      </w:r>
      <w:r w:rsidRPr="00DC01CA">
        <w:rPr>
          <w:rFonts w:asciiTheme="minorHAnsi" w:hAnsiTheme="minorHAnsi" w:cstheme="minorHAnsi"/>
          <w:szCs w:val="24"/>
        </w:rPr>
        <w:t xml:space="preserve">: </w:t>
      </w:r>
      <w:r w:rsidR="003D3194" w:rsidRPr="00DC01CA">
        <w:rPr>
          <w:rFonts w:asciiTheme="minorHAnsi" w:hAnsiTheme="minorHAnsi" w:cstheme="minorHAnsi"/>
          <w:szCs w:val="24"/>
        </w:rPr>
        <w:t xml:space="preserve">Výzva neobsahuje části </w:t>
      </w:r>
      <w:r w:rsidRPr="00DC01CA">
        <w:rPr>
          <w:rFonts w:asciiTheme="minorHAnsi" w:hAnsiTheme="minorHAnsi" w:cstheme="minorHAnsi"/>
          <w:szCs w:val="24"/>
        </w:rPr>
        <w:t>týkající se přeposílání dotace z hlavního na pobočný spolek („</w:t>
      </w:r>
      <w:r w:rsidRPr="00DC01CA">
        <w:rPr>
          <w:rFonts w:asciiTheme="minorHAnsi" w:hAnsiTheme="minorHAnsi" w:cstheme="minorHAnsi"/>
          <w:i/>
          <w:szCs w:val="24"/>
        </w:rPr>
        <w:t xml:space="preserve">Ústředí NNO rozepisuje dotaci nižším článkům v souladu s rozhodnutím a projektem bez zbytečného </w:t>
      </w:r>
      <w:proofErr w:type="gramStart"/>
      <w:r w:rsidRPr="00DC01CA">
        <w:rPr>
          <w:rFonts w:asciiTheme="minorHAnsi" w:hAnsiTheme="minorHAnsi" w:cstheme="minorHAnsi"/>
          <w:i/>
          <w:szCs w:val="24"/>
        </w:rPr>
        <w:t>prodlení….</w:t>
      </w:r>
      <w:proofErr w:type="gramEnd"/>
      <w:r w:rsidRPr="00DC01CA">
        <w:rPr>
          <w:rFonts w:asciiTheme="minorHAnsi" w:hAnsiTheme="minorHAnsi" w:cstheme="minorHAnsi"/>
          <w:i/>
          <w:szCs w:val="24"/>
        </w:rPr>
        <w:t>V případě organizace s pobočnými spolky se předkládá žádost o dotaci zásadně prostřednictvím hlavního spolku</w:t>
      </w:r>
      <w:r w:rsidRPr="00DC01CA">
        <w:rPr>
          <w:rFonts w:asciiTheme="minorHAnsi" w:hAnsiTheme="minorHAnsi" w:cstheme="minorHAnsi"/>
          <w:szCs w:val="24"/>
        </w:rPr>
        <w:t xml:space="preserve">“). Způsob financování aktivit pobočných spolků z dotace MŠMT poskytnuté hlavnímu spolku </w:t>
      </w:r>
      <w:r w:rsidR="00DC01CA">
        <w:rPr>
          <w:rFonts w:asciiTheme="minorHAnsi" w:hAnsiTheme="minorHAnsi" w:cstheme="minorHAnsi"/>
          <w:szCs w:val="24"/>
        </w:rPr>
        <w:t>p</w:t>
      </w:r>
      <w:bookmarkStart w:id="0" w:name="_GoBack"/>
      <w:bookmarkEnd w:id="0"/>
      <w:r w:rsidR="003D3194" w:rsidRPr="00DC01CA">
        <w:rPr>
          <w:rFonts w:asciiTheme="minorHAnsi" w:hAnsiTheme="minorHAnsi" w:cstheme="minorHAnsi"/>
          <w:szCs w:val="24"/>
        </w:rPr>
        <w:t xml:space="preserve">řechází </w:t>
      </w:r>
      <w:r w:rsidRPr="00DC01CA">
        <w:rPr>
          <w:rFonts w:asciiTheme="minorHAnsi" w:hAnsiTheme="minorHAnsi" w:cstheme="minorHAnsi"/>
          <w:szCs w:val="24"/>
        </w:rPr>
        <w:t>na odpovědnost hlavních spolků jako příjemců dotace, viz text Výzvy v čl. 6.2., písmeno j) „</w:t>
      </w:r>
      <w:r w:rsidRPr="00DC01CA">
        <w:rPr>
          <w:rFonts w:asciiTheme="minorHAnsi" w:eastAsiaTheme="majorEastAsia" w:hAnsiTheme="minorHAnsi" w:cstheme="minorHAnsi"/>
          <w:i/>
          <w:szCs w:val="24"/>
        </w:rPr>
        <w:t xml:space="preserve">Dotaci lze dále použít na financování pouze těch fyzických nebo právnických osob, které poskytují výkony a služby spojené s realizací projektu, a to pouze v souladu s pravidly pro </w:t>
      </w:r>
      <w:r w:rsidRPr="00DC01CA">
        <w:rPr>
          <w:rFonts w:asciiTheme="minorHAnsi" w:eastAsiaTheme="majorEastAsia" w:hAnsiTheme="minorHAnsi" w:cstheme="minorHAnsi"/>
          <w:i/>
          <w:szCs w:val="24"/>
        </w:rPr>
        <w:lastRenderedPageBreak/>
        <w:t>zadávání veřejných zakázek“ a v čl. 8.2., písmeno d) povinné přílohy: “</w:t>
      </w:r>
      <w:r w:rsidRPr="00DC01CA">
        <w:rPr>
          <w:rFonts w:asciiTheme="minorHAnsi" w:eastAsia="Times New Roman" w:hAnsiTheme="minorHAnsi" w:cstheme="minorHAnsi"/>
          <w:i/>
          <w:szCs w:val="24"/>
        </w:rPr>
        <w:t>Seznam případných dalších osob (např. pobočných spolků), jsou-li v době podání žádosti známy, popřípadě označení části projektu, v případě, že projekt bude částečně realizován prostřednictvím dalších osob; u osoby, resp. pobočného spolku musí být uvedeno v jakém rozsahu se bude na projektu hlavního spolku podílet.“</w:t>
      </w:r>
    </w:p>
    <w:p w14:paraId="46FE03E6" w14:textId="77777777" w:rsidR="00A67902" w:rsidRPr="00DC01CA" w:rsidRDefault="00A67902" w:rsidP="00A67902">
      <w:pPr>
        <w:pStyle w:val="Zkladntextodsazen"/>
        <w:spacing w:before="0" w:after="120" w:line="360" w:lineRule="atLeast"/>
        <w:ind w:left="360" w:firstLine="0"/>
        <w:rPr>
          <w:rFonts w:asciiTheme="minorHAnsi" w:eastAsia="Times New Roman" w:hAnsiTheme="minorHAnsi" w:cstheme="minorHAnsi"/>
          <w:szCs w:val="24"/>
        </w:rPr>
      </w:pPr>
      <w:r w:rsidRPr="00DC01CA">
        <w:rPr>
          <w:rFonts w:asciiTheme="minorHAnsi" w:eastAsia="Times New Roman" w:hAnsiTheme="minorHAnsi" w:cstheme="minorHAnsi"/>
          <w:szCs w:val="24"/>
        </w:rPr>
        <w:t>Uvedená změna zohledňuje také změnu § 14 odst. 4 zákona č. 218/2000 Sb., o</w:t>
      </w:r>
      <w:r w:rsidR="00885045" w:rsidRPr="00DC01CA">
        <w:rPr>
          <w:rFonts w:asciiTheme="minorHAnsi" w:eastAsia="Times New Roman" w:hAnsiTheme="minorHAnsi" w:cstheme="minorHAnsi"/>
          <w:szCs w:val="24"/>
        </w:rPr>
        <w:t> </w:t>
      </w:r>
      <w:r w:rsidRPr="00DC01CA">
        <w:rPr>
          <w:rFonts w:asciiTheme="minorHAnsi" w:eastAsia="Times New Roman" w:hAnsiTheme="minorHAnsi" w:cstheme="minorHAnsi"/>
          <w:szCs w:val="24"/>
        </w:rPr>
        <w:t>rozpočtových pravidlech a o změně některých souvisejících zákonů (rozpočtová pravidla), k níž dochází s účinností od 1. 1. 2022 (bude zrušeno ustanovení § 14 odst. 4 písm. i) rozpočtových pravidel, podle kterého může rozhodnutí o poskytnutí dotace obsahovat seznam fyzických a právnických osob placených z prostředků poskytnutých ze státního rozpočtu, na jejichž výběr se nevztahuje zákon o zadávání veřejných zakázek. Důvodová zpráva k zákonu č. 484/2020 Sb. k tomu uvádí, že rozpočtová pravidla nemohou vyloučit aplikaci zákona o zadávání veřejných zakázek, jestliže ze zákona o zadávání veřejných zakázek je povinnost podle něj postupovat).</w:t>
      </w:r>
    </w:p>
    <w:p w14:paraId="19E87150" w14:textId="77777777" w:rsidR="00A67902" w:rsidRPr="00DC01CA" w:rsidRDefault="00A67902" w:rsidP="00A67902">
      <w:pPr>
        <w:spacing w:after="180" w:line="360" w:lineRule="exact"/>
        <w:ind w:left="0"/>
        <w:rPr>
          <w:rFonts w:asciiTheme="minorHAnsi" w:hAnsiTheme="minorHAnsi" w:cstheme="minorHAnsi"/>
          <w:sz w:val="24"/>
          <w:szCs w:val="24"/>
        </w:rPr>
      </w:pPr>
    </w:p>
    <w:p w14:paraId="054FCCFA" w14:textId="77777777" w:rsidR="00275792" w:rsidRPr="00DC01CA" w:rsidRDefault="00275792"/>
    <w:sectPr w:rsidR="00275792" w:rsidRPr="00DC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3905"/>
    <w:multiLevelType w:val="hybridMultilevel"/>
    <w:tmpl w:val="73D06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78AE"/>
    <w:multiLevelType w:val="hybridMultilevel"/>
    <w:tmpl w:val="5478E94E"/>
    <w:lvl w:ilvl="0" w:tplc="F8B275E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CC"/>
    <w:multiLevelType w:val="hybridMultilevel"/>
    <w:tmpl w:val="F6BC2B7A"/>
    <w:lvl w:ilvl="0" w:tplc="DCDC6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14F63"/>
    <w:multiLevelType w:val="hybridMultilevel"/>
    <w:tmpl w:val="A24E0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45F7"/>
    <w:multiLevelType w:val="hybridMultilevel"/>
    <w:tmpl w:val="7AFC9062"/>
    <w:lvl w:ilvl="0" w:tplc="DC321BC6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641ACE"/>
    <w:multiLevelType w:val="hybridMultilevel"/>
    <w:tmpl w:val="FE7CA88A"/>
    <w:lvl w:ilvl="0" w:tplc="DC321BC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E"/>
    <w:rsid w:val="000D56A9"/>
    <w:rsid w:val="000F542E"/>
    <w:rsid w:val="00121EAF"/>
    <w:rsid w:val="00273A35"/>
    <w:rsid w:val="00275792"/>
    <w:rsid w:val="00312721"/>
    <w:rsid w:val="003D3194"/>
    <w:rsid w:val="007B02AC"/>
    <w:rsid w:val="00885045"/>
    <w:rsid w:val="00A67902"/>
    <w:rsid w:val="00AD700E"/>
    <w:rsid w:val="00B33D5B"/>
    <w:rsid w:val="00CD06BC"/>
    <w:rsid w:val="00CE033D"/>
    <w:rsid w:val="00DC01CA"/>
    <w:rsid w:val="00E068AA"/>
    <w:rsid w:val="00F27B68"/>
    <w:rsid w:val="00F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7712"/>
  <w15:chartTrackingRefBased/>
  <w15:docId w15:val="{33542439-A48E-4DEC-A1A0-3BCE6190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42E"/>
    <w:pPr>
      <w:spacing w:before="120" w:after="0" w:line="140" w:lineRule="atLeast"/>
      <w:ind w:left="425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0F542E"/>
    <w:pPr>
      <w:autoSpaceDE w:val="0"/>
      <w:autoSpaceDN w:val="0"/>
      <w:adjustRightInd w:val="0"/>
      <w:spacing w:line="240" w:lineRule="auto"/>
      <w:ind w:left="0" w:firstLine="708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F542E"/>
    <w:rPr>
      <w:rFonts w:ascii="Times New Roman" w:eastAsia="Calibri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0F54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33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D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D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D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D5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D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Knappová Helena</cp:lastModifiedBy>
  <cp:revision>2</cp:revision>
  <dcterms:created xsi:type="dcterms:W3CDTF">2021-10-22T06:22:00Z</dcterms:created>
  <dcterms:modified xsi:type="dcterms:W3CDTF">2021-10-22T06:22:00Z</dcterms:modified>
</cp:coreProperties>
</file>