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1DAF6" w14:textId="0372FA25" w:rsidR="000F08B6" w:rsidRPr="000F08B6" w:rsidRDefault="000F08B6" w:rsidP="000F08B6">
      <w:pPr>
        <w:spacing w:before="360" w:after="720" w:line="24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Příloha č. 10</w:t>
      </w:r>
    </w:p>
    <w:p w14:paraId="6D8DB978" w14:textId="3FDF4A4A" w:rsidR="00CA7D95" w:rsidRPr="00D67F23" w:rsidRDefault="00061357" w:rsidP="00004AEB">
      <w:pPr>
        <w:spacing w:before="360" w:after="720"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D67F23">
        <w:rPr>
          <w:rFonts w:ascii="Calibri" w:hAnsi="Calibri" w:cs="Calibri"/>
          <w:b/>
          <w:sz w:val="36"/>
          <w:szCs w:val="36"/>
        </w:rPr>
        <w:t>PUBLICITA A KOMUNIKACE</w:t>
      </w:r>
      <w:bookmarkStart w:id="0" w:name="_GoBack"/>
      <w:bookmarkEnd w:id="0"/>
    </w:p>
    <w:p w14:paraId="5574AD40" w14:textId="3A5C5F1D" w:rsidR="00ED75E1" w:rsidRPr="00FF1F01" w:rsidRDefault="00ED75E1" w:rsidP="00004AEB">
      <w:pPr>
        <w:pStyle w:val="Nadpis1"/>
        <w:tabs>
          <w:tab w:val="left" w:pos="284"/>
        </w:tabs>
        <w:spacing w:before="960" w:after="480"/>
      </w:pPr>
      <w:r w:rsidRPr="00FF1F01">
        <w:t>1</w:t>
      </w:r>
      <w:r w:rsidR="00FF1F01">
        <w:tab/>
      </w:r>
      <w:r w:rsidRPr="00FF1F01">
        <w:t>Úvod</w:t>
      </w:r>
    </w:p>
    <w:p w14:paraId="085B858A" w14:textId="1B2B8FA0" w:rsidR="003A3F2B" w:rsidRDefault="00CA7D95" w:rsidP="0055777E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</w:pPr>
      <w:r w:rsidRPr="00CA7D95">
        <w:t>T</w:t>
      </w:r>
      <w:r>
        <w:t xml:space="preserve">ato příloha </w:t>
      </w:r>
      <w:r w:rsidR="0051213F">
        <w:rPr>
          <w:i/>
        </w:rPr>
        <w:t>Výzvy</w:t>
      </w:r>
      <w:r w:rsidR="0055777E" w:rsidRPr="0055777E">
        <w:rPr>
          <w:i/>
        </w:rPr>
        <w:t xml:space="preserve"> Ministerstva školství mládeže a tělovýchovy k předkládání žádostí o poskytnutí dotace v rámci Národního plánu obnovy s názvem „Implementace Komponenty 3.1 Národního plánu obnovy“  (dále jen „výzva“) </w:t>
      </w:r>
      <w:r w:rsidRPr="00CA7D95">
        <w:t xml:space="preserve">stanovuje </w:t>
      </w:r>
      <w:r w:rsidR="007A6897">
        <w:t>pravidla</w:t>
      </w:r>
      <w:r w:rsidR="006C28D8">
        <w:t xml:space="preserve"> pro příjemce </w:t>
      </w:r>
      <w:r w:rsidR="00D67F23">
        <w:t xml:space="preserve">v </w:t>
      </w:r>
      <w:r w:rsidRPr="00CA7D95">
        <w:t>oblast</w:t>
      </w:r>
      <w:r w:rsidR="00D67F23">
        <w:t>i</w:t>
      </w:r>
      <w:r w:rsidRPr="00CA7D95">
        <w:t xml:space="preserve"> publicity a komunikace Národního plánu </w:t>
      </w:r>
      <w:r w:rsidRPr="00266A8E">
        <w:rPr>
          <w:rFonts w:ascii="Calibri" w:eastAsia="MS Mincho" w:hAnsi="Calibri" w:cs="Arial"/>
          <w:lang w:eastAsia="cs-CZ"/>
        </w:rPr>
        <w:t>obnovy</w:t>
      </w:r>
      <w:r w:rsidRPr="00CA7D95">
        <w:t xml:space="preserve"> </w:t>
      </w:r>
      <w:r w:rsidR="000212D9" w:rsidRPr="000212D9">
        <w:t>na období 2021</w:t>
      </w:r>
      <w:r w:rsidR="00D67F23">
        <w:noBreakHyphen/>
      </w:r>
      <w:r w:rsidR="000212D9" w:rsidRPr="000212D9">
        <w:t>2026.</w:t>
      </w:r>
    </w:p>
    <w:p w14:paraId="02782EE6" w14:textId="067BB9FD" w:rsidR="000225FA" w:rsidRDefault="000225FA" w:rsidP="00266A8E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</w:pPr>
      <w:r w:rsidRPr="00266A8E">
        <w:rPr>
          <w:rFonts w:ascii="Calibri" w:eastAsia="MS Mincho" w:hAnsi="Calibri" w:cs="Arial"/>
          <w:lang w:eastAsia="cs-CZ"/>
        </w:rPr>
        <w:t>Příjemci</w:t>
      </w:r>
      <w:r>
        <w:t xml:space="preserve"> jsou povinni přenést povinnosti uvedené </w:t>
      </w:r>
      <w:r w:rsidR="00B74A4B">
        <w:t>níže</w:t>
      </w:r>
      <w:r>
        <w:t xml:space="preserve"> </w:t>
      </w:r>
      <w:r w:rsidR="00B74A4B">
        <w:t>i na další subjekty, které se podílejí na realizaci projektu</w:t>
      </w:r>
      <w:r w:rsidR="00B74A4B">
        <w:rPr>
          <w:rStyle w:val="Znakapoznpodarou"/>
        </w:rPr>
        <w:footnoteReference w:id="1"/>
      </w:r>
      <w:r w:rsidR="00B74A4B">
        <w:t>.</w:t>
      </w:r>
    </w:p>
    <w:p w14:paraId="539ACC3E" w14:textId="7072F9CE" w:rsidR="004574C5" w:rsidRDefault="004574C5" w:rsidP="00266A8E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</w:pPr>
      <w:r w:rsidRPr="004574C5">
        <w:t>Nástroje povinné publicity</w:t>
      </w:r>
      <w:r w:rsidR="0066195E">
        <w:t xml:space="preserve"> uvedené níže</w:t>
      </w:r>
      <w:r w:rsidRPr="004574C5">
        <w:t xml:space="preserve"> je nezbytné umístit </w:t>
      </w:r>
      <w:r w:rsidRPr="004574C5">
        <w:rPr>
          <w:bCs/>
        </w:rPr>
        <w:t>bezprostředně po zahájení prací na</w:t>
      </w:r>
      <w:r w:rsidR="001C7629">
        <w:rPr>
          <w:bCs/>
        </w:rPr>
        <w:t> </w:t>
      </w:r>
      <w:r w:rsidRPr="004574C5">
        <w:rPr>
          <w:bCs/>
        </w:rPr>
        <w:t>projektu a zachovat je umístěné</w:t>
      </w:r>
      <w:r w:rsidR="00A95CFD">
        <w:rPr>
          <w:bCs/>
        </w:rPr>
        <w:t xml:space="preserve"> (v níže požadovaných formách)</w:t>
      </w:r>
      <w:r w:rsidRPr="004574C5">
        <w:rPr>
          <w:bCs/>
        </w:rPr>
        <w:t xml:space="preserve"> až do skončení projektu</w:t>
      </w:r>
      <w:r w:rsidRPr="004574C5">
        <w:t xml:space="preserve"> specifikované ve výzvě. O</w:t>
      </w:r>
      <w:r w:rsidR="001C7629">
        <w:t> </w:t>
      </w:r>
      <w:r w:rsidRPr="004574C5">
        <w:t>plnění dané povinnosti příjemce informuje prostřednictvím</w:t>
      </w:r>
      <w:r w:rsidR="0055777E">
        <w:t xml:space="preserve"> zpráv o realizaci. </w:t>
      </w:r>
    </w:p>
    <w:p w14:paraId="37F91D0A" w14:textId="62644B12" w:rsidR="007F0930" w:rsidRDefault="007F0930" w:rsidP="00004AEB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cstheme="minorHAnsi"/>
        </w:rPr>
      </w:pPr>
      <w:r>
        <w:rPr>
          <w:color w:val="000000" w:themeColor="text1"/>
        </w:rPr>
        <w:t xml:space="preserve">Pravidla uvedená v této příloze se mohou měnit v závislosti na aktuálních požadavcích Evropské komise, </w:t>
      </w:r>
      <w:r w:rsidR="00A532F8" w:rsidRPr="00A532F8">
        <w:rPr>
          <w:color w:val="000000" w:themeColor="text1"/>
        </w:rPr>
        <w:t xml:space="preserve">odboru Koordinace Národního plánu obnovy Ministerstva průmyslu a obchodu (MPO-DU) </w:t>
      </w:r>
      <w:r>
        <w:rPr>
          <w:color w:val="000000" w:themeColor="text1"/>
        </w:rPr>
        <w:t>a</w:t>
      </w:r>
      <w:r w:rsidR="00A532F8">
        <w:rPr>
          <w:color w:val="000000" w:themeColor="text1"/>
        </w:rPr>
        <w:t> </w:t>
      </w:r>
      <w:r w:rsidR="000225FA">
        <w:rPr>
          <w:color w:val="000000" w:themeColor="text1"/>
        </w:rPr>
        <w:t>M</w:t>
      </w:r>
      <w:r>
        <w:rPr>
          <w:color w:val="000000" w:themeColor="text1"/>
        </w:rPr>
        <w:t>inisterstva</w:t>
      </w:r>
      <w:r w:rsidR="000225FA">
        <w:rPr>
          <w:color w:val="000000" w:themeColor="text1"/>
        </w:rPr>
        <w:t xml:space="preserve"> školství, mládeže a tělovýchovy (MŠMT)</w:t>
      </w:r>
      <w:r>
        <w:rPr>
          <w:color w:val="000000" w:themeColor="text1"/>
        </w:rPr>
        <w:t>.</w:t>
      </w:r>
    </w:p>
    <w:p w14:paraId="7C8762CA" w14:textId="28D22822" w:rsidR="00ED75E1" w:rsidRDefault="00ED75E1" w:rsidP="00004AEB">
      <w:pPr>
        <w:pStyle w:val="Nadpis1"/>
        <w:tabs>
          <w:tab w:val="left" w:pos="284"/>
        </w:tabs>
        <w:spacing w:before="720" w:after="480"/>
      </w:pPr>
      <w:r w:rsidRPr="00FF1F01">
        <w:t>2</w:t>
      </w:r>
      <w:r w:rsidR="00D67F23">
        <w:tab/>
      </w:r>
      <w:r w:rsidRPr="00FF1F01">
        <w:t>Užití loga</w:t>
      </w:r>
    </w:p>
    <w:p w14:paraId="5610E7E4" w14:textId="732FB357" w:rsidR="0086263C" w:rsidRDefault="0055777E" w:rsidP="0005208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MS Mincho" w:hAnsi="Calibri" w:cs="Arial"/>
          <w:lang w:eastAsia="cs-CZ"/>
        </w:rPr>
      </w:pPr>
      <w:r>
        <w:rPr>
          <w:rFonts w:ascii="Calibri" w:eastAsia="MS Mincho" w:hAnsi="Calibri" w:cs="Arial"/>
          <w:lang w:eastAsia="cs-CZ"/>
        </w:rPr>
        <w:t>P</w:t>
      </w:r>
      <w:r w:rsidR="00745838" w:rsidRPr="00745838">
        <w:rPr>
          <w:rFonts w:ascii="Calibri" w:eastAsia="MS Mincho" w:hAnsi="Calibri" w:cs="Arial"/>
          <w:lang w:eastAsia="cs-CZ"/>
        </w:rPr>
        <w:t xml:space="preserve">říjemce musí ve všech </w:t>
      </w:r>
      <w:r w:rsidR="006059FF">
        <w:rPr>
          <w:rFonts w:ascii="Calibri" w:eastAsia="MS Mincho" w:hAnsi="Calibri" w:cs="Arial"/>
          <w:lang w:eastAsia="cs-CZ"/>
        </w:rPr>
        <w:t xml:space="preserve">informačních a </w:t>
      </w:r>
      <w:r w:rsidR="00745838" w:rsidRPr="00745838">
        <w:rPr>
          <w:rFonts w:ascii="Calibri" w:eastAsia="MS Mincho" w:hAnsi="Calibri" w:cs="Arial"/>
          <w:lang w:eastAsia="cs-CZ"/>
        </w:rPr>
        <w:t xml:space="preserve">komunikačních činnostech dodržovat pravidla jednotné publicity stanovené </w:t>
      </w:r>
      <w:r w:rsidR="0086263C">
        <w:rPr>
          <w:rFonts w:ascii="Calibri" w:eastAsia="MS Mincho" w:hAnsi="Calibri" w:cs="Arial"/>
          <w:lang w:eastAsia="cs-CZ"/>
        </w:rPr>
        <w:t>Komisí</w:t>
      </w:r>
      <w:r w:rsidR="00745838" w:rsidRPr="00745838">
        <w:rPr>
          <w:rFonts w:ascii="Calibri" w:eastAsia="MS Mincho" w:hAnsi="Calibri" w:cs="Arial"/>
          <w:lang w:eastAsia="cs-CZ"/>
        </w:rPr>
        <w:t xml:space="preserve"> pro práci s prostředky </w:t>
      </w:r>
      <w:r w:rsidR="000D2326">
        <w:rPr>
          <w:rFonts w:ascii="Calibri" w:eastAsia="MS Mincho" w:hAnsi="Calibri" w:cs="Arial"/>
          <w:lang w:eastAsia="cs-CZ"/>
        </w:rPr>
        <w:t>z</w:t>
      </w:r>
      <w:r w:rsidR="0086263C" w:rsidRPr="0086263C">
        <w:t xml:space="preserve"> </w:t>
      </w:r>
      <w:bookmarkStart w:id="1" w:name="_Hlk86744278"/>
      <w:r w:rsidR="0086263C" w:rsidRPr="0086263C">
        <w:rPr>
          <w:rFonts w:ascii="Calibri" w:eastAsia="MS Mincho" w:hAnsi="Calibri" w:cs="Arial"/>
          <w:lang w:eastAsia="cs-CZ"/>
        </w:rPr>
        <w:t>Nástroj</w:t>
      </w:r>
      <w:r w:rsidR="0086263C">
        <w:rPr>
          <w:rFonts w:ascii="Calibri" w:eastAsia="MS Mincho" w:hAnsi="Calibri" w:cs="Arial"/>
          <w:lang w:eastAsia="cs-CZ"/>
        </w:rPr>
        <w:t>e</w:t>
      </w:r>
      <w:r w:rsidR="0086263C" w:rsidRPr="0086263C">
        <w:rPr>
          <w:rFonts w:ascii="Calibri" w:eastAsia="MS Mincho" w:hAnsi="Calibri" w:cs="Arial"/>
          <w:lang w:eastAsia="cs-CZ"/>
        </w:rPr>
        <w:t xml:space="preserve"> pro oživení a odolnost</w:t>
      </w:r>
      <w:r w:rsidR="000D2326">
        <w:rPr>
          <w:rFonts w:ascii="Calibri" w:eastAsia="MS Mincho" w:hAnsi="Calibri" w:cs="Arial"/>
          <w:lang w:eastAsia="cs-CZ"/>
        </w:rPr>
        <w:t xml:space="preserve"> </w:t>
      </w:r>
      <w:r w:rsidR="0086263C">
        <w:rPr>
          <w:rFonts w:ascii="Calibri" w:eastAsia="MS Mincho" w:hAnsi="Calibri" w:cs="Arial"/>
          <w:lang w:eastAsia="cs-CZ"/>
        </w:rPr>
        <w:t>(</w:t>
      </w:r>
      <w:r w:rsidR="005534DB">
        <w:t>Recovery and Resilience Facility</w:t>
      </w:r>
      <w:r w:rsidR="0086263C">
        <w:rPr>
          <w:rFonts w:ascii="Calibri" w:eastAsia="MS Mincho" w:hAnsi="Calibri" w:cs="Arial"/>
          <w:lang w:eastAsia="cs-CZ"/>
        </w:rPr>
        <w:t xml:space="preserve">, </w:t>
      </w:r>
      <w:r w:rsidR="000D2326">
        <w:rPr>
          <w:rFonts w:ascii="Calibri" w:eastAsia="MS Mincho" w:hAnsi="Calibri" w:cs="Arial"/>
          <w:lang w:eastAsia="cs-CZ"/>
        </w:rPr>
        <w:t>dále jen „RRF“)</w:t>
      </w:r>
      <w:r w:rsidR="0086263C">
        <w:rPr>
          <w:rFonts w:ascii="Calibri" w:eastAsia="MS Mincho" w:hAnsi="Calibri" w:cs="Arial"/>
          <w:lang w:eastAsia="cs-CZ"/>
        </w:rPr>
        <w:t xml:space="preserve"> </w:t>
      </w:r>
      <w:bookmarkEnd w:id="1"/>
      <w:r w:rsidR="00745838" w:rsidRPr="00745838">
        <w:rPr>
          <w:rFonts w:ascii="Calibri" w:eastAsia="MS Mincho" w:hAnsi="Calibri" w:cs="Arial"/>
          <w:lang w:eastAsia="cs-CZ"/>
        </w:rPr>
        <w:t>dle čl</w:t>
      </w:r>
      <w:r w:rsidR="00595E65">
        <w:rPr>
          <w:rFonts w:ascii="Calibri" w:eastAsia="MS Mincho" w:hAnsi="Calibri" w:cs="Arial"/>
          <w:lang w:eastAsia="cs-CZ"/>
        </w:rPr>
        <w:t>ánku</w:t>
      </w:r>
      <w:r w:rsidR="00745838" w:rsidRPr="00745838">
        <w:rPr>
          <w:rFonts w:ascii="Calibri" w:eastAsia="MS Mincho" w:hAnsi="Calibri" w:cs="Arial"/>
          <w:lang w:eastAsia="cs-CZ"/>
        </w:rPr>
        <w:t xml:space="preserve"> 34 </w:t>
      </w:r>
      <w:r w:rsidR="0086263C" w:rsidRPr="0086263C">
        <w:rPr>
          <w:rFonts w:ascii="Calibri" w:eastAsia="MS Mincho" w:hAnsi="Calibri" w:cs="Arial"/>
          <w:lang w:eastAsia="cs-CZ"/>
        </w:rPr>
        <w:t>Nařízení Evropského Parlamentu a Rady (EU) 2021/241 ze dne 12. února 2021, kterým se zřizuje Nástroj pro oživení a odolnost</w:t>
      </w:r>
      <w:r w:rsidR="0086263C">
        <w:rPr>
          <w:rFonts w:ascii="Calibri" w:eastAsia="MS Mincho" w:hAnsi="Calibri" w:cs="Arial"/>
          <w:lang w:eastAsia="cs-CZ"/>
        </w:rPr>
        <w:t>. Dle tohoto článku uvádějí „</w:t>
      </w:r>
      <w:r w:rsidR="0086263C" w:rsidRPr="0086263C">
        <w:rPr>
          <w:rFonts w:ascii="Calibri" w:eastAsia="MS Mincho" w:hAnsi="Calibri" w:cs="Arial"/>
          <w:i/>
          <w:lang w:eastAsia="cs-CZ"/>
        </w:rPr>
        <w:t xml:space="preserve">příjemci finančních prostředků Unie původ těchto prostředků a zajišťují jejich viditelnost, případně i vyobrazením loga Unie a uvedením vhodného prohlášení o financování ve znění „financováno Evropskou unií – </w:t>
      </w:r>
      <w:proofErr w:type="spellStart"/>
      <w:r w:rsidR="0086263C" w:rsidRPr="0086263C">
        <w:rPr>
          <w:rFonts w:ascii="Calibri" w:eastAsia="MS Mincho" w:hAnsi="Calibri" w:cs="Arial"/>
          <w:i/>
          <w:lang w:eastAsia="cs-CZ"/>
        </w:rPr>
        <w:t>Next</w:t>
      </w:r>
      <w:proofErr w:type="spellEnd"/>
      <w:r w:rsidR="0086263C" w:rsidRPr="0086263C">
        <w:rPr>
          <w:rFonts w:ascii="Calibri" w:eastAsia="MS Mincho" w:hAnsi="Calibri" w:cs="Arial"/>
          <w:i/>
          <w:lang w:eastAsia="cs-CZ"/>
        </w:rPr>
        <w:t xml:space="preserve"> </w:t>
      </w:r>
      <w:proofErr w:type="spellStart"/>
      <w:r w:rsidR="0086263C" w:rsidRPr="0086263C">
        <w:rPr>
          <w:rFonts w:ascii="Calibri" w:eastAsia="MS Mincho" w:hAnsi="Calibri" w:cs="Arial"/>
          <w:i/>
          <w:lang w:eastAsia="cs-CZ"/>
        </w:rPr>
        <w:t>Generation</w:t>
      </w:r>
      <w:proofErr w:type="spellEnd"/>
      <w:r w:rsidR="0086263C" w:rsidRPr="0086263C">
        <w:rPr>
          <w:rFonts w:ascii="Calibri" w:eastAsia="MS Mincho" w:hAnsi="Calibri" w:cs="Arial"/>
          <w:i/>
          <w:lang w:eastAsia="cs-CZ"/>
        </w:rPr>
        <w:t xml:space="preserve"> EU“, zejména při propagaci akcí a jejich výsledků, tím, že poskytují, ucelené, účinné a přiměřené informace různým cílovým skupinám, včetně sdělovacích prostředků a veřejnosti</w:t>
      </w:r>
      <w:r w:rsidR="0086263C" w:rsidRPr="0086263C">
        <w:rPr>
          <w:rFonts w:ascii="Calibri" w:eastAsia="MS Mincho" w:hAnsi="Calibri" w:cs="Arial"/>
          <w:lang w:eastAsia="cs-CZ"/>
        </w:rPr>
        <w:t>“.</w:t>
      </w:r>
    </w:p>
    <w:p w14:paraId="2895BF49" w14:textId="45CA8792" w:rsidR="00BA75A4" w:rsidRPr="007B76C3" w:rsidRDefault="0086263C" w:rsidP="007B76C3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Calibri" w:eastAsia="MS Mincho" w:hAnsi="Calibri" w:cs="Arial"/>
          <w:b/>
          <w:lang w:eastAsia="cs-CZ"/>
        </w:rPr>
      </w:pPr>
      <w:r>
        <w:rPr>
          <w:rFonts w:ascii="Calibri" w:eastAsia="MS Mincho" w:hAnsi="Calibri" w:cs="Arial"/>
          <w:lang w:eastAsia="cs-CZ"/>
        </w:rPr>
        <w:t xml:space="preserve">Příjemci </w:t>
      </w:r>
      <w:r w:rsidR="00745838" w:rsidRPr="00745838">
        <w:rPr>
          <w:rFonts w:ascii="Calibri" w:eastAsia="MS Mincho" w:hAnsi="Calibri" w:cs="Arial"/>
          <w:lang w:eastAsia="cs-CZ"/>
        </w:rPr>
        <w:t>v závislosti na charakteru aktivit</w:t>
      </w:r>
      <w:r>
        <w:rPr>
          <w:rFonts w:ascii="Calibri" w:eastAsia="MS Mincho" w:hAnsi="Calibri" w:cs="Arial"/>
          <w:lang w:eastAsia="cs-CZ"/>
        </w:rPr>
        <w:t xml:space="preserve"> </w:t>
      </w:r>
      <w:r w:rsidR="00136626">
        <w:rPr>
          <w:rFonts w:ascii="Calibri" w:eastAsia="MS Mincho" w:hAnsi="Calibri" w:cs="Arial"/>
          <w:lang w:eastAsia="cs-CZ"/>
        </w:rPr>
        <w:t>zajistí</w:t>
      </w:r>
      <w:r w:rsidR="00745838" w:rsidRPr="00745838">
        <w:rPr>
          <w:rFonts w:ascii="Calibri" w:eastAsia="MS Mincho" w:hAnsi="Calibri" w:cs="Arial"/>
          <w:lang w:eastAsia="cs-CZ"/>
        </w:rPr>
        <w:t xml:space="preserve"> viditelné označení financování </w:t>
      </w:r>
      <w:r w:rsidR="00B41E15">
        <w:rPr>
          <w:rFonts w:ascii="Calibri" w:eastAsia="MS Mincho" w:hAnsi="Calibri" w:cs="Arial"/>
          <w:lang w:eastAsia="cs-CZ"/>
        </w:rPr>
        <w:t>z</w:t>
      </w:r>
      <w:r>
        <w:rPr>
          <w:rFonts w:ascii="Calibri" w:eastAsia="MS Mincho" w:hAnsi="Calibri" w:cs="Arial"/>
          <w:lang w:eastAsia="cs-CZ"/>
        </w:rPr>
        <w:t xml:space="preserve"> </w:t>
      </w:r>
      <w:r w:rsidR="00745838" w:rsidRPr="00745838">
        <w:rPr>
          <w:rFonts w:ascii="Calibri" w:eastAsia="MS Mincho" w:hAnsi="Calibri" w:cs="Arial"/>
          <w:lang w:eastAsia="cs-CZ"/>
        </w:rPr>
        <w:t xml:space="preserve">prostředků </w:t>
      </w:r>
      <w:r w:rsidR="00136626">
        <w:rPr>
          <w:rFonts w:ascii="Calibri" w:eastAsia="MS Mincho" w:hAnsi="Calibri" w:cs="Arial"/>
          <w:lang w:eastAsia="cs-CZ"/>
        </w:rPr>
        <w:t xml:space="preserve">Unie. </w:t>
      </w:r>
      <w:r w:rsidR="00136626" w:rsidRPr="00660026">
        <w:rPr>
          <w:rFonts w:ascii="Calibri" w:eastAsia="MS Mincho" w:hAnsi="Calibri" w:cs="Arial"/>
          <w:b/>
          <w:lang w:eastAsia="cs-CZ"/>
        </w:rPr>
        <w:t>Pro</w:t>
      </w:r>
      <w:r w:rsidR="00B41E15" w:rsidRPr="00660026">
        <w:rPr>
          <w:rFonts w:ascii="Calibri" w:eastAsia="MS Mincho" w:hAnsi="Calibri" w:cs="Arial"/>
          <w:b/>
          <w:lang w:eastAsia="cs-CZ"/>
        </w:rPr>
        <w:t> </w:t>
      </w:r>
      <w:r w:rsidR="00136626" w:rsidRPr="00660026">
        <w:rPr>
          <w:rFonts w:ascii="Calibri" w:eastAsia="MS Mincho" w:hAnsi="Calibri" w:cs="Arial"/>
          <w:b/>
          <w:lang w:eastAsia="cs-CZ"/>
        </w:rPr>
        <w:t xml:space="preserve">tyto účely budou </w:t>
      </w:r>
      <w:r w:rsidR="00455EBE" w:rsidRPr="00660026">
        <w:rPr>
          <w:rFonts w:ascii="Calibri" w:eastAsia="MS Mincho" w:hAnsi="Calibri" w:cs="Arial"/>
          <w:b/>
          <w:lang w:eastAsia="cs-CZ"/>
        </w:rPr>
        <w:t xml:space="preserve">příjemci </w:t>
      </w:r>
      <w:r w:rsidR="00136626" w:rsidRPr="00660026">
        <w:rPr>
          <w:rFonts w:ascii="Calibri" w:eastAsia="MS Mincho" w:hAnsi="Calibri" w:cs="Arial"/>
          <w:b/>
          <w:lang w:eastAsia="cs-CZ"/>
        </w:rPr>
        <w:t>využívat zejména jednotn</w:t>
      </w:r>
      <w:r w:rsidR="00BA75A4" w:rsidRPr="00660026">
        <w:rPr>
          <w:rFonts w:ascii="Calibri" w:eastAsia="MS Mincho" w:hAnsi="Calibri" w:cs="Arial"/>
          <w:b/>
          <w:lang w:eastAsia="cs-CZ"/>
        </w:rPr>
        <w:t>á loga (viz obrázek níže) a budou se řídit grafickými</w:t>
      </w:r>
      <w:r w:rsidR="00660026">
        <w:rPr>
          <w:rFonts w:ascii="Calibri" w:eastAsia="MS Mincho" w:hAnsi="Calibri" w:cs="Arial"/>
          <w:b/>
          <w:lang w:eastAsia="cs-CZ"/>
        </w:rPr>
        <w:t> </w:t>
      </w:r>
      <w:r w:rsidR="00BA75A4" w:rsidRPr="00660026">
        <w:rPr>
          <w:rFonts w:ascii="Calibri" w:eastAsia="MS Mincho" w:hAnsi="Calibri" w:cs="Arial"/>
          <w:b/>
          <w:lang w:eastAsia="cs-CZ"/>
        </w:rPr>
        <w:t>normami</w:t>
      </w:r>
      <w:r w:rsidR="00660026">
        <w:rPr>
          <w:rFonts w:ascii="Calibri" w:eastAsia="MS Mincho" w:hAnsi="Calibri" w:cs="Arial"/>
          <w:b/>
          <w:lang w:eastAsia="cs-CZ"/>
        </w:rPr>
        <w:t> </w:t>
      </w:r>
      <w:r w:rsidR="00BA75A4" w:rsidRPr="00660026">
        <w:rPr>
          <w:rFonts w:ascii="Calibri" w:eastAsia="MS Mincho" w:hAnsi="Calibri" w:cs="Arial"/>
          <w:b/>
          <w:lang w:eastAsia="cs-CZ"/>
        </w:rPr>
        <w:t>a</w:t>
      </w:r>
      <w:r w:rsidR="00660026">
        <w:rPr>
          <w:rFonts w:ascii="Calibri" w:eastAsia="MS Mincho" w:hAnsi="Calibri" w:cs="Arial"/>
          <w:b/>
          <w:lang w:eastAsia="cs-CZ"/>
        </w:rPr>
        <w:t> </w:t>
      </w:r>
      <w:r w:rsidR="00BA75A4" w:rsidRPr="00660026">
        <w:rPr>
          <w:rFonts w:ascii="Calibri" w:eastAsia="MS Mincho" w:hAnsi="Calibri" w:cs="Arial"/>
          <w:b/>
          <w:lang w:eastAsia="cs-CZ"/>
        </w:rPr>
        <w:t>pokyny</w:t>
      </w:r>
      <w:r w:rsidR="00660026">
        <w:rPr>
          <w:rFonts w:ascii="Calibri" w:eastAsia="MS Mincho" w:hAnsi="Calibri" w:cs="Arial"/>
          <w:b/>
          <w:lang w:eastAsia="cs-CZ"/>
        </w:rPr>
        <w:t> </w:t>
      </w:r>
      <w:r w:rsidR="00BA75A4" w:rsidRPr="00660026">
        <w:rPr>
          <w:rFonts w:ascii="Calibri" w:eastAsia="MS Mincho" w:hAnsi="Calibri" w:cs="Arial"/>
          <w:b/>
          <w:lang w:eastAsia="cs-CZ"/>
        </w:rPr>
        <w:t>uvedenými</w:t>
      </w:r>
      <w:r w:rsidR="00660026">
        <w:rPr>
          <w:rFonts w:ascii="Calibri" w:eastAsia="MS Mincho" w:hAnsi="Calibri" w:cs="Arial"/>
          <w:b/>
          <w:lang w:eastAsia="cs-CZ"/>
        </w:rPr>
        <w:t> </w:t>
      </w:r>
      <w:r w:rsidR="00BA75A4" w:rsidRPr="00660026">
        <w:rPr>
          <w:rFonts w:ascii="Calibri" w:eastAsia="MS Mincho" w:hAnsi="Calibri" w:cs="Arial"/>
          <w:b/>
          <w:lang w:eastAsia="cs-CZ"/>
        </w:rPr>
        <w:t>pod</w:t>
      </w:r>
      <w:r w:rsidR="00660026">
        <w:rPr>
          <w:rFonts w:ascii="Calibri" w:eastAsia="MS Mincho" w:hAnsi="Calibri" w:cs="Arial"/>
          <w:b/>
          <w:lang w:eastAsia="cs-CZ"/>
        </w:rPr>
        <w:t> </w:t>
      </w:r>
      <w:r w:rsidR="00BA75A4" w:rsidRPr="00660026">
        <w:rPr>
          <w:rFonts w:ascii="Calibri" w:eastAsia="MS Mincho" w:hAnsi="Calibri" w:cs="Arial"/>
          <w:b/>
          <w:lang w:eastAsia="cs-CZ"/>
        </w:rPr>
        <w:t>tímto</w:t>
      </w:r>
      <w:r w:rsidR="00660026">
        <w:rPr>
          <w:rFonts w:ascii="Calibri" w:eastAsia="MS Mincho" w:hAnsi="Calibri" w:cs="Arial"/>
          <w:b/>
          <w:lang w:eastAsia="cs-CZ"/>
        </w:rPr>
        <w:t> </w:t>
      </w:r>
      <w:r w:rsidR="00BA75A4" w:rsidRPr="00660026">
        <w:rPr>
          <w:rFonts w:ascii="Calibri" w:eastAsia="MS Mincho" w:hAnsi="Calibri" w:cs="Arial"/>
          <w:b/>
          <w:lang w:eastAsia="cs-CZ"/>
        </w:rPr>
        <w:t>odkazem:</w:t>
      </w:r>
      <w:r w:rsidR="00BA75A4" w:rsidRPr="00660026">
        <w:rPr>
          <w:rFonts w:ascii="Calibri" w:eastAsia="MS Mincho" w:hAnsi="Calibri" w:cs="Arial"/>
          <w:b/>
          <w:lang w:eastAsia="cs-CZ"/>
        </w:rPr>
        <w:br/>
      </w:r>
      <w:hyperlink r:id="rId11" w:history="1">
        <w:r w:rsidR="00BA75A4" w:rsidRPr="00660026">
          <w:rPr>
            <w:rStyle w:val="Hypertextovodkaz"/>
            <w:rFonts w:eastAsia="Times New Roman" w:cstheme="minorHAnsi"/>
            <w:b/>
            <w:lang w:eastAsia="cs-CZ"/>
          </w:rPr>
          <w:t>https://ec.europa.eu/regional_policy/en/information/logos_downloadcenter/</w:t>
        </w:r>
      </w:hyperlink>
      <w:r w:rsidR="00BA75A4" w:rsidRPr="00660026">
        <w:rPr>
          <w:rFonts w:eastAsia="Times New Roman" w:cstheme="minorHAnsi"/>
          <w:b/>
          <w:lang w:eastAsia="cs-CZ"/>
        </w:rPr>
        <w:t>.</w:t>
      </w:r>
    </w:p>
    <w:p w14:paraId="36FA2203" w14:textId="5D20872C" w:rsidR="00BA75A4" w:rsidRPr="00BA75A4" w:rsidRDefault="00BA75A4" w:rsidP="00004AEB">
      <w:pPr>
        <w:keepNext/>
        <w:spacing w:before="480" w:after="12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 w:rsidRPr="00BA75A4">
        <w:rPr>
          <w:rFonts w:eastAsia="Times New Roman" w:cstheme="minorHAnsi"/>
          <w:b/>
          <w:sz w:val="20"/>
          <w:szCs w:val="20"/>
          <w:lang w:eastAsia="cs-CZ"/>
        </w:rPr>
        <w:lastRenderedPageBreak/>
        <w:t xml:space="preserve">Obrázek </w:t>
      </w:r>
      <w:r w:rsidRPr="00BA75A4">
        <w:rPr>
          <w:rFonts w:eastAsia="Times New Roman" w:cstheme="minorHAnsi"/>
          <w:b/>
          <w:sz w:val="20"/>
          <w:szCs w:val="20"/>
          <w:lang w:eastAsia="cs-CZ"/>
        </w:rPr>
        <w:fldChar w:fldCharType="begin"/>
      </w:r>
      <w:r w:rsidRPr="00BA75A4">
        <w:rPr>
          <w:rFonts w:eastAsia="Times New Roman" w:cstheme="minorHAnsi"/>
          <w:b/>
          <w:sz w:val="20"/>
          <w:szCs w:val="20"/>
          <w:lang w:eastAsia="cs-CZ"/>
        </w:rPr>
        <w:instrText xml:space="preserve"> SEQ Obrázek \* ARABIC </w:instrText>
      </w:r>
      <w:r w:rsidRPr="00BA75A4">
        <w:rPr>
          <w:rFonts w:eastAsia="Times New Roman" w:cstheme="minorHAnsi"/>
          <w:b/>
          <w:sz w:val="20"/>
          <w:szCs w:val="20"/>
          <w:lang w:eastAsia="cs-CZ"/>
        </w:rPr>
        <w:fldChar w:fldCharType="separate"/>
      </w:r>
      <w:r w:rsidR="00660026">
        <w:rPr>
          <w:rFonts w:eastAsia="Times New Roman" w:cstheme="minorHAnsi"/>
          <w:b/>
          <w:noProof/>
          <w:sz w:val="20"/>
          <w:szCs w:val="20"/>
          <w:lang w:eastAsia="cs-CZ"/>
        </w:rPr>
        <w:t>1</w:t>
      </w:r>
      <w:r w:rsidRPr="00BA75A4">
        <w:rPr>
          <w:rFonts w:eastAsia="Times New Roman" w:cstheme="minorHAnsi"/>
          <w:b/>
          <w:sz w:val="20"/>
          <w:szCs w:val="20"/>
          <w:lang w:eastAsia="cs-CZ"/>
        </w:rPr>
        <w:fldChar w:fldCharType="end"/>
      </w:r>
      <w:r w:rsidRPr="00BA75A4">
        <w:rPr>
          <w:rFonts w:eastAsia="Times New Roman" w:cstheme="minorHAnsi"/>
          <w:b/>
          <w:sz w:val="20"/>
          <w:szCs w:val="20"/>
          <w:lang w:eastAsia="cs-CZ"/>
        </w:rPr>
        <w:t>: Logo Evropské komise k RRF</w:t>
      </w:r>
    </w:p>
    <w:p w14:paraId="34E8B4C9" w14:textId="77777777" w:rsidR="00BA75A4" w:rsidRDefault="00BA75A4" w:rsidP="00004AEB">
      <w:pPr>
        <w:spacing w:after="840" w:line="240" w:lineRule="auto"/>
        <w:jc w:val="both"/>
      </w:pPr>
      <w:r w:rsidRPr="001D5C54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7E27B61C" wp14:editId="54823A0B">
            <wp:extent cx="5731510" cy="1533274"/>
            <wp:effectExtent l="0" t="0" r="254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A261B" w14:textId="3CA0EB26" w:rsidR="001D5C54" w:rsidRDefault="00EA0783" w:rsidP="007B76C3">
      <w:pPr>
        <w:spacing w:before="480" w:after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Kromě loga Evropské komise k RRF budou příjemci při informačních a komunikačních činnostech využívat logo </w:t>
      </w:r>
      <w:r w:rsidR="00390E4D">
        <w:rPr>
          <w:rFonts w:cstheme="minorHAnsi"/>
        </w:rPr>
        <w:t>MŠMT</w:t>
      </w:r>
      <w:r>
        <w:rPr>
          <w:rFonts w:cstheme="minorHAnsi"/>
        </w:rPr>
        <w:t xml:space="preserve">. Při využívání loga ministerstva budou příjemci dodržovat grafický manuál dostupný pod tímto odkazem: </w:t>
      </w:r>
      <w:hyperlink r:id="rId13" w:history="1">
        <w:r w:rsidRPr="00ED2389">
          <w:rPr>
            <w:rStyle w:val="Hypertextovodkaz"/>
            <w:rFonts w:cstheme="minorHAnsi"/>
          </w:rPr>
          <w:t>https://www.msmt.cz/ministerstvo/novinar/logo-msmt</w:t>
        </w:r>
      </w:hyperlink>
      <w:r>
        <w:rPr>
          <w:rFonts w:cstheme="minorHAnsi"/>
        </w:rPr>
        <w:t>.</w:t>
      </w:r>
    </w:p>
    <w:p w14:paraId="52D9FF5B" w14:textId="27C00A17" w:rsidR="001D5C54" w:rsidRPr="001D5C54" w:rsidRDefault="00BA75A4" w:rsidP="007B76C3">
      <w:pPr>
        <w:keepNext/>
        <w:spacing w:before="240" w:after="60" w:line="240" w:lineRule="auto"/>
        <w:jc w:val="both"/>
        <w:rPr>
          <w:rFonts w:cstheme="minorHAnsi"/>
        </w:rPr>
      </w:pPr>
      <w:r>
        <w:rPr>
          <w:rFonts w:cstheme="minorHAnsi"/>
        </w:rPr>
        <w:t>Příjemci budou dodržovat o</w:t>
      </w:r>
      <w:r w:rsidR="001D5C54" w:rsidRPr="001D5C54">
        <w:rPr>
          <w:rFonts w:cstheme="minorHAnsi"/>
        </w:rPr>
        <w:t>becná pravidla pro používání log:</w:t>
      </w:r>
    </w:p>
    <w:p w14:paraId="102616FC" w14:textId="1F9DB1E8" w:rsidR="001D5C54" w:rsidRPr="001D5C54" w:rsidRDefault="001D5C54" w:rsidP="00EA0783">
      <w:pPr>
        <w:numPr>
          <w:ilvl w:val="1"/>
          <w:numId w:val="1"/>
        </w:numPr>
        <w:spacing w:after="60" w:line="240" w:lineRule="auto"/>
        <w:ind w:left="567" w:hanging="357"/>
        <w:jc w:val="both"/>
        <w:rPr>
          <w:rFonts w:cstheme="minorHAnsi"/>
        </w:rPr>
      </w:pPr>
      <w:r w:rsidRPr="001D5C54">
        <w:rPr>
          <w:rFonts w:cstheme="minorHAnsi"/>
        </w:rPr>
        <w:t xml:space="preserve">Kromě loga </w:t>
      </w:r>
      <w:r w:rsidR="00BA75A4">
        <w:rPr>
          <w:rFonts w:cstheme="minorHAnsi"/>
        </w:rPr>
        <w:t>Unie</w:t>
      </w:r>
      <w:r w:rsidRPr="001D5C54">
        <w:rPr>
          <w:rFonts w:cstheme="minorHAnsi"/>
        </w:rPr>
        <w:t xml:space="preserve"> nesmí být ke zviditelnění podpory ze strany </w:t>
      </w:r>
      <w:r w:rsidR="00BA75A4">
        <w:rPr>
          <w:rFonts w:cstheme="minorHAnsi"/>
        </w:rPr>
        <w:t xml:space="preserve">Unie </w:t>
      </w:r>
      <w:r w:rsidRPr="001D5C54">
        <w:rPr>
          <w:rFonts w:cstheme="minorHAnsi"/>
        </w:rPr>
        <w:t>primárně využita žádná jiná vizuální identita ani logo</w:t>
      </w:r>
      <w:r w:rsidR="004B01C1">
        <w:rPr>
          <w:rFonts w:cstheme="minorHAnsi"/>
        </w:rPr>
        <w:t xml:space="preserve">, pokud není </w:t>
      </w:r>
      <w:r w:rsidR="000040FB">
        <w:rPr>
          <w:rFonts w:cstheme="minorHAnsi"/>
        </w:rPr>
        <w:t xml:space="preserve">v této příloze </w:t>
      </w:r>
      <w:r w:rsidR="004B01C1">
        <w:rPr>
          <w:rFonts w:cstheme="minorHAnsi"/>
        </w:rPr>
        <w:t>uvedeno jinak</w:t>
      </w:r>
      <w:r w:rsidRPr="001D5C54">
        <w:rPr>
          <w:rFonts w:cstheme="minorHAnsi"/>
        </w:rPr>
        <w:t>. Znak musí zůstat odlišný a</w:t>
      </w:r>
      <w:r w:rsidR="00004AEB">
        <w:rPr>
          <w:rFonts w:cstheme="minorHAnsi"/>
        </w:rPr>
        <w:t> </w:t>
      </w:r>
      <w:r w:rsidRPr="001D5C54">
        <w:rPr>
          <w:rFonts w:cstheme="minorHAnsi"/>
        </w:rPr>
        <w:t xml:space="preserve">samostatný a nelze jej upravit přidáním dalších vizuálních značek, značek nebo textu. Pokud je znak </w:t>
      </w:r>
      <w:r w:rsidR="00BA75A4">
        <w:rPr>
          <w:rFonts w:cstheme="minorHAnsi"/>
        </w:rPr>
        <w:t>Unie</w:t>
      </w:r>
      <w:r w:rsidRPr="001D5C54">
        <w:rPr>
          <w:rFonts w:cstheme="minorHAnsi"/>
        </w:rPr>
        <w:t xml:space="preserve"> zobrazen ve</w:t>
      </w:r>
      <w:r w:rsidR="006059FF">
        <w:rPr>
          <w:rFonts w:cstheme="minorHAnsi"/>
        </w:rPr>
        <w:t> </w:t>
      </w:r>
      <w:r w:rsidRPr="001D5C54">
        <w:rPr>
          <w:rFonts w:cstheme="minorHAnsi"/>
        </w:rPr>
        <w:t>spojení s jiným logem, musí být zobrazen alespoň stejně viditelně</w:t>
      </w:r>
      <w:r w:rsidR="000040FB">
        <w:rPr>
          <w:rFonts w:cstheme="minorHAnsi"/>
        </w:rPr>
        <w:t xml:space="preserve"> </w:t>
      </w:r>
      <w:r w:rsidR="000040FB">
        <w:rPr>
          <w:rFonts w:eastAsiaTheme="minorEastAsia"/>
        </w:rPr>
        <w:t>(musí mít nejméně stejnou velikost)</w:t>
      </w:r>
      <w:r w:rsidRPr="001D5C54">
        <w:rPr>
          <w:rFonts w:cstheme="minorHAnsi"/>
        </w:rPr>
        <w:t xml:space="preserve"> jako ostatní loga.</w:t>
      </w:r>
    </w:p>
    <w:p w14:paraId="312F2D79" w14:textId="478CD278" w:rsidR="001D5C54" w:rsidRPr="001D5C54" w:rsidRDefault="00BA75A4" w:rsidP="00EA0783">
      <w:pPr>
        <w:numPr>
          <w:ilvl w:val="1"/>
          <w:numId w:val="1"/>
        </w:numPr>
        <w:spacing w:after="6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>K</w:t>
      </w:r>
      <w:r w:rsidR="001D5C54" w:rsidRPr="001D5C54">
        <w:rPr>
          <w:rFonts w:cstheme="minorHAnsi"/>
        </w:rPr>
        <w:t>romě obecného loga</w:t>
      </w:r>
      <w:r w:rsidR="000040FB">
        <w:rPr>
          <w:rFonts w:cstheme="minorHAnsi"/>
        </w:rPr>
        <w:t xml:space="preserve"> (znaku EU)</w:t>
      </w:r>
      <w:r w:rsidR="001D5C54" w:rsidRPr="001D5C54">
        <w:rPr>
          <w:rFonts w:cstheme="minorHAnsi"/>
        </w:rPr>
        <w:t xml:space="preserve"> </w:t>
      </w:r>
      <w:r w:rsidR="000040FB">
        <w:rPr>
          <w:rFonts w:cstheme="minorHAnsi"/>
        </w:rPr>
        <w:t xml:space="preserve">nepoužívá </w:t>
      </w:r>
      <w:r>
        <w:rPr>
          <w:rFonts w:cstheme="minorHAnsi"/>
        </w:rPr>
        <w:t>příjemce</w:t>
      </w:r>
      <w:r w:rsidR="001D5C54" w:rsidRPr="001D5C54">
        <w:rPr>
          <w:rFonts w:cstheme="minorHAnsi"/>
        </w:rPr>
        <w:t xml:space="preserve"> loga dalších subjektů (např. dodavatelů, subdodavatelů).</w:t>
      </w:r>
    </w:p>
    <w:p w14:paraId="79F042F6" w14:textId="77777777" w:rsidR="001D5C54" w:rsidRPr="001D5C54" w:rsidRDefault="001D5C54" w:rsidP="00EA0783">
      <w:pPr>
        <w:numPr>
          <w:ilvl w:val="1"/>
          <w:numId w:val="1"/>
        </w:numPr>
        <w:spacing w:after="60" w:line="240" w:lineRule="auto"/>
        <w:ind w:left="567"/>
        <w:jc w:val="both"/>
        <w:rPr>
          <w:rFonts w:cstheme="minorHAnsi"/>
        </w:rPr>
      </w:pPr>
      <w:r w:rsidRPr="001D5C54">
        <w:rPr>
          <w:rFonts w:cstheme="minorHAnsi"/>
        </w:rPr>
        <w:t>Loga se vždy umisťují tak, aby byla zřetelně viditelná. Jejich umístění a velikost musí být úměrné rozměrům použitého materiálu nebo dokumentu.</w:t>
      </w:r>
    </w:p>
    <w:p w14:paraId="3CDF4B12" w14:textId="4B949E11" w:rsidR="001D5C54" w:rsidRPr="001D5C54" w:rsidRDefault="001D5C54" w:rsidP="00EA0783">
      <w:pPr>
        <w:numPr>
          <w:ilvl w:val="1"/>
          <w:numId w:val="1"/>
        </w:numPr>
        <w:spacing w:after="60" w:line="240" w:lineRule="auto"/>
        <w:ind w:left="567"/>
        <w:jc w:val="both"/>
        <w:rPr>
          <w:rFonts w:cstheme="minorHAnsi"/>
        </w:rPr>
      </w:pPr>
      <w:r w:rsidRPr="001D5C54">
        <w:rPr>
          <w:rFonts w:cstheme="minorHAnsi"/>
        </w:rPr>
        <w:t>V souladu s prováděcím nařízením</w:t>
      </w:r>
      <w:r w:rsidR="000040FB">
        <w:rPr>
          <w:rFonts w:cstheme="minorHAnsi"/>
        </w:rPr>
        <w:t xml:space="preserve"> </w:t>
      </w:r>
      <w:r w:rsidRPr="001D5C54">
        <w:rPr>
          <w:rFonts w:cstheme="minorHAnsi"/>
        </w:rPr>
        <w:t>musí být loga zobrazovaná na internetových stránkách</w:t>
      </w:r>
      <w:r w:rsidR="0055777E">
        <w:rPr>
          <w:rFonts w:cstheme="minorHAnsi"/>
        </w:rPr>
        <w:t xml:space="preserve">. </w:t>
      </w:r>
      <w:r w:rsidR="00BA75A4">
        <w:rPr>
          <w:rFonts w:cstheme="minorHAnsi"/>
        </w:rPr>
        <w:t>V</w:t>
      </w:r>
      <w:r w:rsidRPr="001D5C54">
        <w:rPr>
          <w:rFonts w:cstheme="minorHAnsi"/>
        </w:rPr>
        <w:t xml:space="preserve">e všech ostatních případech je použito barevné provedení </w:t>
      </w:r>
      <w:r w:rsidR="00BA75A4">
        <w:rPr>
          <w:rFonts w:cstheme="minorHAnsi"/>
        </w:rPr>
        <w:t xml:space="preserve">loga, </w:t>
      </w:r>
      <w:r w:rsidRPr="001D5C54">
        <w:rPr>
          <w:rFonts w:cstheme="minorHAnsi"/>
        </w:rPr>
        <w:t xml:space="preserve">kdykoli je to možné. Monochromatickou verzi lze použít pouze v odůvodněných případech. </w:t>
      </w:r>
      <w:r w:rsidR="00BA75A4">
        <w:rPr>
          <w:rFonts w:cstheme="minorHAnsi"/>
        </w:rPr>
        <w:t>Z</w:t>
      </w:r>
      <w:r w:rsidRPr="001D5C54">
        <w:rPr>
          <w:rFonts w:cstheme="minorHAnsi"/>
        </w:rPr>
        <w:t>a</w:t>
      </w:r>
      <w:r w:rsidR="007B76C3">
        <w:rPr>
          <w:rFonts w:cstheme="minorHAnsi"/>
        </w:rPr>
        <w:t> </w:t>
      </w:r>
      <w:r w:rsidRPr="001D5C54">
        <w:rPr>
          <w:rFonts w:cstheme="minorHAnsi"/>
        </w:rPr>
        <w:t>odůvodněný případ použití monochromatického loga lze považovat případy, kdy jsou materiály tištěny na běžných kancelářských tiskárnách, a další případy, kdy materiál bar</w:t>
      </w:r>
      <w:r w:rsidR="00BA75A4">
        <w:rPr>
          <w:rFonts w:cstheme="minorHAnsi"/>
        </w:rPr>
        <w:t>e</w:t>
      </w:r>
      <w:r w:rsidRPr="001D5C54">
        <w:rPr>
          <w:rFonts w:cstheme="minorHAnsi"/>
        </w:rPr>
        <w:t>vnou variantu neumožňuje, nebo by použití barevné verze log bylo nehospodárné, neekologické či</w:t>
      </w:r>
      <w:r w:rsidR="007B76C3">
        <w:rPr>
          <w:rFonts w:cstheme="minorHAnsi"/>
        </w:rPr>
        <w:t> </w:t>
      </w:r>
      <w:r w:rsidRPr="001D5C54">
        <w:rPr>
          <w:rFonts w:cstheme="minorHAnsi"/>
        </w:rPr>
        <w:t>neestetické.</w:t>
      </w:r>
    </w:p>
    <w:p w14:paraId="5D4FB353" w14:textId="2C89D68F" w:rsidR="001D5C54" w:rsidRPr="001D5C54" w:rsidRDefault="001D5C54" w:rsidP="00EA0783">
      <w:pPr>
        <w:numPr>
          <w:ilvl w:val="1"/>
          <w:numId w:val="1"/>
        </w:numPr>
        <w:spacing w:after="60" w:line="240" w:lineRule="auto"/>
        <w:ind w:left="567"/>
        <w:jc w:val="both"/>
        <w:rPr>
          <w:rFonts w:cstheme="minorHAnsi"/>
        </w:rPr>
      </w:pPr>
      <w:r w:rsidRPr="001D5C54">
        <w:rPr>
          <w:rFonts w:cstheme="minorHAnsi"/>
        </w:rPr>
        <w:t>Pořízení černobílé kopie barevného originálu se nepovažuje za nedodržení pravidel publicity.</w:t>
      </w:r>
    </w:p>
    <w:p w14:paraId="49F5BFC3" w14:textId="15E50B15" w:rsidR="00BA75A4" w:rsidRPr="007B76C3" w:rsidRDefault="001D5C54" w:rsidP="007B76C3">
      <w:pPr>
        <w:numPr>
          <w:ilvl w:val="1"/>
          <w:numId w:val="1"/>
        </w:numPr>
        <w:spacing w:after="60" w:line="240" w:lineRule="auto"/>
        <w:ind w:left="567"/>
        <w:jc w:val="both"/>
        <w:rPr>
          <w:rFonts w:cstheme="minorHAnsi"/>
        </w:rPr>
      </w:pPr>
      <w:r w:rsidRPr="001D5C54">
        <w:rPr>
          <w:rFonts w:cstheme="minorHAnsi"/>
        </w:rPr>
        <w:t xml:space="preserve">Povinnost uvedení </w:t>
      </w:r>
      <w:r w:rsidR="000040FB">
        <w:rPr>
          <w:rFonts w:cstheme="minorHAnsi"/>
        </w:rPr>
        <w:t>loga</w:t>
      </w:r>
      <w:r w:rsidRPr="001D5C54">
        <w:rPr>
          <w:rFonts w:cstheme="minorHAnsi"/>
        </w:rPr>
        <w:t xml:space="preserve"> se nevztahuje na malé předměty, kde zobrazení plné verze není technicky proveditelné. Doporučené minimální rozměry loga </w:t>
      </w:r>
      <w:r w:rsidR="00BA75A4">
        <w:rPr>
          <w:rFonts w:cstheme="minorHAnsi"/>
        </w:rPr>
        <w:t>Unie</w:t>
      </w:r>
      <w:r w:rsidRPr="001D5C54">
        <w:rPr>
          <w:rFonts w:cstheme="minorHAnsi"/>
        </w:rPr>
        <w:t xml:space="preserve"> definují pokyny uvedené</w:t>
      </w:r>
      <w:r w:rsidR="00BA75A4">
        <w:rPr>
          <w:rFonts w:cstheme="minorHAnsi"/>
        </w:rPr>
        <w:t xml:space="preserve"> výše</w:t>
      </w:r>
      <w:r w:rsidRPr="001D5C54">
        <w:rPr>
          <w:rFonts w:cstheme="minorHAnsi"/>
        </w:rPr>
        <w:t>.</w:t>
      </w:r>
    </w:p>
    <w:p w14:paraId="3B24C108" w14:textId="2DBD48FE" w:rsidR="00EA00E2" w:rsidRDefault="00EA00E2" w:rsidP="00291A23">
      <w:pPr>
        <w:pStyle w:val="Nadpis1"/>
        <w:keepNext/>
        <w:tabs>
          <w:tab w:val="left" w:pos="284"/>
        </w:tabs>
        <w:spacing w:before="480" w:after="240"/>
      </w:pPr>
      <w:r w:rsidRPr="00FF1F01">
        <w:t>3</w:t>
      </w:r>
      <w:r w:rsidR="00BA75A4">
        <w:tab/>
      </w:r>
      <w:r w:rsidRPr="00FF1F01">
        <w:t>Základní povinnosti příjemc</w:t>
      </w:r>
      <w:r w:rsidR="0055777E">
        <w:t>e</w:t>
      </w:r>
    </w:p>
    <w:p w14:paraId="7F66E828" w14:textId="77777777" w:rsidR="006432C0" w:rsidRDefault="002823D0" w:rsidP="00EA0783">
      <w:pPr>
        <w:spacing w:after="60" w:line="240" w:lineRule="auto"/>
        <w:jc w:val="both"/>
        <w:rPr>
          <w:rFonts w:cstheme="minorHAnsi"/>
        </w:rPr>
      </w:pPr>
      <w:r w:rsidRPr="002823D0">
        <w:rPr>
          <w:rFonts w:cstheme="minorHAnsi"/>
        </w:rPr>
        <w:t xml:space="preserve">V rámci všech informačních a komunikačních </w:t>
      </w:r>
      <w:r w:rsidR="00B41E15">
        <w:rPr>
          <w:rFonts w:cstheme="minorHAnsi"/>
        </w:rPr>
        <w:t>aktivit</w:t>
      </w:r>
      <w:r w:rsidRPr="002823D0">
        <w:rPr>
          <w:rFonts w:cstheme="minorHAnsi"/>
        </w:rPr>
        <w:t xml:space="preserve"> </w:t>
      </w:r>
      <w:r w:rsidR="00B41E15">
        <w:rPr>
          <w:rFonts w:cstheme="minorHAnsi"/>
        </w:rPr>
        <w:t xml:space="preserve">zajišťuje </w:t>
      </w:r>
      <w:r w:rsidRPr="002823D0">
        <w:rPr>
          <w:rFonts w:cstheme="minorHAnsi"/>
        </w:rPr>
        <w:t xml:space="preserve">příjemce </w:t>
      </w:r>
      <w:r w:rsidR="00B41E15">
        <w:rPr>
          <w:rFonts w:cstheme="minorHAnsi"/>
        </w:rPr>
        <w:t>viditelnost původu prostředků</w:t>
      </w:r>
      <w:r w:rsidRPr="002823D0">
        <w:rPr>
          <w:rFonts w:cstheme="minorHAnsi"/>
        </w:rPr>
        <w:t xml:space="preserve"> z RRF</w:t>
      </w:r>
      <w:r>
        <w:rPr>
          <w:rFonts w:cstheme="minorHAnsi"/>
        </w:rPr>
        <w:t xml:space="preserve"> </w:t>
      </w:r>
      <w:r w:rsidRPr="002823D0">
        <w:rPr>
          <w:rFonts w:cstheme="minorHAnsi"/>
        </w:rPr>
        <w:t xml:space="preserve">tím, že zobrazuje </w:t>
      </w:r>
      <w:r w:rsidR="00B41E15">
        <w:rPr>
          <w:rFonts w:cstheme="minorHAnsi"/>
        </w:rPr>
        <w:t>znak</w:t>
      </w:r>
      <w:r w:rsidRPr="002823D0">
        <w:rPr>
          <w:rFonts w:cstheme="minorHAnsi"/>
        </w:rPr>
        <w:t xml:space="preserve"> </w:t>
      </w:r>
      <w:r w:rsidR="00B41E15">
        <w:rPr>
          <w:rFonts w:cstheme="minorHAnsi"/>
        </w:rPr>
        <w:t>Unie</w:t>
      </w:r>
      <w:r w:rsidRPr="002823D0">
        <w:rPr>
          <w:rFonts w:cstheme="minorHAnsi"/>
        </w:rPr>
        <w:t xml:space="preserve">, odkaz na </w:t>
      </w:r>
      <w:r w:rsidR="00B41E15">
        <w:rPr>
          <w:rFonts w:cstheme="minorHAnsi"/>
        </w:rPr>
        <w:t>Unii</w:t>
      </w:r>
      <w:r w:rsidRPr="002823D0">
        <w:rPr>
          <w:rFonts w:cstheme="minorHAnsi"/>
        </w:rPr>
        <w:t xml:space="preserve"> a odkaz na </w:t>
      </w:r>
      <w:r w:rsidR="00B41E15">
        <w:rPr>
          <w:rFonts w:cstheme="minorHAnsi"/>
        </w:rPr>
        <w:t xml:space="preserve">RRF, z něhož je aktivita </w:t>
      </w:r>
      <w:r w:rsidRPr="002823D0">
        <w:rPr>
          <w:rFonts w:cstheme="minorHAnsi"/>
        </w:rPr>
        <w:t xml:space="preserve">podporována. Tato povinnost bude splněna použitím loga </w:t>
      </w:r>
      <w:r w:rsidR="00B41E15">
        <w:rPr>
          <w:rFonts w:cstheme="minorHAnsi"/>
        </w:rPr>
        <w:t xml:space="preserve">Unie </w:t>
      </w:r>
      <w:r w:rsidRPr="002823D0">
        <w:rPr>
          <w:rFonts w:cstheme="minorHAnsi"/>
        </w:rPr>
        <w:t>v souladu s</w:t>
      </w:r>
      <w:r w:rsidR="00B41E15">
        <w:rPr>
          <w:rFonts w:cstheme="minorHAnsi"/>
        </w:rPr>
        <w:t xml:space="preserve"> kapitolou </w:t>
      </w:r>
      <w:r w:rsidR="00446F7C">
        <w:rPr>
          <w:rFonts w:cstheme="minorHAnsi"/>
        </w:rPr>
        <w:t>2</w:t>
      </w:r>
      <w:r w:rsidR="00B41E15">
        <w:rPr>
          <w:rFonts w:cstheme="minorHAnsi"/>
        </w:rPr>
        <w:t xml:space="preserve"> této přílohy</w:t>
      </w:r>
      <w:r w:rsidRPr="002823D0">
        <w:rPr>
          <w:rFonts w:cstheme="minorHAnsi"/>
        </w:rPr>
        <w:t>.</w:t>
      </w:r>
    </w:p>
    <w:sectPr w:rsidR="006432C0" w:rsidSect="00565566">
      <w:headerReference w:type="default" r:id="rId14"/>
      <w:footerReference w:type="default" r:id="rId15"/>
      <w:pgSz w:w="11906" w:h="16838"/>
      <w:pgMar w:top="1440" w:right="1440" w:bottom="1276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28B06" w14:textId="77777777" w:rsidR="00052080" w:rsidRDefault="00052080" w:rsidP="00052080">
      <w:pPr>
        <w:spacing w:after="0" w:line="240" w:lineRule="auto"/>
      </w:pPr>
      <w:r>
        <w:separator/>
      </w:r>
    </w:p>
  </w:endnote>
  <w:endnote w:type="continuationSeparator" w:id="0">
    <w:p w14:paraId="30A6DDA1" w14:textId="77777777" w:rsidR="00052080" w:rsidRDefault="00052080" w:rsidP="0005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681751"/>
      <w:docPartObj>
        <w:docPartGallery w:val="Page Numbers (Bottom of Page)"/>
        <w:docPartUnique/>
      </w:docPartObj>
    </w:sdtPr>
    <w:sdtEndPr/>
    <w:sdtContent>
      <w:p w14:paraId="28891F31" w14:textId="1E8A7491" w:rsidR="00565566" w:rsidRDefault="005655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64A57" w14:textId="77777777" w:rsidR="00565566" w:rsidRDefault="00565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BBA82" w14:textId="77777777" w:rsidR="00052080" w:rsidRDefault="00052080" w:rsidP="00052080">
      <w:pPr>
        <w:spacing w:after="0" w:line="240" w:lineRule="auto"/>
      </w:pPr>
      <w:r>
        <w:separator/>
      </w:r>
    </w:p>
  </w:footnote>
  <w:footnote w:type="continuationSeparator" w:id="0">
    <w:p w14:paraId="58424602" w14:textId="77777777" w:rsidR="00052080" w:rsidRDefault="00052080" w:rsidP="00052080">
      <w:pPr>
        <w:spacing w:after="0" w:line="240" w:lineRule="auto"/>
      </w:pPr>
      <w:r>
        <w:continuationSeparator/>
      </w:r>
    </w:p>
  </w:footnote>
  <w:footnote w:id="1">
    <w:p w14:paraId="42C384E0" w14:textId="7B2F9472" w:rsidR="00B74A4B" w:rsidRDefault="00B74A4B">
      <w:pPr>
        <w:pStyle w:val="Textpoznpodarou"/>
      </w:pPr>
      <w:r>
        <w:rPr>
          <w:rStyle w:val="Znakapoznpodarou"/>
        </w:rPr>
        <w:footnoteRef/>
      </w:r>
      <w:r>
        <w:t xml:space="preserve"> Zadavatel veřejné zakázky je povinen přenést níže uvedené povinnosti do smluv s dodavateli atp.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D1F2" w14:textId="77777777" w:rsidR="00291A23" w:rsidRDefault="00291A23">
    <w:pPr>
      <w:pStyle w:val="Zhlav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291A23" w14:paraId="0E2E3093" w14:textId="77777777" w:rsidTr="00112FFA">
      <w:tc>
        <w:tcPr>
          <w:tcW w:w="3005" w:type="dxa"/>
        </w:tcPr>
        <w:p w14:paraId="359D1FD2" w14:textId="77777777" w:rsidR="00291A23" w:rsidRDefault="00291A23" w:rsidP="00291A23">
          <w:pPr>
            <w:pStyle w:val="Zhlav"/>
            <w:rPr>
              <w:b/>
              <w:color w:val="FF0000"/>
              <w:sz w:val="28"/>
              <w:szCs w:val="28"/>
            </w:rPr>
          </w:pPr>
          <w:bookmarkStart w:id="2" w:name="_Hlk86743759"/>
          <w:r>
            <w:rPr>
              <w:noProof/>
            </w:rPr>
            <w:drawing>
              <wp:inline distT="0" distB="0" distL="0" distR="0" wp14:anchorId="1D0A1E98" wp14:editId="2844609F">
                <wp:extent cx="1619250" cy="433176"/>
                <wp:effectExtent l="0" t="0" r="0" b="508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7DA7DF9" w14:textId="77777777" w:rsidR="00291A23" w:rsidRDefault="00291A23" w:rsidP="00291A23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23B7E77" wp14:editId="1F6F78BE">
                <wp:extent cx="960680" cy="432000"/>
                <wp:effectExtent l="0" t="0" r="0" b="635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441FAC9F" w14:textId="77777777" w:rsidR="00291A23" w:rsidRDefault="00291A23" w:rsidP="00291A23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277DEE1" wp14:editId="1BAE06A7">
                <wp:extent cx="866568" cy="432000"/>
                <wp:effectExtent l="0" t="0" r="0" b="635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3E02AA99" w14:textId="77777777" w:rsidR="007B76C3" w:rsidRDefault="007B7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23EE"/>
    <w:multiLevelType w:val="hybridMultilevel"/>
    <w:tmpl w:val="2654A8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F5FC5"/>
    <w:multiLevelType w:val="hybridMultilevel"/>
    <w:tmpl w:val="B3D6BD26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0098"/>
    <w:multiLevelType w:val="hybridMultilevel"/>
    <w:tmpl w:val="E5023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F72B6"/>
    <w:multiLevelType w:val="hybridMultilevel"/>
    <w:tmpl w:val="11925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03C17"/>
    <w:multiLevelType w:val="hybridMultilevel"/>
    <w:tmpl w:val="EC50808C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EE8C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B716BA"/>
    <w:rsid w:val="000000F7"/>
    <w:rsid w:val="000040FB"/>
    <w:rsid w:val="00004AEB"/>
    <w:rsid w:val="00014631"/>
    <w:rsid w:val="000212D9"/>
    <w:rsid w:val="000225FA"/>
    <w:rsid w:val="00052080"/>
    <w:rsid w:val="00061357"/>
    <w:rsid w:val="000D2326"/>
    <w:rsid w:val="000E7FCC"/>
    <w:rsid w:val="000F08B6"/>
    <w:rsid w:val="00101EEC"/>
    <w:rsid w:val="00136626"/>
    <w:rsid w:val="001C7629"/>
    <w:rsid w:val="001D5C54"/>
    <w:rsid w:val="001F0659"/>
    <w:rsid w:val="00220466"/>
    <w:rsid w:val="00266A8E"/>
    <w:rsid w:val="002823D0"/>
    <w:rsid w:val="00291A23"/>
    <w:rsid w:val="00390E4D"/>
    <w:rsid w:val="003A3F2B"/>
    <w:rsid w:val="004277DE"/>
    <w:rsid w:val="00446F7C"/>
    <w:rsid w:val="00452F2A"/>
    <w:rsid w:val="00455EBE"/>
    <w:rsid w:val="004574C5"/>
    <w:rsid w:val="0049661C"/>
    <w:rsid w:val="004B01C1"/>
    <w:rsid w:val="00511031"/>
    <w:rsid w:val="0051213F"/>
    <w:rsid w:val="005534DB"/>
    <w:rsid w:val="0055777E"/>
    <w:rsid w:val="00565566"/>
    <w:rsid w:val="00570934"/>
    <w:rsid w:val="00595E65"/>
    <w:rsid w:val="005C0A81"/>
    <w:rsid w:val="006059FF"/>
    <w:rsid w:val="00635BFF"/>
    <w:rsid w:val="006432C0"/>
    <w:rsid w:val="00660026"/>
    <w:rsid w:val="0066195E"/>
    <w:rsid w:val="006C28D8"/>
    <w:rsid w:val="00745838"/>
    <w:rsid w:val="007A6897"/>
    <w:rsid w:val="007B76C3"/>
    <w:rsid w:val="007C0037"/>
    <w:rsid w:val="007F0930"/>
    <w:rsid w:val="0086263C"/>
    <w:rsid w:val="00875B0A"/>
    <w:rsid w:val="00916F2D"/>
    <w:rsid w:val="00A532F8"/>
    <w:rsid w:val="00A95CFD"/>
    <w:rsid w:val="00AD16CD"/>
    <w:rsid w:val="00AD68A2"/>
    <w:rsid w:val="00AF5398"/>
    <w:rsid w:val="00B2758F"/>
    <w:rsid w:val="00B41E15"/>
    <w:rsid w:val="00B6078D"/>
    <w:rsid w:val="00B60FB4"/>
    <w:rsid w:val="00B74A4B"/>
    <w:rsid w:val="00BA75A4"/>
    <w:rsid w:val="00C35A3E"/>
    <w:rsid w:val="00CA7D95"/>
    <w:rsid w:val="00CC6C81"/>
    <w:rsid w:val="00CD7AD9"/>
    <w:rsid w:val="00CF6536"/>
    <w:rsid w:val="00D20098"/>
    <w:rsid w:val="00D67F23"/>
    <w:rsid w:val="00E24526"/>
    <w:rsid w:val="00E27608"/>
    <w:rsid w:val="00EA00E2"/>
    <w:rsid w:val="00EA0783"/>
    <w:rsid w:val="00EA1A91"/>
    <w:rsid w:val="00EA25C7"/>
    <w:rsid w:val="00ED75E1"/>
    <w:rsid w:val="00F037AF"/>
    <w:rsid w:val="00FB1AA9"/>
    <w:rsid w:val="00FB2A32"/>
    <w:rsid w:val="00FB7F44"/>
    <w:rsid w:val="00FC5265"/>
    <w:rsid w:val="00FF1F01"/>
    <w:rsid w:val="18B7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B716BA"/>
  <w15:chartTrackingRefBased/>
  <w15:docId w15:val="{A1C20774-D1E1-4CA4-8814-6726AAA2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5CFD"/>
  </w:style>
  <w:style w:type="paragraph" w:styleId="Nadpis1">
    <w:name w:val="heading 1"/>
    <w:basedOn w:val="Normln"/>
    <w:next w:val="Normln"/>
    <w:link w:val="Nadpis1Char"/>
    <w:uiPriority w:val="9"/>
    <w:qFormat/>
    <w:rsid w:val="00FF1F01"/>
    <w:pPr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A7D95"/>
    <w:pPr>
      <w:spacing w:after="300" w:line="240" w:lineRule="auto"/>
      <w:contextualSpacing/>
    </w:pPr>
    <w:rPr>
      <w:rFonts w:eastAsiaTheme="majorEastAsia" w:cstheme="majorBidi"/>
      <w:b/>
      <w:color w:val="428D96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A7D95"/>
    <w:rPr>
      <w:rFonts w:eastAsiaTheme="majorEastAsia" w:cstheme="majorBidi"/>
      <w:b/>
      <w:color w:val="428D96"/>
      <w:spacing w:val="5"/>
      <w:kern w:val="28"/>
      <w:sz w:val="52"/>
      <w:szCs w:val="52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8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83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4583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83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20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20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208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65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5566"/>
  </w:style>
  <w:style w:type="paragraph" w:styleId="Zpat">
    <w:name w:val="footer"/>
    <w:basedOn w:val="Normln"/>
    <w:link w:val="ZpatChar"/>
    <w:uiPriority w:val="99"/>
    <w:unhideWhenUsed/>
    <w:rsid w:val="00565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5566"/>
  </w:style>
  <w:style w:type="character" w:styleId="Hypertextovodkaz">
    <w:name w:val="Hyperlink"/>
    <w:basedOn w:val="Standardnpsmoodstavce"/>
    <w:uiPriority w:val="99"/>
    <w:unhideWhenUsed/>
    <w:rsid w:val="00B607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078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D75E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B7F4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06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F1F01"/>
    <w:rPr>
      <w:b/>
      <w:sz w:val="24"/>
      <w:szCs w:val="24"/>
    </w:rPr>
  </w:style>
  <w:style w:type="paragraph" w:customStyle="1" w:styleId="Default">
    <w:name w:val="Default"/>
    <w:rsid w:val="0086263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2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2C0"/>
    <w:rPr>
      <w:b/>
      <w:bCs/>
      <w:sz w:val="20"/>
      <w:szCs w:val="20"/>
    </w:rPr>
  </w:style>
  <w:style w:type="paragraph" w:styleId="Bezmezer">
    <w:name w:val="No Spacing"/>
    <w:uiPriority w:val="1"/>
    <w:qFormat/>
    <w:rsid w:val="000146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57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smt.cz/ministerstvo/novinar/logo-msm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regional_policy/en/information/logos_downloadcente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70487-D67E-45A8-B703-C9413ABF5606}">
  <ds:schemaRefs>
    <ds:schemaRef ds:uri="http://purl.org/dc/terms/"/>
    <ds:schemaRef ds:uri="http://www.w3.org/XML/1998/namespace"/>
    <ds:schemaRef ds:uri="f999670f-2a3f-4325-aa6f-19973f59f571"/>
    <ds:schemaRef ds:uri="http://schemas.microsoft.com/office/2006/documentManagement/types"/>
    <ds:schemaRef ds:uri="http://schemas.microsoft.com/office/2006/metadata/properties"/>
    <ds:schemaRef ds:uri="http://purl.org/dc/dcmitype/"/>
    <ds:schemaRef ds:uri="dd24b7f9-e3ee-43c2-949c-e36816f2a2d5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63B59A3-5474-406A-B286-75782282F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51DD8-B5EB-4133-AABD-C2F2F571A2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372EE-FDC8-49F1-9175-567AB324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Navrátilová Jitka</cp:lastModifiedBy>
  <cp:revision>70</cp:revision>
  <dcterms:created xsi:type="dcterms:W3CDTF">2021-10-04T09:52:00Z</dcterms:created>
  <dcterms:modified xsi:type="dcterms:W3CDTF">2021-12-02T09:41:00Z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