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E2AB" w14:textId="7642B61B" w:rsidR="00CB659D" w:rsidRPr="008A60F5" w:rsidRDefault="00CB659D" w:rsidP="00CB659D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59D">
        <w:rPr>
          <w:rFonts w:ascii="Times New Roman" w:hAnsi="Times New Roman"/>
          <w:b/>
          <w:sz w:val="28"/>
          <w:szCs w:val="28"/>
        </w:rPr>
        <w:t>Podmínky pro poskytnutí a čerpání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790258F7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353D84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353D84">
        <w:rPr>
          <w:rFonts w:ascii="Times New Roman" w:hAnsi="Times New Roman"/>
          <w:sz w:val="24"/>
          <w:szCs w:val="24"/>
          <w:lang w:eastAsia="cs-CZ"/>
        </w:rPr>
        <w:t xml:space="preserve"> – pokud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315B9113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F5659A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61E0E9BD" w14:textId="77777777" w:rsidR="00DF0AE3" w:rsidRPr="004A601C" w:rsidRDefault="00DF0AE3" w:rsidP="00DF0AE3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1F2C6527" w14:textId="5EFDDAF9" w:rsidR="001A04B6" w:rsidRPr="001A04B6" w:rsidRDefault="000A2618" w:rsidP="001A04B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 xml:space="preserve">Pokud </w:t>
      </w:r>
      <w:r w:rsidR="001A04B6" w:rsidRPr="001A04B6">
        <w:rPr>
          <w:rFonts w:ascii="Times New Roman" w:hAnsi="Times New Roman"/>
          <w:sz w:val="24"/>
          <w:szCs w:val="24"/>
        </w:rPr>
        <w:t>příjemce dotace v průběhu roku zjistí, že není schopen v daném roce ani v letech následujících převedené prostředky dotace, popřípadě její část, vyčerpat, je povinen neprodleně oznámit tuto skutečnost správci programu a nevyčerpané prostředky do 31. 12. daného rozpočtového roku převést zpět na účet správci programu (prostředky musí být připsány na účet MŠMT),</w:t>
      </w:r>
    </w:p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344E2B58" w14:textId="7B8A8282" w:rsidR="00393B86" w:rsidRPr="000A2618" w:rsidRDefault="00393B86" w:rsidP="00393B86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</w:t>
      </w:r>
      <w:r w:rsidRPr="00393B86">
        <w:rPr>
          <w:rFonts w:ascii="Times New Roman" w:hAnsi="Times New Roman"/>
          <w:sz w:val="24"/>
          <w:szCs w:val="24"/>
        </w:rPr>
        <w:t xml:space="preserve"> pro závěrečné vyhodnocení akce</w:t>
      </w:r>
      <w:r>
        <w:rPr>
          <w:rFonts w:ascii="Times New Roman" w:hAnsi="Times New Roman"/>
          <w:sz w:val="24"/>
          <w:szCs w:val="24"/>
        </w:rPr>
        <w:t>.</w:t>
      </w:r>
      <w:r w:rsidR="00A17B77">
        <w:rPr>
          <w:rFonts w:ascii="Times New Roman" w:hAnsi="Times New Roman"/>
          <w:sz w:val="24"/>
          <w:szCs w:val="24"/>
        </w:rPr>
        <w:t xml:space="preserve"> Pokud bude v rozhodnutí o poskytnutí dotace stanoven termín dofinancování akce, vypořádá příjemce dotaci </w:t>
      </w:r>
      <w:r w:rsidR="00A17B77" w:rsidRPr="00A17B77">
        <w:rPr>
          <w:rFonts w:ascii="Times New Roman" w:hAnsi="Times New Roman"/>
          <w:sz w:val="24"/>
          <w:szCs w:val="24"/>
        </w:rPr>
        <w:t>v únoru roku následujícího za rokem</w:t>
      </w:r>
      <w:r w:rsidR="00A17B77">
        <w:rPr>
          <w:rFonts w:ascii="Times New Roman" w:hAnsi="Times New Roman"/>
          <w:sz w:val="24"/>
          <w:szCs w:val="24"/>
        </w:rPr>
        <w:t xml:space="preserve"> termínu dofinancování akce.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>z pohledu uživatele je úplný 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435D" w14:textId="77777777" w:rsidR="00777CCA" w:rsidRDefault="00777CCA" w:rsidP="00FB2CF2">
      <w:pPr>
        <w:spacing w:after="0" w:line="240" w:lineRule="auto"/>
      </w:pPr>
      <w:r>
        <w:separator/>
      </w:r>
    </w:p>
  </w:endnote>
  <w:endnote w:type="continuationSeparator" w:id="0">
    <w:p w14:paraId="2A10FCDF" w14:textId="77777777" w:rsidR="00777CCA" w:rsidRDefault="00777CCA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3B86" w:rsidRPr="00393B86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3B86" w:rsidRPr="00393B86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7672" w14:textId="77777777" w:rsidR="00777CCA" w:rsidRDefault="00777CCA" w:rsidP="00FB2CF2">
      <w:pPr>
        <w:spacing w:after="0" w:line="240" w:lineRule="auto"/>
      </w:pPr>
      <w:r>
        <w:separator/>
      </w:r>
    </w:p>
  </w:footnote>
  <w:footnote w:type="continuationSeparator" w:id="0">
    <w:p w14:paraId="21C332B5" w14:textId="77777777" w:rsidR="00777CCA" w:rsidRDefault="00777CCA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6AB5" w14:textId="40333BA8" w:rsidR="00285351" w:rsidRPr="00002481" w:rsidRDefault="00002481" w:rsidP="00CB659D">
    <w:pPr>
      <w:pStyle w:val="Zhlav"/>
      <w:jc w:val="right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>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274090651">
    <w:abstractNumId w:val="17"/>
  </w:num>
  <w:num w:numId="2" w16cid:durableId="711660024">
    <w:abstractNumId w:val="15"/>
  </w:num>
  <w:num w:numId="3" w16cid:durableId="1898205700">
    <w:abstractNumId w:val="15"/>
  </w:num>
  <w:num w:numId="4" w16cid:durableId="318581495">
    <w:abstractNumId w:val="15"/>
  </w:num>
  <w:num w:numId="5" w16cid:durableId="1840074882">
    <w:abstractNumId w:val="12"/>
  </w:num>
  <w:num w:numId="6" w16cid:durableId="533078578">
    <w:abstractNumId w:val="15"/>
  </w:num>
  <w:num w:numId="7" w16cid:durableId="835535546">
    <w:abstractNumId w:val="15"/>
  </w:num>
  <w:num w:numId="8" w16cid:durableId="1475024625">
    <w:abstractNumId w:val="15"/>
  </w:num>
  <w:num w:numId="9" w16cid:durableId="2050033461">
    <w:abstractNumId w:val="15"/>
  </w:num>
  <w:num w:numId="10" w16cid:durableId="1984655526">
    <w:abstractNumId w:val="4"/>
  </w:num>
  <w:num w:numId="11" w16cid:durableId="1178621695">
    <w:abstractNumId w:val="16"/>
  </w:num>
  <w:num w:numId="12" w16cid:durableId="918365171">
    <w:abstractNumId w:val="8"/>
  </w:num>
  <w:num w:numId="13" w16cid:durableId="1575428328">
    <w:abstractNumId w:val="0"/>
  </w:num>
  <w:num w:numId="14" w16cid:durableId="532693991">
    <w:abstractNumId w:val="5"/>
  </w:num>
  <w:num w:numId="15" w16cid:durableId="564415404">
    <w:abstractNumId w:val="6"/>
  </w:num>
  <w:num w:numId="16" w16cid:durableId="479805817">
    <w:abstractNumId w:val="11"/>
  </w:num>
  <w:num w:numId="17" w16cid:durableId="1161892913">
    <w:abstractNumId w:val="9"/>
  </w:num>
  <w:num w:numId="18" w16cid:durableId="1799183415">
    <w:abstractNumId w:val="15"/>
  </w:num>
  <w:num w:numId="19" w16cid:durableId="1536623606">
    <w:abstractNumId w:val="15"/>
  </w:num>
  <w:num w:numId="20" w16cid:durableId="1751921860">
    <w:abstractNumId w:val="13"/>
  </w:num>
  <w:num w:numId="21" w16cid:durableId="366683564">
    <w:abstractNumId w:val="24"/>
  </w:num>
  <w:num w:numId="22" w16cid:durableId="64765072">
    <w:abstractNumId w:val="15"/>
  </w:num>
  <w:num w:numId="23" w16cid:durableId="1655064984">
    <w:abstractNumId w:val="10"/>
  </w:num>
  <w:num w:numId="24" w16cid:durableId="48039111">
    <w:abstractNumId w:val="1"/>
  </w:num>
  <w:num w:numId="25" w16cid:durableId="1626892130">
    <w:abstractNumId w:val="22"/>
  </w:num>
  <w:num w:numId="26" w16cid:durableId="1051536634">
    <w:abstractNumId w:val="14"/>
  </w:num>
  <w:num w:numId="27" w16cid:durableId="686830080">
    <w:abstractNumId w:val="19"/>
  </w:num>
  <w:num w:numId="28" w16cid:durableId="1861889223">
    <w:abstractNumId w:val="23"/>
  </w:num>
  <w:num w:numId="29" w16cid:durableId="1769547712">
    <w:abstractNumId w:val="20"/>
  </w:num>
  <w:num w:numId="30" w16cid:durableId="1287544316">
    <w:abstractNumId w:val="21"/>
  </w:num>
  <w:num w:numId="31" w16cid:durableId="2119133183">
    <w:abstractNumId w:val="7"/>
  </w:num>
  <w:num w:numId="32" w16cid:durableId="1842427961">
    <w:abstractNumId w:val="18"/>
  </w:num>
  <w:num w:numId="33" w16cid:durableId="306057991">
    <w:abstractNumId w:val="3"/>
  </w:num>
  <w:num w:numId="34" w16cid:durableId="176052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04B6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3D84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1595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12EB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2C9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77CCA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586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17B77"/>
    <w:rsid w:val="00A21DF3"/>
    <w:rsid w:val="00A300EB"/>
    <w:rsid w:val="00A30AAC"/>
    <w:rsid w:val="00A477EF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B659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7265"/>
    <w:rsid w:val="00D42BE2"/>
    <w:rsid w:val="00D46B0C"/>
    <w:rsid w:val="00D50C5D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0AE3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7B0E-E54F-404C-8BAE-A20713A7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1344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67</cp:revision>
  <cp:lastPrinted>2019-06-10T16:07:00Z</cp:lastPrinted>
  <dcterms:created xsi:type="dcterms:W3CDTF">2018-03-12T21:34:00Z</dcterms:created>
  <dcterms:modified xsi:type="dcterms:W3CDTF">2022-09-19T08:41:00Z</dcterms:modified>
</cp:coreProperties>
</file>