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F069" w14:textId="0F4929FC" w:rsidR="00C958EF" w:rsidRPr="00DC4B0B" w:rsidRDefault="002D22D3" w:rsidP="00C6068B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D415F4">
        <w:rPr>
          <w:b/>
          <w:sz w:val="28"/>
          <w:szCs w:val="28"/>
        </w:rPr>
        <w:t>2</w:t>
      </w:r>
      <w:r w:rsidR="00C6068B">
        <w:rPr>
          <w:b/>
          <w:sz w:val="28"/>
          <w:szCs w:val="28"/>
        </w:rPr>
        <w:t>3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C6068B" w:rsidRPr="00C6068B">
        <w:rPr>
          <w:b/>
          <w:sz w:val="28"/>
          <w:szCs w:val="28"/>
          <w:lang w:val="am-ET"/>
        </w:rPr>
        <w:t>Large Scale Analysis Of Omics Data For Drug-Target Finding In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61FF6FD0" w:rsidR="00AC5186" w:rsidRPr="008E52B0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</w:t>
      </w:r>
      <w:r w:rsidR="000760A1" w:rsidRPr="00BB1BE1">
        <w:rPr>
          <w:sz w:val="24"/>
          <w:szCs w:val="24"/>
          <w:lang w:val="en-GB"/>
        </w:rPr>
        <w:t xml:space="preserve">described and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 xml:space="preserve">Statutory Declaration </w:t>
      </w:r>
      <w:r w:rsidR="00DE61F0" w:rsidRPr="00BB1BE1">
        <w:rPr>
          <w:sz w:val="24"/>
          <w:szCs w:val="24"/>
          <w:lang w:val="en-GB"/>
        </w:rPr>
        <w:t>template</w:t>
      </w:r>
      <w:r w:rsidR="000760A1" w:rsidRPr="00BB1BE1">
        <w:rPr>
          <w:sz w:val="24"/>
          <w:szCs w:val="24"/>
          <w:lang w:val="en-GB"/>
        </w:rPr>
        <w:t xml:space="preserve"> is available on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>websites</w:t>
      </w:r>
      <w:r w:rsidR="00E60E49" w:rsidRPr="00BB1BE1">
        <w:rPr>
          <w:sz w:val="24"/>
          <w:szCs w:val="24"/>
          <w:lang w:val="en-GB"/>
        </w:rPr>
        <w:t xml:space="preserve"> of </w:t>
      </w:r>
      <w:r w:rsidR="001B2BAD" w:rsidRPr="008E52B0">
        <w:rPr>
          <w:sz w:val="24"/>
          <w:szCs w:val="24"/>
          <w:lang w:val="en-GB"/>
        </w:rPr>
        <w:t xml:space="preserve">the </w:t>
      </w:r>
      <w:r w:rsidR="00E60E49" w:rsidRPr="008E52B0">
        <w:rPr>
          <w:sz w:val="24"/>
          <w:szCs w:val="24"/>
          <w:lang w:val="en-GB"/>
        </w:rPr>
        <w:t xml:space="preserve">Ministry of Education, Youth and </w:t>
      </w:r>
      <w:r w:rsidR="00B75E06" w:rsidRPr="008E52B0">
        <w:rPr>
          <w:sz w:val="24"/>
          <w:szCs w:val="24"/>
          <w:lang w:val="en-GB"/>
        </w:rPr>
        <w:t xml:space="preserve">Sports: </w:t>
      </w:r>
      <w:hyperlink r:id="rId8" w:history="1">
        <w:r w:rsidR="008E52B0" w:rsidRPr="008E52B0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8E52B0">
        <w:rPr>
          <w:sz w:val="24"/>
          <w:szCs w:val="24"/>
          <w:lang w:val="en-GB"/>
        </w:rPr>
        <w:t xml:space="preserve">.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180D3D71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425741">
        <w:rPr>
          <w:sz w:val="24"/>
          <w:szCs w:val="24"/>
          <w:lang w:val="en-GB"/>
        </w:rPr>
        <w:t xml:space="preserve">. 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154611DD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proofErr w:type="gramStart"/>
      <w:r w:rsidRPr="00F70E67">
        <w:rPr>
          <w:sz w:val="24"/>
          <w:szCs w:val="24"/>
          <w:lang w:val="en-GB"/>
        </w:rPr>
        <w:t>All of</w:t>
      </w:r>
      <w:proofErr w:type="gramEnd"/>
      <w:r w:rsidRPr="00F70E67">
        <w:rPr>
          <w:sz w:val="24"/>
          <w:szCs w:val="24"/>
          <w:lang w:val="en-GB"/>
        </w:rPr>
        <w:t xml:space="preserve">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C50107">
        <w:rPr>
          <w:b/>
          <w:sz w:val="24"/>
          <w:szCs w:val="24"/>
          <w:lang w:val="en-GB"/>
        </w:rPr>
        <w:t>7</w:t>
      </w:r>
      <w:r w:rsidR="00A37DE8">
        <w:rPr>
          <w:b/>
          <w:sz w:val="24"/>
          <w:szCs w:val="24"/>
          <w:lang w:val="en-GB"/>
        </w:rPr>
        <w:t>th March</w:t>
      </w:r>
      <w:r w:rsidR="000B68D9">
        <w:rPr>
          <w:b/>
          <w:sz w:val="24"/>
          <w:szCs w:val="24"/>
          <w:lang w:val="en-GB"/>
        </w:rPr>
        <w:t xml:space="preserve"> 202</w:t>
      </w:r>
      <w:r w:rsidR="00C50107">
        <w:rPr>
          <w:b/>
          <w:sz w:val="24"/>
          <w:szCs w:val="24"/>
          <w:lang w:val="en-GB"/>
        </w:rPr>
        <w:t>3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15D5EE31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>:</w:t>
      </w:r>
      <w:r w:rsidR="00425741" w:rsidRPr="00425741">
        <w:t xml:space="preserve"> </w:t>
      </w:r>
      <w:hyperlink r:id="rId12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BE258D" w:rsidRPr="00EF7F55">
        <w:rPr>
          <w:sz w:val="24"/>
          <w:szCs w:val="24"/>
          <w:lang w:val="en-GB"/>
        </w:rPr>
        <w:t>.</w:t>
      </w:r>
      <w:r w:rsidR="00425741">
        <w:rPr>
          <w:sz w:val="24"/>
          <w:szCs w:val="24"/>
          <w:lang w:val="en-GB"/>
        </w:rPr>
        <w:t xml:space="preserve"> 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7D6EB5FF" w:rsidR="00E9648E" w:rsidRDefault="007529B9" w:rsidP="00E9648E">
      <w:pPr>
        <w:jc w:val="both"/>
        <w:rPr>
          <w:sz w:val="24"/>
          <w:szCs w:val="24"/>
          <w:lang w:val="en-GB"/>
        </w:rPr>
      </w:pPr>
      <w:proofErr w:type="gramStart"/>
      <w:r w:rsidRPr="00F70E67">
        <w:rPr>
          <w:sz w:val="24"/>
          <w:szCs w:val="24"/>
          <w:lang w:val="en-GB"/>
        </w:rPr>
        <w:t>All of</w:t>
      </w:r>
      <w:proofErr w:type="gramEnd"/>
      <w:r w:rsidRPr="00F70E67">
        <w:rPr>
          <w:sz w:val="24"/>
          <w:szCs w:val="24"/>
          <w:lang w:val="en-GB"/>
        </w:rPr>
        <w:t xml:space="preserve">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992751">
        <w:rPr>
          <w:b/>
          <w:sz w:val="24"/>
          <w:szCs w:val="24"/>
          <w:lang w:val="en-GB"/>
        </w:rPr>
        <w:t>2</w:t>
      </w:r>
      <w:r w:rsidR="00C50107">
        <w:rPr>
          <w:b/>
          <w:sz w:val="24"/>
          <w:szCs w:val="24"/>
          <w:lang w:val="en-GB"/>
        </w:rPr>
        <w:t>7</w:t>
      </w:r>
      <w:r w:rsidR="00992751">
        <w:rPr>
          <w:b/>
          <w:sz w:val="24"/>
          <w:szCs w:val="24"/>
          <w:lang w:val="en-GB"/>
        </w:rPr>
        <w:t>th June 202</w:t>
      </w:r>
      <w:r w:rsidR="00C50107">
        <w:rPr>
          <w:b/>
          <w:sz w:val="24"/>
          <w:szCs w:val="24"/>
          <w:lang w:val="en-GB"/>
        </w:rPr>
        <w:t>3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3D4B03DC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425741" w:rsidRPr="005941FE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hyperlink r:id="rId14" w:history="1"/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5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000000" w:rsidP="001F0D15">
      <w:pPr>
        <w:pStyle w:val="Nadpis3"/>
        <w:spacing w:before="0"/>
        <w:rPr>
          <w:color w:val="auto"/>
          <w:lang w:val="en-GB"/>
        </w:rPr>
      </w:pPr>
      <w:hyperlink r:id="rId16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7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CCD9" w14:textId="77777777" w:rsidR="0026688A" w:rsidRDefault="0026688A" w:rsidP="00B138A3">
      <w:r>
        <w:separator/>
      </w:r>
    </w:p>
  </w:endnote>
  <w:endnote w:type="continuationSeparator" w:id="0">
    <w:p w14:paraId="597A6A9E" w14:textId="77777777" w:rsidR="0026688A" w:rsidRDefault="0026688A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B1BE1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9CEC" w14:textId="77777777" w:rsidR="0026688A" w:rsidRDefault="0026688A" w:rsidP="00B138A3">
      <w:r>
        <w:separator/>
      </w:r>
    </w:p>
  </w:footnote>
  <w:footnote w:type="continuationSeparator" w:id="0">
    <w:p w14:paraId="6B08CB6B" w14:textId="77777777" w:rsidR="0026688A" w:rsidRDefault="0026688A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B68D9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23CC8"/>
    <w:rsid w:val="00233537"/>
    <w:rsid w:val="00241E1A"/>
    <w:rsid w:val="0026688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18C"/>
    <w:rsid w:val="00360BE3"/>
    <w:rsid w:val="00376E79"/>
    <w:rsid w:val="003813A2"/>
    <w:rsid w:val="003B559C"/>
    <w:rsid w:val="003F1DE9"/>
    <w:rsid w:val="003F3670"/>
    <w:rsid w:val="004169DD"/>
    <w:rsid w:val="00421E4A"/>
    <w:rsid w:val="00425741"/>
    <w:rsid w:val="0043178B"/>
    <w:rsid w:val="00471774"/>
    <w:rsid w:val="00481CEA"/>
    <w:rsid w:val="0048538C"/>
    <w:rsid w:val="004D44B9"/>
    <w:rsid w:val="00516BAD"/>
    <w:rsid w:val="005414CA"/>
    <w:rsid w:val="00550F0E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04C80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76868"/>
    <w:rsid w:val="008923C6"/>
    <w:rsid w:val="008A74E0"/>
    <w:rsid w:val="008B7AAD"/>
    <w:rsid w:val="008C35F3"/>
    <w:rsid w:val="008E2ADB"/>
    <w:rsid w:val="008E52B0"/>
    <w:rsid w:val="009334BA"/>
    <w:rsid w:val="00945BD2"/>
    <w:rsid w:val="009924C2"/>
    <w:rsid w:val="00992751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2A80"/>
    <w:rsid w:val="00B75E06"/>
    <w:rsid w:val="00B979D2"/>
    <w:rsid w:val="00B97B74"/>
    <w:rsid w:val="00B97DD8"/>
    <w:rsid w:val="00BA2557"/>
    <w:rsid w:val="00BA6BE0"/>
    <w:rsid w:val="00BB1BE1"/>
    <w:rsid w:val="00BB1C18"/>
    <w:rsid w:val="00BE258D"/>
    <w:rsid w:val="00C218EA"/>
    <w:rsid w:val="00C22635"/>
    <w:rsid w:val="00C50107"/>
    <w:rsid w:val="00C6068B"/>
    <w:rsid w:val="00C6437C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415F4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86180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5BF3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styleId="Nevyeenzmnka">
    <w:name w:val="Unresolved Mention"/>
    <w:basedOn w:val="Standardnpsmoodstavce"/>
    <w:uiPriority w:val="99"/>
    <w:semiHidden/>
    <w:unhideWhenUsed/>
    <w:rsid w:val="0042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spolecne-programovani-1-1" TargetMode="External"/><Relationship Id="rId13" Type="http://schemas.openxmlformats.org/officeDocument/2006/relationships/hyperlink" Target="https://www.msmt.cz/vyzkum-a-vyvoj-2/spolecne-programovani-1-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spolecne-programovani-1-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.Hanspach@msmt.cz" TargetMode="External"/><Relationship Id="rId10" Type="http://schemas.openxmlformats.org/officeDocument/2006/relationships/hyperlink" Target="https://www.msmt.cz/vyzkum-a-vyvoj-2/spolecne-programovani-1-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s://www.msmt.cz/vyzkum-a-vyvoj-2/iniciativa-spolecneho-programovani-neurodegenerativni-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41B4-6E97-44F2-B697-8A77F1D0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43</cp:revision>
  <dcterms:created xsi:type="dcterms:W3CDTF">2020-01-09T14:07:00Z</dcterms:created>
  <dcterms:modified xsi:type="dcterms:W3CDTF">2023-01-05T13:09:00Z</dcterms:modified>
</cp:coreProperties>
</file>