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0D08" w14:textId="31AA9C27" w:rsidR="004627AD" w:rsidRPr="007635C5" w:rsidRDefault="004627AD" w:rsidP="004627AD">
      <w:pPr>
        <w:pStyle w:val="bSS"/>
        <w:tabs>
          <w:tab w:val="left" w:pos="6946"/>
        </w:tabs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3</w:t>
      </w:r>
      <w:r w:rsidR="00B819E1">
        <w:rPr>
          <w:rFonts w:ascii="Calibri" w:hAnsi="Calibri" w:cs="Calibri"/>
          <w:b/>
          <w:sz w:val="27"/>
          <w:szCs w:val="27"/>
        </w:rPr>
        <w:t xml:space="preserve"> </w:t>
      </w:r>
    </w:p>
    <w:p w14:paraId="5CA4D6C1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0" w:name="_Podrobný_rozpočet_projektu"/>
      <w:bookmarkEnd w:id="0"/>
      <w:r w:rsidRPr="007635C5">
        <w:rPr>
          <w:rFonts w:ascii="Calibri" w:hAnsi="Calibri" w:cs="Calibri"/>
          <w:sz w:val="27"/>
          <w:szCs w:val="27"/>
        </w:rPr>
        <w:t>Podrobný rozpočet projektu</w:t>
      </w:r>
    </w:p>
    <w:p w14:paraId="3ACF84DA" w14:textId="77777777" w:rsidR="004627AD" w:rsidRPr="007635C5" w:rsidRDefault="004627AD" w:rsidP="004627AD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1011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1324"/>
        <w:gridCol w:w="1560"/>
        <w:gridCol w:w="1559"/>
        <w:gridCol w:w="1559"/>
      </w:tblGrid>
      <w:tr w:rsidR="00784F32" w:rsidRPr="007635C5" w14:paraId="480D0CCC" w14:textId="77777777" w:rsidTr="00784F32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62877C3" w14:textId="77777777" w:rsidR="00784F32" w:rsidRPr="007635C5" w:rsidRDefault="00784F32" w:rsidP="00693B3C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874225" w14:textId="39EEC20C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C</w:t>
            </w: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elkový rozpočet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9E934C" w14:textId="19BE6418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</w:rPr>
              <w:t>z toho hrazeno z vlastních příjmů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750131CC" w14:textId="41FF3D24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říjmy od ostatních ministerstev a úřadů práce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9E04D54" w14:textId="77777777" w:rsidR="00784F32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Požadovaná</w:t>
            </w:r>
          </w:p>
          <w:p w14:paraId="3D0370D9" w14:textId="77777777" w:rsidR="00784F32" w:rsidRPr="007635C5" w:rsidRDefault="00784F32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dotace</w:t>
            </w:r>
          </w:p>
        </w:tc>
      </w:tr>
      <w:tr w:rsidR="00784F32" w:rsidRPr="007635C5" w14:paraId="3B245194" w14:textId="77777777" w:rsidTr="00784F32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7B0D164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Osobní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-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  <w:proofErr w:type="gramEnd"/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DB6A8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E632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50FE4" w14:textId="73857E62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F74E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3DCB157B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B5A732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5801927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zdy 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4F5BADBA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63A2E295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0B2486A6" w14:textId="513E71DC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134E4C20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781B8232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303EFD1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3914007D" w14:textId="02AB91A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statní osobní náklady (DPP, DPČ) </w:t>
            </w:r>
          </w:p>
        </w:tc>
        <w:tc>
          <w:tcPr>
            <w:tcW w:w="1324" w:type="dxa"/>
          </w:tcPr>
          <w:p w14:paraId="4F6393E6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</w:tcPr>
          <w:p w14:paraId="49AF8367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A2DCC40" w14:textId="7ADB49EA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A018A18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4640CC44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7F142E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5D9FAE0B" w14:textId="2E14688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Zákonné odvody (zdravotní a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sociální  pojištění</w:t>
            </w:r>
            <w:proofErr w:type="gramEnd"/>
            <w:r>
              <w:rPr>
                <w:rFonts w:ascii="Calibri" w:hAnsi="Calibri" w:cs="Calibri"/>
                <w:sz w:val="23"/>
                <w:szCs w:val="23"/>
              </w:rPr>
              <w:t>)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14:paraId="51E4C2F2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3D788B7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5017ADC8" w14:textId="6D50E7BF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3772B2C4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3134C6A2" w14:textId="77777777" w:rsidTr="00784F32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EE915FC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Materiální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30C1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040E8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052D" w14:textId="0EA4B7EA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5781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620E347D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50B4F55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4935D9AF" w14:textId="7AACA593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31ECF3CE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7352CD27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A51E885" w14:textId="3636E743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6352297B" w14:textId="77777777" w:rsidR="00784F32" w:rsidRPr="007635C5" w:rsidRDefault="00784F32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784F32" w:rsidRPr="007635C5" w14:paraId="57A09296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600935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6F20B0EA" w14:textId="489FC041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statní materiál</w:t>
            </w:r>
          </w:p>
        </w:tc>
        <w:tc>
          <w:tcPr>
            <w:tcW w:w="1324" w:type="dxa"/>
            <w:tcBorders>
              <w:bottom w:val="single" w:sz="18" w:space="0" w:color="auto"/>
            </w:tcBorders>
          </w:tcPr>
          <w:p w14:paraId="542FF21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5CB30304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4E66A07D" w14:textId="4A954CE0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5227B03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68C97125" w14:textId="77777777" w:rsidTr="00784F32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624657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Nemateriální </w:t>
            </w:r>
            <w:proofErr w:type="gramStart"/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  <w:proofErr w:type="gramEnd"/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C84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A82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3AA3A" w14:textId="5A87A1E5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63E87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66E7FC0B" w14:textId="77777777" w:rsidTr="00784F32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130689D0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7CE19D37" w14:textId="10A9AC6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1324" w:type="dxa"/>
            <w:tcBorders>
              <w:top w:val="single" w:sz="18" w:space="0" w:color="auto"/>
            </w:tcBorders>
          </w:tcPr>
          <w:p w14:paraId="7659511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0D9536F1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5B8816C0" w14:textId="50F2CC52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0EDD9D4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406BFD7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CBD1BDE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DE306BD" w14:textId="5B9977C6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A7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3F7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2C" w14:textId="3069642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21B8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34E064D6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1FA8521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DA8" w14:textId="5FB4BC9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T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elekomunikační poplatky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144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157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20" w14:textId="32EBEA3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0DDF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D8996BF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1F89353E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DCC5AA5" w14:textId="14C0367C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Š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kolení a vzdělávání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4F3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D0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59A" w14:textId="5D59C7E8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4F14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A08CB33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26908AF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27EFF9D" w14:textId="16021F5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F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02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EFB" w14:textId="1C36B989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29708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07F765E7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E682D55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D9FFAE3" w14:textId="7A599002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estovní náklady realizátorů 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1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3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24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E0D" w14:textId="7BD85723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75868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1EB1338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90CF369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0E2C83B" w14:textId="082005F0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0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90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705" w14:textId="055DCFA3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61A45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4724AADD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24D3537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6FF7225" w14:textId="633085FF" w:rsidR="00784F32" w:rsidRPr="007635C5" w:rsidRDefault="00784F32" w:rsidP="00B819E1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Stravování (poskytování hlavních jídel – snídaně, oběd, večeře)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640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E28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2CE" w14:textId="64AA95CA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5EC3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929930B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4BBBDCB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6D08F7" w14:textId="36E04EB3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H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onoráře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2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4A5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E4B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82A" w14:textId="07604454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435BE6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0EFF4464" w14:textId="77777777" w:rsidTr="00784F32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AFB088D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83F74B" w14:textId="3E992766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ropagace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B91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6DF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EA" w14:textId="4D0D4A6D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1C1A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337CC42" w14:textId="77777777" w:rsidTr="00784F32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71EF7B8E" w14:textId="77777777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0B63DE84" w14:textId="700E57ED" w:rsidR="00784F32" w:rsidRPr="007635C5" w:rsidRDefault="00784F32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statní – specifikujte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C1F0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113A8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1F4EC6" w14:textId="51F8E25F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1DC5BD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784F32" w:rsidRPr="007635C5" w14:paraId="7E1E3146" w14:textId="77777777" w:rsidTr="00784F32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EA3EFB2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52E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436AA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C86EA" w14:textId="33FFACC8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0A9C9" w14:textId="77777777" w:rsidR="00784F32" w:rsidRPr="007635C5" w:rsidRDefault="00784F32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7553F8A" w14:textId="77777777" w:rsidR="004627AD" w:rsidRPr="007635C5" w:rsidRDefault="004627AD" w:rsidP="004627AD">
      <w:pPr>
        <w:rPr>
          <w:rFonts w:ascii="Calibri" w:hAnsi="Calibri" w:cs="Calibri"/>
          <w:sz w:val="15"/>
          <w:szCs w:val="15"/>
        </w:rPr>
      </w:pPr>
    </w:p>
    <w:p w14:paraId="0E5C1E1E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15"/>
          <w:szCs w:val="15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7635C5">
        <w:rPr>
          <w:rFonts w:ascii="Calibri" w:hAnsi="Calibri" w:cs="Calibri"/>
          <w:b/>
        </w:rPr>
        <w:t>(se zřetelem na obsah projektu)</w:t>
      </w:r>
      <w:r w:rsidRPr="007635C5">
        <w:rPr>
          <w:rFonts w:ascii="Calibri" w:hAnsi="Calibri" w:cs="Calibri"/>
          <w:b/>
          <w:sz w:val="23"/>
          <w:szCs w:val="23"/>
        </w:rPr>
        <w:t xml:space="preserve"> </w:t>
      </w:r>
      <w:r w:rsidRPr="007635C5">
        <w:rPr>
          <w:rStyle w:val="Znakapoznpodarou"/>
          <w:rFonts w:ascii="Calibri" w:hAnsi="Calibri" w:cs="Calibri"/>
          <w:b/>
          <w:sz w:val="23"/>
          <w:szCs w:val="23"/>
        </w:rPr>
        <w:footnoteReference w:id="3"/>
      </w:r>
    </w:p>
    <w:p w14:paraId="27543727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091"/>
      </w:tblGrid>
      <w:tr w:rsidR="004627AD" w:rsidRPr="007635C5" w14:paraId="4CD304D9" w14:textId="77777777" w:rsidTr="00693B3C">
        <w:tc>
          <w:tcPr>
            <w:tcW w:w="9067" w:type="dxa"/>
            <w:gridSpan w:val="2"/>
            <w:shd w:val="clear" w:color="auto" w:fill="FFCCCC"/>
          </w:tcPr>
          <w:p w14:paraId="64D4A53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4627AD" w:rsidRPr="007635C5" w14:paraId="2379DCF5" w14:textId="77777777" w:rsidTr="00693B3C">
        <w:tc>
          <w:tcPr>
            <w:tcW w:w="2976" w:type="dxa"/>
            <w:shd w:val="clear" w:color="auto" w:fill="FFCCCC"/>
          </w:tcPr>
          <w:p w14:paraId="566DD8D0" w14:textId="18207E6A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6091" w:type="dxa"/>
          </w:tcPr>
          <w:p w14:paraId="4F23978D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1567BC92" w14:textId="77777777" w:rsidTr="00693B3C">
        <w:tc>
          <w:tcPr>
            <w:tcW w:w="2976" w:type="dxa"/>
            <w:shd w:val="clear" w:color="auto" w:fill="FFCCCC"/>
          </w:tcPr>
          <w:p w14:paraId="151E6997" w14:textId="26DEFA52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ákup materiálu jinde nezařazený</w:t>
            </w:r>
          </w:p>
        </w:tc>
        <w:tc>
          <w:tcPr>
            <w:tcW w:w="6091" w:type="dxa"/>
          </w:tcPr>
          <w:p w14:paraId="4AC57D6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1FAED36" w14:textId="77777777" w:rsidTr="00693B3C">
        <w:tc>
          <w:tcPr>
            <w:tcW w:w="9067" w:type="dxa"/>
            <w:gridSpan w:val="2"/>
            <w:shd w:val="clear" w:color="auto" w:fill="FFCCCC"/>
          </w:tcPr>
          <w:p w14:paraId="47B9E7B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4627AD" w:rsidRPr="007635C5" w14:paraId="273A79E4" w14:textId="77777777" w:rsidTr="00693B3C">
        <w:tc>
          <w:tcPr>
            <w:tcW w:w="2976" w:type="dxa"/>
            <w:shd w:val="clear" w:color="auto" w:fill="FFCCCC"/>
          </w:tcPr>
          <w:p w14:paraId="526AFE04" w14:textId="536B6938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6091" w:type="dxa"/>
          </w:tcPr>
          <w:p w14:paraId="6D9FD1A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29F96BF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62D64E" w14:textId="3B38DAFD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D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E055079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66D43D" w14:textId="2427582A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T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elekomunikační poplatky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2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AAA342C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CED1132" w14:textId="5E11A8C1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Š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kolení a vzdělávání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97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52AEC0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EA06541" w14:textId="6C15FD91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6A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1863413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AAD4A7D" w14:textId="7652F013" w:rsidR="004627AD" w:rsidRPr="007635C5" w:rsidRDefault="006C40C6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estovní náklady realizátorů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F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766BBFA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48879AC" w14:textId="7A9F566A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AE0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80EEF47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464AD4" w14:textId="1BB2F07F" w:rsidR="004627AD" w:rsidRPr="007635C5" w:rsidRDefault="006C40C6" w:rsidP="006C40C6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</w:t>
            </w:r>
            <w:r w:rsidR="004627AD">
              <w:rPr>
                <w:rFonts w:ascii="Calibri" w:hAnsi="Calibri" w:cs="Calibri"/>
                <w:sz w:val="23"/>
                <w:szCs w:val="23"/>
              </w:rPr>
              <w:t>travování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(poskytování hlavních jídel – snídaně, oběd, večeře)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4C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214C54D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FE3044" w14:textId="50916609" w:rsidR="004627AD" w:rsidRPr="007635C5" w:rsidRDefault="006C40C6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 xml:space="preserve">ropagace (nutné podrobně uvést-způsob, </w:t>
            </w:r>
            <w:proofErr w:type="gramStart"/>
            <w:r w:rsidR="004627AD" w:rsidRPr="007635C5">
              <w:rPr>
                <w:rFonts w:ascii="Calibri" w:hAnsi="Calibri" w:cs="Calibri"/>
                <w:sz w:val="23"/>
                <w:szCs w:val="23"/>
              </w:rPr>
              <w:t>množství,</w:t>
            </w:r>
            <w:proofErr w:type="gramEnd"/>
            <w:r w:rsidR="004627AD" w:rsidRPr="007635C5">
              <w:rPr>
                <w:rFonts w:ascii="Calibri" w:hAnsi="Calibri" w:cs="Calibri"/>
                <w:sz w:val="23"/>
                <w:szCs w:val="23"/>
              </w:rPr>
              <w:t xml:space="preserve"> atp.)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06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28EAB6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1E2072B" w14:textId="3F9BBCD6" w:rsidR="004627AD" w:rsidRPr="007635C5" w:rsidRDefault="006C40C6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statní – specifikujte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18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6524558" w14:textId="77777777" w:rsidR="004627AD" w:rsidRPr="007635C5" w:rsidRDefault="004627AD" w:rsidP="004627AD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14:paraId="7CB8D666" w14:textId="77777777" w:rsidR="004627AD" w:rsidRPr="007635C5" w:rsidRDefault="004627AD" w:rsidP="004627AD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</w:t>
      </w:r>
      <w:r>
        <w:rPr>
          <w:rFonts w:ascii="Calibri" w:hAnsi="Calibri" w:cs="Calibri"/>
          <w:b/>
          <w:sz w:val="27"/>
          <w:szCs w:val="27"/>
        </w:rPr>
        <w:t xml:space="preserve">osobních </w:t>
      </w:r>
      <w:r w:rsidRPr="007635C5">
        <w:rPr>
          <w:rFonts w:ascii="Calibri" w:hAnsi="Calibri" w:cs="Calibri"/>
          <w:b/>
          <w:sz w:val="27"/>
          <w:szCs w:val="27"/>
        </w:rPr>
        <w:t xml:space="preserve">nákladů na projekt, </w:t>
      </w:r>
      <w:r w:rsidRPr="007635C5">
        <w:rPr>
          <w:rFonts w:ascii="Calibri" w:hAnsi="Calibri" w:cs="Calibri"/>
          <w:b/>
          <w:sz w:val="23"/>
          <w:szCs w:val="23"/>
        </w:rPr>
        <w:t>podíl požadované dotace nesmí být vyšší než podíl dotace na projektu – řádky se doplní dle potřeby</w:t>
      </w:r>
    </w:p>
    <w:p w14:paraId="5A05F0A1" w14:textId="79F23F52" w:rsidR="004627AD" w:rsidRPr="007635C5" w:rsidRDefault="004627AD" w:rsidP="004627AD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</w:t>
      </w:r>
      <w:r w:rsidR="006C40C6">
        <w:rPr>
          <w:rFonts w:ascii="Calibri" w:hAnsi="Calibri" w:cs="Calibri"/>
          <w:b/>
          <w:sz w:val="23"/>
          <w:szCs w:val="23"/>
        </w:rPr>
        <w:t>mzdy</w:t>
      </w:r>
      <w:r w:rsidRPr="007635C5">
        <w:rPr>
          <w:rFonts w:ascii="Calibri" w:hAnsi="Calibri" w:cs="Calibri"/>
          <w:b/>
          <w:sz w:val="23"/>
          <w:szCs w:val="23"/>
        </w:rPr>
        <w:t xml:space="preserve"> zaměstnanců v pracovním poměru 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708"/>
        <w:gridCol w:w="851"/>
        <w:gridCol w:w="1138"/>
        <w:gridCol w:w="1417"/>
        <w:gridCol w:w="851"/>
        <w:gridCol w:w="1272"/>
        <w:gridCol w:w="1275"/>
      </w:tblGrid>
      <w:tr w:rsidR="00C95DF8" w:rsidRPr="007635C5" w14:paraId="7F3264E9" w14:textId="77777777" w:rsidTr="00C95DF8">
        <w:trPr>
          <w:trHeight w:val="1540"/>
        </w:trPr>
        <w:tc>
          <w:tcPr>
            <w:tcW w:w="1277" w:type="dxa"/>
          </w:tcPr>
          <w:p w14:paraId="30ED27C8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Pracovní pozice</w:t>
            </w:r>
          </w:p>
        </w:tc>
        <w:tc>
          <w:tcPr>
            <w:tcW w:w="1134" w:type="dxa"/>
          </w:tcPr>
          <w:p w14:paraId="6B9CBC8B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kvalifikace</w:t>
            </w:r>
          </w:p>
        </w:tc>
        <w:tc>
          <w:tcPr>
            <w:tcW w:w="708" w:type="dxa"/>
          </w:tcPr>
          <w:p w14:paraId="0A2F5545" w14:textId="77DD2D10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délka praxe</w:t>
            </w:r>
          </w:p>
        </w:tc>
        <w:tc>
          <w:tcPr>
            <w:tcW w:w="851" w:type="dxa"/>
          </w:tcPr>
          <w:p w14:paraId="76FA0858" w14:textId="3410F90E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úvazek</w:t>
            </w:r>
          </w:p>
        </w:tc>
        <w:tc>
          <w:tcPr>
            <w:tcW w:w="1138" w:type="dxa"/>
          </w:tcPr>
          <w:p w14:paraId="711F0EE1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průměrná měsíční mzda, případně zařazení do platové třídy</w:t>
            </w:r>
          </w:p>
        </w:tc>
        <w:tc>
          <w:tcPr>
            <w:tcW w:w="1417" w:type="dxa"/>
          </w:tcPr>
          <w:p w14:paraId="506A4C61" w14:textId="6114DA52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přepočet měsíční mzdy na celý úvazek</w:t>
            </w:r>
          </w:p>
        </w:tc>
        <w:tc>
          <w:tcPr>
            <w:tcW w:w="851" w:type="dxa"/>
          </w:tcPr>
          <w:p w14:paraId="4F8AB1C4" w14:textId="58DDCF65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počet měsíců</w:t>
            </w:r>
          </w:p>
        </w:tc>
        <w:tc>
          <w:tcPr>
            <w:tcW w:w="1272" w:type="dxa"/>
          </w:tcPr>
          <w:p w14:paraId="16D298ED" w14:textId="57A3671B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mzda celkem na rok 202</w:t>
            </w: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275" w:type="dxa"/>
          </w:tcPr>
          <w:p w14:paraId="28418514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požadovaná</w:t>
            </w:r>
          </w:p>
          <w:p w14:paraId="749B26F4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 xml:space="preserve">dotace </w:t>
            </w:r>
          </w:p>
        </w:tc>
      </w:tr>
      <w:tr w:rsidR="00C95DF8" w:rsidRPr="007635C5" w14:paraId="22EA4394" w14:textId="77777777" w:rsidTr="00C95DF8">
        <w:trPr>
          <w:trHeight w:val="300"/>
        </w:trPr>
        <w:tc>
          <w:tcPr>
            <w:tcW w:w="1277" w:type="dxa"/>
          </w:tcPr>
          <w:p w14:paraId="4B562BAA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372161E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08" w:type="dxa"/>
          </w:tcPr>
          <w:p w14:paraId="3D1D202E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4AC733D2" w14:textId="54E700F8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8" w:type="dxa"/>
          </w:tcPr>
          <w:p w14:paraId="571BDE99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54A8868F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63376F38" w14:textId="1900F44A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2" w:type="dxa"/>
          </w:tcPr>
          <w:p w14:paraId="60B296CD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3E50200C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C95DF8" w:rsidRPr="007635C5" w14:paraId="56FC106F" w14:textId="77777777" w:rsidTr="00C95DF8">
        <w:trPr>
          <w:trHeight w:val="300"/>
        </w:trPr>
        <w:tc>
          <w:tcPr>
            <w:tcW w:w="1277" w:type="dxa"/>
          </w:tcPr>
          <w:p w14:paraId="102F48BB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58327B80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08" w:type="dxa"/>
          </w:tcPr>
          <w:p w14:paraId="3D87074F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23B8B16C" w14:textId="216868BE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8" w:type="dxa"/>
          </w:tcPr>
          <w:p w14:paraId="7F7B4BF4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6D08B9CA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381DDA09" w14:textId="603F0752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2" w:type="dxa"/>
          </w:tcPr>
          <w:p w14:paraId="6C4251A0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47425678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1F0F602C" w14:textId="77777777" w:rsidR="004627AD" w:rsidRPr="007635C5" w:rsidRDefault="004627AD" w:rsidP="004627AD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134"/>
        <w:gridCol w:w="851"/>
        <w:gridCol w:w="992"/>
        <w:gridCol w:w="1417"/>
        <w:gridCol w:w="1276"/>
        <w:gridCol w:w="1559"/>
      </w:tblGrid>
      <w:tr w:rsidR="00C95DF8" w:rsidRPr="007635C5" w14:paraId="586AC6DC" w14:textId="77777777" w:rsidTr="00C95DF8">
        <w:trPr>
          <w:trHeight w:val="675"/>
        </w:trPr>
        <w:tc>
          <w:tcPr>
            <w:tcW w:w="1702" w:type="dxa"/>
          </w:tcPr>
          <w:p w14:paraId="2BE93667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Pracovní pozice</w:t>
            </w:r>
          </w:p>
        </w:tc>
        <w:tc>
          <w:tcPr>
            <w:tcW w:w="992" w:type="dxa"/>
          </w:tcPr>
          <w:p w14:paraId="4847FA5B" w14:textId="6B9058A9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délka praxe</w:t>
            </w:r>
          </w:p>
        </w:tc>
        <w:tc>
          <w:tcPr>
            <w:tcW w:w="1134" w:type="dxa"/>
          </w:tcPr>
          <w:p w14:paraId="14302E90" w14:textId="4D9E2D98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druh činnosti</w:t>
            </w:r>
          </w:p>
        </w:tc>
        <w:tc>
          <w:tcPr>
            <w:tcW w:w="851" w:type="dxa"/>
          </w:tcPr>
          <w:p w14:paraId="17770283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celkem hodin</w:t>
            </w:r>
          </w:p>
        </w:tc>
        <w:tc>
          <w:tcPr>
            <w:tcW w:w="992" w:type="dxa"/>
          </w:tcPr>
          <w:p w14:paraId="4BA817E8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odměna za 1 hodinu</w:t>
            </w:r>
          </w:p>
        </w:tc>
        <w:tc>
          <w:tcPr>
            <w:tcW w:w="1417" w:type="dxa"/>
          </w:tcPr>
          <w:p w14:paraId="0AAA0197" w14:textId="77777777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odměna celkem</w:t>
            </w:r>
          </w:p>
        </w:tc>
        <w:tc>
          <w:tcPr>
            <w:tcW w:w="1276" w:type="dxa"/>
          </w:tcPr>
          <w:p w14:paraId="1F114353" w14:textId="4C4B0406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</w:t>
            </w:r>
            <w:r w:rsidRPr="00F81F7F">
              <w:rPr>
                <w:rFonts w:ascii="Calibri" w:hAnsi="Calibri" w:cs="Calibri"/>
                <w:sz w:val="20"/>
              </w:rPr>
              <w:t>ákonné odvody</w:t>
            </w:r>
          </w:p>
        </w:tc>
        <w:tc>
          <w:tcPr>
            <w:tcW w:w="1559" w:type="dxa"/>
          </w:tcPr>
          <w:p w14:paraId="370BBD52" w14:textId="7DED98F1" w:rsidR="00C95DF8" w:rsidRPr="00F81F7F" w:rsidRDefault="00C95DF8" w:rsidP="00693B3C">
            <w:pPr>
              <w:rPr>
                <w:rFonts w:ascii="Calibri" w:hAnsi="Calibri" w:cs="Calibri"/>
                <w:sz w:val="20"/>
              </w:rPr>
            </w:pPr>
            <w:r w:rsidRPr="00F81F7F">
              <w:rPr>
                <w:rFonts w:ascii="Calibri" w:hAnsi="Calibri" w:cs="Calibri"/>
                <w:sz w:val="20"/>
              </w:rPr>
              <w:t>požadovaná dotace</w:t>
            </w:r>
          </w:p>
        </w:tc>
      </w:tr>
      <w:tr w:rsidR="00C95DF8" w:rsidRPr="007635C5" w14:paraId="74E52F3E" w14:textId="77777777" w:rsidTr="00C95DF8">
        <w:trPr>
          <w:trHeight w:val="359"/>
        </w:trPr>
        <w:tc>
          <w:tcPr>
            <w:tcW w:w="1702" w:type="dxa"/>
          </w:tcPr>
          <w:p w14:paraId="135BB81F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4F3F9D37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36DFE322" w14:textId="0C5C629B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46195DBA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562D8242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2AEB0814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F187D2D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15A1A289" w14:textId="74507EAC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C95DF8" w:rsidRPr="007635C5" w14:paraId="40F1850C" w14:textId="77777777" w:rsidTr="00C95DF8">
        <w:trPr>
          <w:trHeight w:val="373"/>
        </w:trPr>
        <w:tc>
          <w:tcPr>
            <w:tcW w:w="1702" w:type="dxa"/>
          </w:tcPr>
          <w:p w14:paraId="175256AF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496DB6B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6A07411" w14:textId="567F16B4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54915710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14:paraId="66C5E511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50F1985D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C5953B2" w14:textId="77777777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59" w:type="dxa"/>
          </w:tcPr>
          <w:p w14:paraId="5F6F03CC" w14:textId="79870860" w:rsidR="00C95DF8" w:rsidRPr="007635C5" w:rsidRDefault="00C95DF8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0C89F255" w14:textId="77777777" w:rsidR="004627AD" w:rsidRDefault="004627AD" w:rsidP="006C40C6">
      <w:pPr>
        <w:rPr>
          <w:rFonts w:ascii="Calibri" w:hAnsi="Calibri" w:cs="Calibri"/>
          <w:b/>
          <w:sz w:val="27"/>
          <w:szCs w:val="27"/>
        </w:rPr>
      </w:pPr>
    </w:p>
    <w:sectPr w:rsidR="004627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2753" w14:textId="77777777" w:rsidR="00960FB0" w:rsidRDefault="00960FB0" w:rsidP="00A23055">
      <w:r>
        <w:separator/>
      </w:r>
    </w:p>
  </w:endnote>
  <w:endnote w:type="continuationSeparator" w:id="0">
    <w:p w14:paraId="5F2F4625" w14:textId="77777777" w:rsidR="00960FB0" w:rsidRDefault="00960FB0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AC7A" w14:textId="77777777" w:rsidR="00960FB0" w:rsidRDefault="00960FB0" w:rsidP="00A23055">
      <w:r>
        <w:separator/>
      </w:r>
    </w:p>
  </w:footnote>
  <w:footnote w:type="continuationSeparator" w:id="0">
    <w:p w14:paraId="5AA712F0" w14:textId="77777777" w:rsidR="00960FB0" w:rsidRDefault="00960FB0" w:rsidP="00A23055">
      <w:r>
        <w:continuationSeparator/>
      </w:r>
    </w:p>
  </w:footnote>
  <w:footnote w:id="1">
    <w:p w14:paraId="50BDFFD4" w14:textId="77777777" w:rsidR="00784F32" w:rsidRPr="00FF38E4" w:rsidRDefault="00784F32" w:rsidP="004627AD">
      <w:pPr>
        <w:pStyle w:val="Textpoznpodarou"/>
        <w:rPr>
          <w:bCs/>
        </w:rPr>
      </w:pPr>
      <w:r w:rsidRPr="00FF38E4">
        <w:rPr>
          <w:rStyle w:val="Znakapoznpodarou"/>
        </w:rPr>
        <w:footnoteRef/>
      </w:r>
      <w:r w:rsidRPr="00FF38E4">
        <w:t xml:space="preserve"> </w:t>
      </w:r>
      <w:r w:rsidRPr="00FF38E4">
        <w:rPr>
          <w:bCs/>
        </w:rPr>
        <w:t>Z dotace lze hradit pouze jízdné ve výši odpovídající ceně jízdenky za prostředek hromadné dopravy, a to i</w:t>
      </w:r>
      <w:r>
        <w:rPr>
          <w:bCs/>
        </w:rPr>
        <w:t> </w:t>
      </w:r>
      <w:r w:rsidRPr="00FF38E4">
        <w:rPr>
          <w:bCs/>
        </w:rPr>
        <w:t>v případě použití silničního motorového vozidla.</w:t>
      </w:r>
    </w:p>
    <w:p w14:paraId="240C4108" w14:textId="77777777" w:rsidR="00784F32" w:rsidRPr="00FF38E4" w:rsidRDefault="00784F32" w:rsidP="004627AD">
      <w:pPr>
        <w:pStyle w:val="Textpoznpodarou"/>
      </w:pPr>
    </w:p>
  </w:footnote>
  <w:footnote w:id="2">
    <w:p w14:paraId="0527A1A8" w14:textId="77777777" w:rsidR="00784F32" w:rsidRPr="00FF38E4" w:rsidRDefault="00784F32" w:rsidP="004627AD">
      <w:pPr>
        <w:pStyle w:val="Textpoznpodarou"/>
      </w:pPr>
      <w:r w:rsidRPr="00FF38E4">
        <w:rPr>
          <w:rStyle w:val="Znakapoznpodarou"/>
        </w:rPr>
        <w:footnoteRef/>
      </w:r>
      <w:r w:rsidRPr="00FF38E4">
        <w:t xml:space="preserve"> Pouze pokud jsou </w:t>
      </w:r>
      <w:r w:rsidRPr="00FF38E4">
        <w:rPr>
          <w:bCs/>
        </w:rPr>
        <w:t>honoráře hrazeny fakturou jako služba, jinak je nezbytné zahrnout je mezi ostatní osobní náklady.</w:t>
      </w:r>
    </w:p>
  </w:footnote>
  <w:footnote w:id="3">
    <w:p w14:paraId="5C716406" w14:textId="77777777" w:rsidR="00B819E1" w:rsidRPr="002157BD" w:rsidRDefault="00B819E1" w:rsidP="004627AD">
      <w:pPr>
        <w:pStyle w:val="Textpoznpodarou"/>
      </w:pPr>
      <w:r w:rsidRPr="002157BD">
        <w:rPr>
          <w:rStyle w:val="Znakapoznpodarou"/>
        </w:rPr>
        <w:footnoteRef/>
      </w:r>
      <w:r w:rsidRPr="002157BD">
        <w:t xml:space="preserve"> </w:t>
      </w:r>
      <w:r w:rsidRPr="002157BD">
        <w:rPr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47F11F36" w:rsidR="00B819E1" w:rsidRPr="004627AD" w:rsidRDefault="00B819E1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Návrh pro PV č. j. MSMT-</w:t>
    </w:r>
    <w:r w:rsidR="00C95DF8">
      <w:rPr>
        <w:rFonts w:eastAsiaTheme="minorHAnsi" w:cstheme="minorBidi"/>
        <w:i/>
        <w:sz w:val="20"/>
        <w:szCs w:val="22"/>
        <w:lang w:eastAsia="en-US"/>
      </w:rPr>
      <w:t>32785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C95DF8">
      <w:rPr>
        <w:rFonts w:eastAsiaTheme="minorHAnsi" w:cstheme="minorBidi"/>
        <w:i/>
        <w:sz w:val="20"/>
        <w:szCs w:val="22"/>
        <w:lang w:eastAsia="en-US"/>
      </w:rPr>
      <w:t>2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7D05A8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38E2D5BC" w:rsidR="00B819E1" w:rsidRPr="004627AD" w:rsidRDefault="00B819E1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I</w:t>
    </w:r>
    <w:r w:rsidR="00D554C2">
      <w:rPr>
        <w:rFonts w:eastAsiaTheme="minorHAnsi" w:cstheme="minorBidi"/>
        <w:i/>
        <w:sz w:val="20"/>
        <w:szCs w:val="22"/>
        <w:lang w:eastAsia="en-US"/>
      </w:rPr>
      <w:t>II</w:t>
    </w:r>
    <w:r w:rsidRPr="004627AD">
      <w:rPr>
        <w:rFonts w:eastAsiaTheme="minorHAnsi" w:cstheme="minorBidi"/>
        <w:i/>
        <w:sz w:val="20"/>
        <w:szCs w:val="22"/>
        <w:lang w:eastAsia="en-US"/>
      </w:rPr>
      <w:t>.</w:t>
    </w:r>
  </w:p>
  <w:p w14:paraId="28220C5D" w14:textId="77777777" w:rsidR="00B819E1" w:rsidRDefault="00B819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272397433">
    <w:abstractNumId w:val="29"/>
  </w:num>
  <w:num w:numId="2" w16cid:durableId="266739079">
    <w:abstractNumId w:val="19"/>
  </w:num>
  <w:num w:numId="3" w16cid:durableId="543371505">
    <w:abstractNumId w:val="0"/>
  </w:num>
  <w:num w:numId="4" w16cid:durableId="1342929223">
    <w:abstractNumId w:val="3"/>
  </w:num>
  <w:num w:numId="5" w16cid:durableId="1678074989">
    <w:abstractNumId w:val="25"/>
  </w:num>
  <w:num w:numId="6" w16cid:durableId="1656959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104642">
    <w:abstractNumId w:val="10"/>
  </w:num>
  <w:num w:numId="8" w16cid:durableId="2003969416">
    <w:abstractNumId w:val="24"/>
  </w:num>
  <w:num w:numId="9" w16cid:durableId="770123668">
    <w:abstractNumId w:val="26"/>
  </w:num>
  <w:num w:numId="10" w16cid:durableId="641037630">
    <w:abstractNumId w:val="17"/>
  </w:num>
  <w:num w:numId="11" w16cid:durableId="306469806">
    <w:abstractNumId w:val="14"/>
  </w:num>
  <w:num w:numId="12" w16cid:durableId="690227276">
    <w:abstractNumId w:val="9"/>
  </w:num>
  <w:num w:numId="13" w16cid:durableId="1922057981">
    <w:abstractNumId w:val="31"/>
  </w:num>
  <w:num w:numId="14" w16cid:durableId="1939630628">
    <w:abstractNumId w:val="1"/>
  </w:num>
  <w:num w:numId="15" w16cid:durableId="1061290632">
    <w:abstractNumId w:val="34"/>
  </w:num>
  <w:num w:numId="16" w16cid:durableId="2057704360">
    <w:abstractNumId w:val="7"/>
  </w:num>
  <w:num w:numId="17" w16cid:durableId="1892837897">
    <w:abstractNumId w:val="11"/>
  </w:num>
  <w:num w:numId="18" w16cid:durableId="943999029">
    <w:abstractNumId w:val="13"/>
  </w:num>
  <w:num w:numId="19" w16cid:durableId="1200893955">
    <w:abstractNumId w:val="30"/>
  </w:num>
  <w:num w:numId="20" w16cid:durableId="1937328569">
    <w:abstractNumId w:val="5"/>
  </w:num>
  <w:num w:numId="21" w16cid:durableId="1846548913">
    <w:abstractNumId w:val="22"/>
  </w:num>
  <w:num w:numId="22" w16cid:durableId="2144423445">
    <w:abstractNumId w:val="12"/>
  </w:num>
  <w:num w:numId="23" w16cid:durableId="1680037348">
    <w:abstractNumId w:val="33"/>
  </w:num>
  <w:num w:numId="24" w16cid:durableId="2084797672">
    <w:abstractNumId w:val="15"/>
  </w:num>
  <w:num w:numId="25" w16cid:durableId="1381325980">
    <w:abstractNumId w:val="21"/>
  </w:num>
  <w:num w:numId="26" w16cid:durableId="594627765">
    <w:abstractNumId w:val="28"/>
  </w:num>
  <w:num w:numId="27" w16cid:durableId="977225610">
    <w:abstractNumId w:val="6"/>
  </w:num>
  <w:num w:numId="28" w16cid:durableId="2110855591">
    <w:abstractNumId w:val="32"/>
  </w:num>
  <w:num w:numId="29" w16cid:durableId="1048646483">
    <w:abstractNumId w:val="27"/>
  </w:num>
  <w:num w:numId="30" w16cid:durableId="2033333583">
    <w:abstractNumId w:val="16"/>
  </w:num>
  <w:num w:numId="31" w16cid:durableId="305548195">
    <w:abstractNumId w:val="20"/>
  </w:num>
  <w:num w:numId="32" w16cid:durableId="4291597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7640159">
    <w:abstractNumId w:val="2"/>
  </w:num>
  <w:num w:numId="34" w16cid:durableId="1990549540">
    <w:abstractNumId w:val="4"/>
  </w:num>
  <w:num w:numId="35" w16cid:durableId="1107773374">
    <w:abstractNumId w:val="18"/>
  </w:num>
  <w:num w:numId="36" w16cid:durableId="709887427">
    <w:abstractNumId w:val="8"/>
  </w:num>
  <w:num w:numId="37" w16cid:durableId="12357472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4294D"/>
    <w:rsid w:val="00217041"/>
    <w:rsid w:val="002338A9"/>
    <w:rsid w:val="002A12EA"/>
    <w:rsid w:val="003160E7"/>
    <w:rsid w:val="004627AD"/>
    <w:rsid w:val="005838EA"/>
    <w:rsid w:val="005F58CC"/>
    <w:rsid w:val="00636DD2"/>
    <w:rsid w:val="00693B3C"/>
    <w:rsid w:val="006C40C6"/>
    <w:rsid w:val="00753A0F"/>
    <w:rsid w:val="00784F32"/>
    <w:rsid w:val="007D05A8"/>
    <w:rsid w:val="007D516E"/>
    <w:rsid w:val="00890B36"/>
    <w:rsid w:val="00960FB0"/>
    <w:rsid w:val="00967E00"/>
    <w:rsid w:val="009E2557"/>
    <w:rsid w:val="009E5292"/>
    <w:rsid w:val="00A23055"/>
    <w:rsid w:val="00AF40DD"/>
    <w:rsid w:val="00B57921"/>
    <w:rsid w:val="00B819E1"/>
    <w:rsid w:val="00C5078F"/>
    <w:rsid w:val="00C53A04"/>
    <w:rsid w:val="00C95DF8"/>
    <w:rsid w:val="00D554C2"/>
    <w:rsid w:val="00D64FA6"/>
    <w:rsid w:val="00D975B3"/>
    <w:rsid w:val="00E32C48"/>
    <w:rsid w:val="00E76A79"/>
    <w:rsid w:val="00EC12D9"/>
    <w:rsid w:val="00EF2A13"/>
    <w:rsid w:val="00F11AA2"/>
    <w:rsid w:val="00F36E31"/>
    <w:rsid w:val="00F8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2023-01-17T12:10:00Z</dcterms:created>
  <dcterms:modified xsi:type="dcterms:W3CDTF">2023-01-17T12:10:00Z</dcterms:modified>
</cp:coreProperties>
</file>