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BE78" w14:textId="1C370DDA" w:rsidR="008A60F5" w:rsidRPr="008A60F5" w:rsidRDefault="008A60F5" w:rsidP="00371A4D">
      <w:pPr>
        <w:spacing w:before="360" w:after="480" w:line="240" w:lineRule="auto"/>
        <w:jc w:val="center"/>
        <w:rPr>
          <w:rFonts w:ascii="Times New Roman" w:hAnsi="Times New Roman"/>
          <w:b/>
          <w:sz w:val="28"/>
          <w:szCs w:val="28"/>
        </w:rPr>
      </w:pPr>
      <w:r w:rsidRPr="008A60F5">
        <w:rPr>
          <w:rFonts w:ascii="Times New Roman" w:hAnsi="Times New Roman"/>
          <w:b/>
          <w:sz w:val="28"/>
          <w:szCs w:val="28"/>
        </w:rPr>
        <w:t>Podmínky</w:t>
      </w:r>
      <w:r w:rsidR="009F23E2">
        <w:rPr>
          <w:rFonts w:ascii="Times New Roman" w:hAnsi="Times New Roman"/>
          <w:b/>
          <w:sz w:val="28"/>
          <w:szCs w:val="28"/>
        </w:rPr>
        <w:t xml:space="preserve"> </w:t>
      </w:r>
      <w:r w:rsidRPr="008A60F5">
        <w:rPr>
          <w:rFonts w:ascii="Times New Roman" w:hAnsi="Times New Roman"/>
          <w:b/>
          <w:sz w:val="28"/>
          <w:szCs w:val="28"/>
        </w:rPr>
        <w:t xml:space="preserve">pro </w:t>
      </w:r>
      <w:r>
        <w:rPr>
          <w:rFonts w:ascii="Times New Roman" w:hAnsi="Times New Roman"/>
          <w:b/>
          <w:sz w:val="28"/>
          <w:szCs w:val="28"/>
        </w:rPr>
        <w:t>poskytnutí dotace</w:t>
      </w:r>
    </w:p>
    <w:p w14:paraId="47986839" w14:textId="7B534CC1" w:rsidR="00510835" w:rsidRDefault="00F13CDC" w:rsidP="00E33BC2">
      <w:pPr>
        <w:spacing w:after="0" w:line="240" w:lineRule="auto"/>
        <w:jc w:val="center"/>
        <w:rPr>
          <w:rFonts w:ascii="Times New Roman" w:eastAsia="Times New Roman" w:hAnsi="Times New Roman"/>
          <w:b/>
          <w:sz w:val="24"/>
          <w:szCs w:val="24"/>
          <w:lang w:eastAsia="cs-CZ"/>
        </w:rPr>
      </w:pPr>
      <w:r w:rsidRPr="00F13CDC">
        <w:rPr>
          <w:rFonts w:ascii="Times New Roman" w:eastAsia="Times New Roman" w:hAnsi="Times New Roman"/>
          <w:b/>
          <w:sz w:val="24"/>
          <w:szCs w:val="24"/>
          <w:lang w:eastAsia="cs-CZ"/>
        </w:rPr>
        <w:t>v rámci programu 133 350 Podpora zajištění vybraných investičních podpůrných opatření při vzdělávání dětí, žáků a studentů se speciálními vzdělávacími potřebami – podprogram 133D 35</w:t>
      </w:r>
      <w:r>
        <w:rPr>
          <w:rFonts w:ascii="Times New Roman" w:eastAsia="Times New Roman" w:hAnsi="Times New Roman"/>
          <w:b/>
          <w:sz w:val="24"/>
          <w:szCs w:val="24"/>
          <w:lang w:eastAsia="cs-CZ"/>
        </w:rPr>
        <w:t>2</w:t>
      </w:r>
    </w:p>
    <w:p w14:paraId="30CF2B23" w14:textId="77777777" w:rsidR="00F13CDC" w:rsidRDefault="00F13CDC" w:rsidP="00E33BC2">
      <w:pPr>
        <w:spacing w:after="0" w:line="240" w:lineRule="auto"/>
        <w:jc w:val="center"/>
        <w:rPr>
          <w:rFonts w:ascii="Times New Roman" w:eastAsia="Times New Roman" w:hAnsi="Times New Roman"/>
          <w:b/>
          <w:sz w:val="24"/>
          <w:szCs w:val="24"/>
          <w:lang w:eastAsia="cs-CZ"/>
        </w:rPr>
      </w:pPr>
    </w:p>
    <w:p w14:paraId="3CE32C9F" w14:textId="77777777" w:rsidR="00510835" w:rsidRPr="005A74D4" w:rsidRDefault="0045431C" w:rsidP="00A70CE5">
      <w:pPr>
        <w:pStyle w:val="Odstavecseseznamem"/>
        <w:numPr>
          <w:ilvl w:val="0"/>
          <w:numId w:val="2"/>
        </w:numPr>
        <w:spacing w:after="240" w:line="240" w:lineRule="auto"/>
        <w:ind w:left="714" w:hanging="357"/>
        <w:contextualSpacing w:val="0"/>
        <w:rPr>
          <w:rFonts w:ascii="Times New Roman" w:eastAsia="Times New Roman" w:hAnsi="Times New Roman"/>
          <w:b/>
          <w:sz w:val="24"/>
          <w:szCs w:val="24"/>
          <w:lang w:eastAsia="cs-CZ"/>
        </w:rPr>
      </w:pPr>
      <w:r w:rsidRPr="005A74D4">
        <w:rPr>
          <w:rFonts w:ascii="Times New Roman" w:eastAsia="Times New Roman" w:hAnsi="Times New Roman"/>
          <w:b/>
          <w:sz w:val="24"/>
          <w:szCs w:val="24"/>
          <w:lang w:eastAsia="cs-CZ"/>
        </w:rPr>
        <w:t>Vymezení obecných pojmů</w:t>
      </w:r>
      <w:r w:rsidR="008B38B3">
        <w:rPr>
          <w:rFonts w:ascii="Times New Roman" w:eastAsia="Times New Roman" w:hAnsi="Times New Roman"/>
          <w:b/>
          <w:sz w:val="24"/>
          <w:szCs w:val="24"/>
          <w:lang w:eastAsia="cs-CZ"/>
        </w:rPr>
        <w:t xml:space="preserve"> a podmínek</w:t>
      </w:r>
    </w:p>
    <w:p w14:paraId="25A52B15" w14:textId="77777777" w:rsidR="00EB00FE" w:rsidRPr="00116176" w:rsidRDefault="00EB00FE" w:rsidP="00A70CE5">
      <w:pPr>
        <w:pStyle w:val="Odstavecseseznamem1"/>
        <w:numPr>
          <w:ilvl w:val="0"/>
          <w:numId w:val="3"/>
        </w:numPr>
        <w:tabs>
          <w:tab w:val="left" w:pos="4395"/>
        </w:tabs>
        <w:spacing w:after="120" w:line="240" w:lineRule="auto"/>
        <w:contextualSpacing w:val="0"/>
        <w:jc w:val="both"/>
        <w:rPr>
          <w:rFonts w:ascii="Times New Roman" w:hAnsi="Times New Roman"/>
          <w:sz w:val="24"/>
          <w:szCs w:val="24"/>
          <w:lang w:eastAsia="cs-CZ"/>
        </w:rPr>
      </w:pPr>
      <w:r w:rsidRPr="00454401">
        <w:rPr>
          <w:rFonts w:ascii="Times New Roman" w:hAnsi="Times New Roman"/>
          <w:sz w:val="24"/>
          <w:szCs w:val="24"/>
          <w:lang w:eastAsia="cs-CZ"/>
        </w:rPr>
        <w:t>Dotace je poskytována v souladu s ustanovením § 14 a násl. zákona č. 218/2000 Sb., o</w:t>
      </w:r>
      <w:r>
        <w:rPr>
          <w:rFonts w:ascii="Times New Roman" w:hAnsi="Times New Roman"/>
          <w:sz w:val="24"/>
          <w:szCs w:val="24"/>
          <w:lang w:eastAsia="cs-CZ"/>
        </w:rPr>
        <w:t> </w:t>
      </w:r>
      <w:r w:rsidRPr="00454401">
        <w:rPr>
          <w:rFonts w:ascii="Times New Roman" w:hAnsi="Times New Roman"/>
          <w:sz w:val="24"/>
          <w:szCs w:val="24"/>
          <w:lang w:eastAsia="cs-CZ"/>
        </w:rPr>
        <w:t>rozpočtových pravidlech a o změně některých souvisejících zákonů (rozpočtová pravidla), ve</w:t>
      </w:r>
      <w:r>
        <w:rPr>
          <w:rFonts w:ascii="Times New Roman" w:hAnsi="Times New Roman"/>
          <w:sz w:val="24"/>
          <w:szCs w:val="24"/>
          <w:lang w:eastAsia="cs-CZ"/>
        </w:rPr>
        <w:t> </w:t>
      </w:r>
      <w:r w:rsidRPr="00454401">
        <w:rPr>
          <w:rFonts w:ascii="Times New Roman" w:hAnsi="Times New Roman"/>
          <w:sz w:val="24"/>
          <w:szCs w:val="24"/>
          <w:lang w:eastAsia="cs-CZ"/>
        </w:rPr>
        <w:t>znění pozdějších předpisů, zákonem č. 500/2004 Sb., správní řád, ve znění pozdějších předpisů (dále jen „správní řád“), vyhláškou č. 560/2006 Sb., o účasti státního rozpočtu na financování programů reprodukce majetku, ve znění pozdějších předpisů, zákonem č.</w:t>
      </w:r>
      <w:r>
        <w:rPr>
          <w:rFonts w:ascii="Times New Roman" w:hAnsi="Times New Roman"/>
          <w:sz w:val="24"/>
          <w:szCs w:val="24"/>
          <w:lang w:eastAsia="cs-CZ"/>
        </w:rPr>
        <w:t> </w:t>
      </w:r>
      <w:r w:rsidRPr="00454401">
        <w:rPr>
          <w:rFonts w:ascii="Times New Roman" w:hAnsi="Times New Roman"/>
          <w:sz w:val="24"/>
          <w:szCs w:val="24"/>
          <w:lang w:eastAsia="cs-CZ"/>
        </w:rPr>
        <w:t>320/2001 Sb., o finanční kontrole ve veřejné správě a o změně některých zákonů (zákon o</w:t>
      </w:r>
      <w:r>
        <w:rPr>
          <w:rFonts w:ascii="Times New Roman" w:hAnsi="Times New Roman"/>
          <w:sz w:val="24"/>
          <w:szCs w:val="24"/>
          <w:lang w:eastAsia="cs-CZ"/>
        </w:rPr>
        <w:t> </w:t>
      </w:r>
      <w:r w:rsidRPr="00454401">
        <w:rPr>
          <w:rFonts w:ascii="Times New Roman" w:hAnsi="Times New Roman"/>
          <w:sz w:val="24"/>
          <w:szCs w:val="24"/>
          <w:lang w:eastAsia="cs-CZ"/>
        </w:rPr>
        <w:t>finanční kontrole), ve znění pozdějších předpisů, metodickými pokyny Ministerstva školství, mládeže a tělovýchovy jakožto poskytovatele (</w:t>
      </w:r>
      <w:r w:rsidRPr="00116176">
        <w:rPr>
          <w:rFonts w:ascii="Times New Roman" w:hAnsi="Times New Roman"/>
          <w:sz w:val="24"/>
          <w:szCs w:val="24"/>
          <w:lang w:eastAsia="cs-CZ"/>
        </w:rPr>
        <w:t xml:space="preserve">dále jen „poskytovatel“) a těmito </w:t>
      </w:r>
      <w:r w:rsidRPr="005D14DC">
        <w:rPr>
          <w:rFonts w:ascii="Times New Roman" w:hAnsi="Times New Roman"/>
          <w:sz w:val="24"/>
          <w:szCs w:val="24"/>
          <w:lang w:eastAsia="cs-CZ"/>
        </w:rPr>
        <w:t>Podmínk</w:t>
      </w:r>
      <w:r>
        <w:rPr>
          <w:rFonts w:ascii="Times New Roman" w:hAnsi="Times New Roman"/>
          <w:sz w:val="24"/>
          <w:szCs w:val="24"/>
          <w:lang w:eastAsia="cs-CZ"/>
        </w:rPr>
        <w:t>ami</w:t>
      </w:r>
      <w:r w:rsidRPr="005D14DC">
        <w:rPr>
          <w:rFonts w:ascii="Times New Roman" w:hAnsi="Times New Roman"/>
          <w:sz w:val="24"/>
          <w:szCs w:val="24"/>
          <w:lang w:eastAsia="cs-CZ"/>
        </w:rPr>
        <w:t xml:space="preserve"> pro poskytnutí a čerpání dotace</w:t>
      </w:r>
      <w:r w:rsidRPr="00116176">
        <w:rPr>
          <w:rFonts w:ascii="Times New Roman" w:hAnsi="Times New Roman"/>
          <w:sz w:val="24"/>
          <w:szCs w:val="24"/>
          <w:lang w:eastAsia="cs-CZ"/>
        </w:rPr>
        <w:t>.“</w:t>
      </w:r>
    </w:p>
    <w:p w14:paraId="4C7298A0" w14:textId="77777777" w:rsidR="00EB00FE" w:rsidRPr="00B67E09" w:rsidRDefault="00EB00FE" w:rsidP="00A70CE5">
      <w:pPr>
        <w:pStyle w:val="Odstavecseseznamem1"/>
        <w:numPr>
          <w:ilvl w:val="0"/>
          <w:numId w:val="3"/>
        </w:numPr>
        <w:tabs>
          <w:tab w:val="left" w:pos="4395"/>
        </w:tabs>
        <w:spacing w:after="120" w:line="240" w:lineRule="auto"/>
        <w:contextualSpacing w:val="0"/>
        <w:jc w:val="both"/>
        <w:rPr>
          <w:rFonts w:ascii="Times New Roman" w:hAnsi="Times New Roman"/>
          <w:sz w:val="24"/>
          <w:szCs w:val="24"/>
          <w:lang w:eastAsia="cs-CZ"/>
        </w:rPr>
      </w:pPr>
      <w:r w:rsidRPr="00116176">
        <w:rPr>
          <w:rFonts w:ascii="Times New Roman" w:hAnsi="Times New Roman"/>
          <w:sz w:val="24"/>
          <w:szCs w:val="24"/>
          <w:lang w:eastAsia="cs-CZ"/>
        </w:rPr>
        <w:t>Příjemce dotace zabezpečuje další realizaci akce v souladu s poskytovatelem</w:t>
      </w:r>
      <w:r>
        <w:rPr>
          <w:rFonts w:ascii="Times New Roman" w:hAnsi="Times New Roman"/>
          <w:sz w:val="24"/>
          <w:szCs w:val="24"/>
          <w:lang w:eastAsia="cs-CZ"/>
        </w:rPr>
        <w:t xml:space="preserve"> </w:t>
      </w:r>
      <w:r w:rsidRPr="0089654D">
        <w:rPr>
          <w:rFonts w:ascii="Times New Roman" w:hAnsi="Times New Roman"/>
          <w:sz w:val="24"/>
          <w:szCs w:val="24"/>
          <w:lang w:eastAsia="cs-CZ"/>
        </w:rPr>
        <w:t xml:space="preserve">schváleným investičním </w:t>
      </w:r>
      <w:r w:rsidRPr="00B67E09">
        <w:rPr>
          <w:rFonts w:ascii="Times New Roman" w:hAnsi="Times New Roman"/>
          <w:sz w:val="24"/>
          <w:szCs w:val="24"/>
          <w:lang w:eastAsia="cs-CZ"/>
        </w:rPr>
        <w:t>záměrem (dále jen „IZ“), ve znění schválených dodatků.</w:t>
      </w:r>
    </w:p>
    <w:p w14:paraId="6355FD5A" w14:textId="77777777" w:rsidR="00EB00FE" w:rsidRPr="00B67E09" w:rsidRDefault="00EB00FE" w:rsidP="00A70CE5">
      <w:pPr>
        <w:pStyle w:val="Odstavecseseznamem1"/>
        <w:numPr>
          <w:ilvl w:val="0"/>
          <w:numId w:val="3"/>
        </w:numPr>
        <w:tabs>
          <w:tab w:val="left" w:pos="4395"/>
        </w:tabs>
        <w:spacing w:after="120" w:line="240" w:lineRule="auto"/>
        <w:contextualSpacing w:val="0"/>
        <w:jc w:val="both"/>
        <w:rPr>
          <w:rFonts w:ascii="Times New Roman" w:hAnsi="Times New Roman"/>
          <w:sz w:val="24"/>
          <w:szCs w:val="24"/>
          <w:lang w:eastAsia="cs-CZ"/>
        </w:rPr>
      </w:pPr>
      <w:r w:rsidRPr="00B67E09">
        <w:rPr>
          <w:rFonts w:ascii="Times New Roman" w:hAnsi="Times New Roman"/>
          <w:sz w:val="24"/>
          <w:szCs w:val="24"/>
          <w:lang w:eastAsia="cs-CZ"/>
        </w:rPr>
        <w:t xml:space="preserve">Uvedený název akce a přidělené identifikační číslo v Evidenčním dotačním systému (dále jen „EDS“) budou používány při všech úředních jednáních a ve všech souvisejících dokumentech po celou dobu její realizace. </w:t>
      </w:r>
    </w:p>
    <w:p w14:paraId="74E54D9E" w14:textId="77777777" w:rsidR="00EB00FE" w:rsidRPr="00B67E09" w:rsidRDefault="00EB00FE" w:rsidP="00A70CE5">
      <w:pPr>
        <w:pStyle w:val="Odstavecseseznamem1"/>
        <w:numPr>
          <w:ilvl w:val="0"/>
          <w:numId w:val="3"/>
        </w:numPr>
        <w:tabs>
          <w:tab w:val="left" w:pos="4395"/>
        </w:tabs>
        <w:spacing w:after="120" w:line="240" w:lineRule="auto"/>
        <w:contextualSpacing w:val="0"/>
        <w:jc w:val="both"/>
        <w:rPr>
          <w:rFonts w:ascii="Times New Roman" w:hAnsi="Times New Roman"/>
          <w:sz w:val="24"/>
          <w:szCs w:val="24"/>
          <w:lang w:eastAsia="cs-CZ"/>
        </w:rPr>
      </w:pPr>
      <w:r w:rsidRPr="00B67E09">
        <w:rPr>
          <w:rFonts w:ascii="Times New Roman" w:hAnsi="Times New Roman"/>
          <w:sz w:val="24"/>
          <w:szCs w:val="24"/>
          <w:lang w:eastAsia="cs-CZ"/>
        </w:rPr>
        <w:t>Závaznost termínů, indikátorů a parametrů akce je stanovena v</w:t>
      </w:r>
      <w:r>
        <w:rPr>
          <w:rFonts w:ascii="Times New Roman" w:hAnsi="Times New Roman"/>
          <w:sz w:val="24"/>
          <w:szCs w:val="24"/>
          <w:lang w:eastAsia="cs-CZ"/>
        </w:rPr>
        <w:t> Rozhodnutí o poskytnutí dotace (dále jen „</w:t>
      </w:r>
      <w:r w:rsidRPr="00B67E09">
        <w:rPr>
          <w:rFonts w:ascii="Times New Roman" w:hAnsi="Times New Roman"/>
          <w:sz w:val="24"/>
          <w:szCs w:val="24"/>
          <w:lang w:eastAsia="cs-CZ"/>
        </w:rPr>
        <w:t>Rozhodnutí</w:t>
      </w:r>
      <w:r>
        <w:rPr>
          <w:rFonts w:ascii="Times New Roman" w:hAnsi="Times New Roman"/>
          <w:sz w:val="24"/>
          <w:szCs w:val="24"/>
          <w:lang w:eastAsia="cs-CZ"/>
        </w:rPr>
        <w:t>“)</w:t>
      </w:r>
      <w:r w:rsidRPr="00B67E09">
        <w:rPr>
          <w:rFonts w:ascii="Times New Roman" w:hAnsi="Times New Roman"/>
          <w:sz w:val="24"/>
          <w:szCs w:val="24"/>
          <w:lang w:eastAsia="cs-CZ"/>
        </w:rPr>
        <w:t>, závaznost finančních ukazatelů akce uvedených v části „Financování akce (projektu) v letech“ Rozhodnutí je stanovena v bodě 5. těchto podmínek.</w:t>
      </w:r>
    </w:p>
    <w:p w14:paraId="1BDFA421" w14:textId="77777777" w:rsidR="00EB00FE" w:rsidRPr="00EB00FE" w:rsidRDefault="00EB00FE" w:rsidP="00A70CE5">
      <w:pPr>
        <w:pStyle w:val="Odstavecseseznamem1"/>
        <w:numPr>
          <w:ilvl w:val="0"/>
          <w:numId w:val="3"/>
        </w:numPr>
        <w:tabs>
          <w:tab w:val="left" w:pos="4395"/>
        </w:tabs>
        <w:spacing w:after="120" w:line="240" w:lineRule="auto"/>
        <w:contextualSpacing w:val="0"/>
        <w:jc w:val="both"/>
        <w:rPr>
          <w:rFonts w:ascii="Times New Roman" w:hAnsi="Times New Roman"/>
          <w:sz w:val="24"/>
          <w:szCs w:val="24"/>
          <w:lang w:eastAsia="cs-CZ"/>
        </w:rPr>
      </w:pPr>
      <w:r w:rsidRPr="00EB00FE">
        <w:rPr>
          <w:rFonts w:ascii="Times New Roman" w:hAnsi="Times New Roman"/>
          <w:sz w:val="24"/>
          <w:szCs w:val="24"/>
          <w:lang w:eastAsia="cs-CZ"/>
        </w:rPr>
        <w:t>Stanovení závaznosti finančních ukazatelů uvedených v části „Financování akce (projektu) v letech“ Rozhodnutí:</w:t>
      </w:r>
    </w:p>
    <w:p w14:paraId="6DA85808" w14:textId="77777777" w:rsidR="00EB00FE" w:rsidRPr="0089654D" w:rsidRDefault="00EB00FE" w:rsidP="00A70CE5">
      <w:pPr>
        <w:pStyle w:val="Odstavecseseznamem"/>
        <w:numPr>
          <w:ilvl w:val="0"/>
          <w:numId w:val="5"/>
        </w:numPr>
        <w:spacing w:after="80" w:line="240" w:lineRule="auto"/>
        <w:ind w:left="1134"/>
        <w:jc w:val="both"/>
        <w:rPr>
          <w:rFonts w:ascii="Times New Roman" w:hAnsi="Times New Roman"/>
          <w:sz w:val="24"/>
          <w:szCs w:val="24"/>
        </w:rPr>
      </w:pPr>
      <w:r w:rsidRPr="0089654D">
        <w:rPr>
          <w:rFonts w:ascii="Times New Roman" w:hAnsi="Times New Roman"/>
          <w:sz w:val="24"/>
          <w:szCs w:val="24"/>
        </w:rPr>
        <w:t>závaznost objemu nákladů na jednotlivé investiční a neinvestiční potřeby není stanovena,</w:t>
      </w:r>
    </w:p>
    <w:p w14:paraId="6E462723" w14:textId="77777777" w:rsidR="00EB00FE" w:rsidRPr="0089654D" w:rsidRDefault="00EB00FE" w:rsidP="00A70CE5">
      <w:pPr>
        <w:pStyle w:val="Odstavecseseznamem"/>
        <w:numPr>
          <w:ilvl w:val="0"/>
          <w:numId w:val="5"/>
        </w:numPr>
        <w:spacing w:after="80" w:line="240" w:lineRule="auto"/>
        <w:ind w:left="1134"/>
        <w:jc w:val="both"/>
        <w:rPr>
          <w:rFonts w:ascii="Times New Roman" w:hAnsi="Times New Roman"/>
          <w:sz w:val="24"/>
          <w:szCs w:val="24"/>
        </w:rPr>
      </w:pPr>
      <w:r w:rsidRPr="0089654D">
        <w:rPr>
          <w:rFonts w:ascii="Times New Roman" w:hAnsi="Times New Roman"/>
          <w:sz w:val="24"/>
          <w:szCs w:val="24"/>
        </w:rPr>
        <w:t>závaznost objemu celkových výdajů včetně členění na investiční a neinvestiční část není stanovena,</w:t>
      </w:r>
    </w:p>
    <w:p w14:paraId="145849DA" w14:textId="77777777" w:rsidR="00EB00FE" w:rsidRPr="0089654D" w:rsidRDefault="00EB00FE" w:rsidP="00A70CE5">
      <w:pPr>
        <w:pStyle w:val="Odstavecseseznamem"/>
        <w:numPr>
          <w:ilvl w:val="0"/>
          <w:numId w:val="5"/>
        </w:numPr>
        <w:spacing w:after="80" w:line="240" w:lineRule="auto"/>
        <w:ind w:left="1134"/>
        <w:jc w:val="both"/>
        <w:rPr>
          <w:rFonts w:ascii="Times New Roman" w:hAnsi="Times New Roman"/>
          <w:sz w:val="24"/>
          <w:szCs w:val="24"/>
        </w:rPr>
      </w:pPr>
      <w:r w:rsidRPr="0089654D">
        <w:rPr>
          <w:rFonts w:ascii="Times New Roman" w:hAnsi="Times New Roman"/>
          <w:sz w:val="24"/>
          <w:szCs w:val="24"/>
        </w:rPr>
        <w:t xml:space="preserve">závaznost objemu dotace je </w:t>
      </w:r>
      <w:r w:rsidRPr="0089654D">
        <w:rPr>
          <w:rFonts w:ascii="Times New Roman" w:hAnsi="Times New Roman"/>
          <w:bCs/>
          <w:sz w:val="24"/>
          <w:szCs w:val="24"/>
        </w:rPr>
        <w:t>maximální,</w:t>
      </w:r>
    </w:p>
    <w:p w14:paraId="1A15E579" w14:textId="77777777" w:rsidR="00EB00FE" w:rsidRPr="0089654D" w:rsidRDefault="00EB00FE" w:rsidP="00A70CE5">
      <w:pPr>
        <w:pStyle w:val="Odstavecseseznamem"/>
        <w:numPr>
          <w:ilvl w:val="0"/>
          <w:numId w:val="5"/>
        </w:numPr>
        <w:spacing w:after="80" w:line="240" w:lineRule="auto"/>
        <w:ind w:left="1134"/>
        <w:jc w:val="both"/>
        <w:rPr>
          <w:rFonts w:ascii="Times New Roman" w:hAnsi="Times New Roman"/>
          <w:sz w:val="24"/>
          <w:szCs w:val="24"/>
        </w:rPr>
      </w:pPr>
      <w:r w:rsidRPr="0089654D">
        <w:rPr>
          <w:rFonts w:ascii="Times New Roman" w:hAnsi="Times New Roman"/>
          <w:sz w:val="24"/>
          <w:szCs w:val="24"/>
        </w:rPr>
        <w:t>závaznost objemu vlastních zdrojů</w:t>
      </w:r>
      <w:r>
        <w:rPr>
          <w:rFonts w:ascii="Times New Roman" w:hAnsi="Times New Roman"/>
          <w:sz w:val="24"/>
          <w:szCs w:val="24"/>
        </w:rPr>
        <w:t xml:space="preserve"> </w:t>
      </w:r>
      <w:r w:rsidRPr="0089654D">
        <w:rPr>
          <w:rFonts w:ascii="Times New Roman" w:hAnsi="Times New Roman"/>
          <w:sz w:val="24"/>
          <w:szCs w:val="24"/>
        </w:rPr>
        <w:t xml:space="preserve">příjemce dotace je </w:t>
      </w:r>
      <w:r w:rsidRPr="0089654D">
        <w:rPr>
          <w:rFonts w:ascii="Times New Roman" w:hAnsi="Times New Roman"/>
          <w:bCs/>
          <w:sz w:val="24"/>
          <w:szCs w:val="24"/>
        </w:rPr>
        <w:t>minimální</w:t>
      </w:r>
      <w:r w:rsidRPr="0089654D">
        <w:rPr>
          <w:rFonts w:ascii="Times New Roman" w:hAnsi="Times New Roman"/>
          <w:b/>
          <w:bCs/>
          <w:sz w:val="24"/>
          <w:szCs w:val="24"/>
        </w:rPr>
        <w:t>.</w:t>
      </w:r>
    </w:p>
    <w:p w14:paraId="55110C0D" w14:textId="77777777" w:rsidR="00EB00FE" w:rsidRPr="00EB00FE" w:rsidRDefault="00EB00FE" w:rsidP="00A70CE5">
      <w:pPr>
        <w:pStyle w:val="Odstavecseseznamem1"/>
        <w:numPr>
          <w:ilvl w:val="0"/>
          <w:numId w:val="3"/>
        </w:numPr>
        <w:tabs>
          <w:tab w:val="left" w:pos="4395"/>
        </w:tabs>
        <w:spacing w:after="120" w:line="240" w:lineRule="auto"/>
        <w:contextualSpacing w:val="0"/>
        <w:jc w:val="both"/>
        <w:rPr>
          <w:rFonts w:ascii="Times New Roman" w:hAnsi="Times New Roman"/>
          <w:sz w:val="24"/>
          <w:szCs w:val="24"/>
          <w:lang w:eastAsia="cs-CZ"/>
        </w:rPr>
      </w:pPr>
      <w:r w:rsidRPr="00EB00FE">
        <w:rPr>
          <w:rFonts w:ascii="Times New Roman" w:hAnsi="Times New Roman"/>
          <w:sz w:val="24"/>
          <w:szCs w:val="24"/>
          <w:lang w:eastAsia="cs-CZ"/>
        </w:rPr>
        <w:t xml:space="preserve">Termínem ukončení realizace akce se rozumí okamžik, ke kterému byl sepsán protokol o předání </w:t>
      </w:r>
      <w:r w:rsidRPr="00EB00FE">
        <w:rPr>
          <w:rFonts w:ascii="Times New Roman" w:hAnsi="Times New Roman"/>
          <w:sz w:val="24"/>
          <w:szCs w:val="24"/>
          <w:lang w:eastAsia="cs-CZ"/>
        </w:rPr>
        <w:br/>
        <w:t>a převzetí stavby, a to bez vad a nedodělků bránících v užívání. V případě, že akce byla realizována na základě povolení či souhlasu příslušného orgánu (např. stavební povolení) rozumí se termínem ukončení realizace akce okamžik, ke kterému byl vydán akt orgánu, který realizaci buď povoloval, případně s ní souhlasil (např. vydání kolaudačního souhlasu),</w:t>
      </w:r>
    </w:p>
    <w:p w14:paraId="0A08384D" w14:textId="77777777" w:rsidR="00EB00FE" w:rsidRPr="00EB00FE" w:rsidRDefault="00EB00FE" w:rsidP="00A70CE5">
      <w:pPr>
        <w:pStyle w:val="Odstavecseseznamem1"/>
        <w:numPr>
          <w:ilvl w:val="0"/>
          <w:numId w:val="3"/>
        </w:numPr>
        <w:tabs>
          <w:tab w:val="left" w:pos="4395"/>
        </w:tabs>
        <w:spacing w:after="120" w:line="240" w:lineRule="auto"/>
        <w:contextualSpacing w:val="0"/>
        <w:jc w:val="both"/>
        <w:rPr>
          <w:rFonts w:ascii="Times New Roman" w:hAnsi="Times New Roman"/>
          <w:sz w:val="24"/>
          <w:szCs w:val="24"/>
          <w:lang w:eastAsia="cs-CZ"/>
        </w:rPr>
      </w:pPr>
      <w:r w:rsidRPr="00EB00FE">
        <w:rPr>
          <w:rFonts w:ascii="Times New Roman" w:hAnsi="Times New Roman"/>
          <w:sz w:val="24"/>
          <w:szCs w:val="24"/>
          <w:lang w:eastAsia="cs-CZ"/>
        </w:rPr>
        <w:t xml:space="preserve">Rozhodnutí se vydává na první známý závazek (smlouva nebo objednávka), který bude hrazen </w:t>
      </w:r>
      <w:r w:rsidRPr="00EB00FE">
        <w:rPr>
          <w:rFonts w:ascii="Times New Roman" w:hAnsi="Times New Roman"/>
          <w:sz w:val="24"/>
          <w:szCs w:val="24"/>
          <w:lang w:eastAsia="cs-CZ"/>
        </w:rPr>
        <w:br/>
        <w:t>z dotace.</w:t>
      </w:r>
    </w:p>
    <w:p w14:paraId="786492D3" w14:textId="77777777" w:rsidR="00EB00FE" w:rsidRPr="005C7FC7" w:rsidRDefault="00EB00FE" w:rsidP="00A70CE5">
      <w:pPr>
        <w:pStyle w:val="Odstavecseseznamem1"/>
        <w:numPr>
          <w:ilvl w:val="0"/>
          <w:numId w:val="3"/>
        </w:numPr>
        <w:tabs>
          <w:tab w:val="left" w:pos="4395"/>
        </w:tabs>
        <w:spacing w:after="120" w:line="240" w:lineRule="auto"/>
        <w:contextualSpacing w:val="0"/>
        <w:jc w:val="both"/>
        <w:rPr>
          <w:rFonts w:ascii="Times New Roman" w:hAnsi="Times New Roman"/>
          <w:sz w:val="24"/>
          <w:szCs w:val="24"/>
          <w:lang w:eastAsia="cs-CZ"/>
        </w:rPr>
      </w:pPr>
      <w:r w:rsidRPr="005C7FC7">
        <w:rPr>
          <w:rFonts w:ascii="Times New Roman" w:hAnsi="Times New Roman"/>
          <w:sz w:val="24"/>
          <w:szCs w:val="24"/>
          <w:lang w:eastAsia="cs-CZ"/>
        </w:rPr>
        <w:t xml:space="preserve">Výběr zhotovitelů a dodavatelů stavebních prací, služeb a dodávek (dále jen „dodavatelé“) v rámci realizace akce musí být prováděn v souladu se zákonem č. 134/2016 Sb., o zadávání veřejných zakázek, ve znění pozdějších předpisů, nebo interními předpisy příjemce dotace. </w:t>
      </w:r>
    </w:p>
    <w:p w14:paraId="456192FA" w14:textId="77777777" w:rsidR="00EB00FE" w:rsidRPr="005C7FC7" w:rsidRDefault="00EB00FE" w:rsidP="00A70CE5">
      <w:pPr>
        <w:pStyle w:val="Odstavecseseznamem1"/>
        <w:numPr>
          <w:ilvl w:val="0"/>
          <w:numId w:val="3"/>
        </w:numPr>
        <w:tabs>
          <w:tab w:val="left" w:pos="4395"/>
        </w:tabs>
        <w:spacing w:after="120" w:line="240" w:lineRule="auto"/>
        <w:contextualSpacing w:val="0"/>
        <w:jc w:val="both"/>
        <w:rPr>
          <w:rFonts w:ascii="Times New Roman" w:hAnsi="Times New Roman"/>
          <w:sz w:val="24"/>
          <w:szCs w:val="24"/>
          <w:lang w:eastAsia="cs-CZ"/>
        </w:rPr>
      </w:pPr>
      <w:r w:rsidRPr="005C7FC7">
        <w:rPr>
          <w:rFonts w:ascii="Times New Roman" w:hAnsi="Times New Roman"/>
          <w:sz w:val="24"/>
          <w:szCs w:val="24"/>
          <w:lang w:eastAsia="cs-CZ"/>
        </w:rPr>
        <w:t xml:space="preserve">Změny v </w:t>
      </w:r>
      <w:r>
        <w:rPr>
          <w:rFonts w:ascii="Times New Roman" w:hAnsi="Times New Roman"/>
          <w:sz w:val="24"/>
          <w:szCs w:val="24"/>
          <w:lang w:eastAsia="cs-CZ"/>
        </w:rPr>
        <w:t>R</w:t>
      </w:r>
      <w:r w:rsidRPr="005C7FC7">
        <w:rPr>
          <w:rFonts w:ascii="Times New Roman" w:hAnsi="Times New Roman"/>
          <w:sz w:val="24"/>
          <w:szCs w:val="24"/>
          <w:lang w:eastAsia="cs-CZ"/>
        </w:rPr>
        <w:t>ozhodnutí lze na základě žádosti příjemce dotace provést formou změnového řízení, a to pouze za podmínek stanovených v § 14o rozpočtových pravidel.</w:t>
      </w:r>
    </w:p>
    <w:p w14:paraId="4B505111" w14:textId="77777777" w:rsidR="00EB00FE" w:rsidRPr="00B67E09" w:rsidRDefault="00EB00FE" w:rsidP="00A70CE5">
      <w:pPr>
        <w:pStyle w:val="Odstavecseseznamem1"/>
        <w:numPr>
          <w:ilvl w:val="0"/>
          <w:numId w:val="3"/>
        </w:numPr>
        <w:tabs>
          <w:tab w:val="left" w:pos="4395"/>
        </w:tabs>
        <w:spacing w:after="120" w:line="240" w:lineRule="auto"/>
        <w:contextualSpacing w:val="0"/>
        <w:jc w:val="both"/>
        <w:rPr>
          <w:rFonts w:ascii="Times New Roman" w:hAnsi="Times New Roman"/>
          <w:sz w:val="24"/>
          <w:szCs w:val="24"/>
          <w:lang w:eastAsia="cs-CZ"/>
        </w:rPr>
      </w:pPr>
      <w:bookmarkStart w:id="0" w:name="_Hlk79400271"/>
      <w:r w:rsidRPr="00B67E09">
        <w:rPr>
          <w:rFonts w:ascii="Times New Roman" w:hAnsi="Times New Roman"/>
          <w:sz w:val="24"/>
          <w:szCs w:val="24"/>
          <w:lang w:eastAsia="cs-CZ"/>
        </w:rPr>
        <w:t>Pokud bude žádost o změnu Rozhodnutí podána po termínu realizace akce, bude zamítnuta.</w:t>
      </w:r>
    </w:p>
    <w:bookmarkEnd w:id="0"/>
    <w:p w14:paraId="3E0B5D14" w14:textId="2B0DFF91" w:rsidR="00E33BC2" w:rsidRPr="00EB00FE" w:rsidRDefault="00EB00FE" w:rsidP="00A70CE5">
      <w:pPr>
        <w:pStyle w:val="Odstavecseseznamem1"/>
        <w:numPr>
          <w:ilvl w:val="0"/>
          <w:numId w:val="3"/>
        </w:numPr>
        <w:tabs>
          <w:tab w:val="left" w:pos="4395"/>
        </w:tabs>
        <w:spacing w:after="120" w:line="240" w:lineRule="auto"/>
        <w:contextualSpacing w:val="0"/>
        <w:jc w:val="both"/>
        <w:rPr>
          <w:rFonts w:ascii="Times New Roman" w:hAnsi="Times New Roman"/>
          <w:sz w:val="24"/>
          <w:szCs w:val="24"/>
          <w:lang w:eastAsia="cs-CZ"/>
        </w:rPr>
      </w:pPr>
      <w:r w:rsidRPr="00EB00FE">
        <w:rPr>
          <w:rFonts w:ascii="Times New Roman" w:hAnsi="Times New Roman"/>
          <w:sz w:val="24"/>
          <w:szCs w:val="24"/>
          <w:lang w:eastAsia="cs-CZ"/>
        </w:rPr>
        <w:t xml:space="preserve">Dokumentace pro zadání stavby bude zpracována v podrobnosti dokumentace pro provádění stavby dle vyhlášky č. 499/2006 Sb., o dokumentaci staveb, ve znění pozdějších předpisů, minimálně musí být doložen soupis prací s výkazem výměr a kopie průvodní zprávy a souhrnné technické zprávy. </w:t>
      </w:r>
      <w:r>
        <w:rPr>
          <w:rFonts w:ascii="Times New Roman" w:hAnsi="Times New Roman"/>
          <w:sz w:val="24"/>
          <w:szCs w:val="24"/>
          <w:lang w:eastAsia="cs-CZ"/>
        </w:rPr>
        <w:br/>
      </w:r>
      <w:r w:rsidRPr="00EB00FE">
        <w:rPr>
          <w:rFonts w:ascii="Times New Roman" w:hAnsi="Times New Roman"/>
          <w:sz w:val="24"/>
          <w:szCs w:val="24"/>
          <w:lang w:eastAsia="cs-CZ"/>
        </w:rPr>
        <w:lastRenderedPageBreak/>
        <w:t xml:space="preserve">V případě novostavby lze dokumentaci pro zadání stavby stanovit způsobem podle § 92 odst. 2 zákona č.134/2016 Sb., o zadávání veřejných zakázek, ve znění pozdějších předpisů (dále také „ZZVZ“). </w:t>
      </w:r>
      <w:r>
        <w:rPr>
          <w:rFonts w:ascii="Times New Roman" w:hAnsi="Times New Roman"/>
          <w:sz w:val="24"/>
          <w:szCs w:val="24"/>
          <w:lang w:eastAsia="cs-CZ"/>
        </w:rPr>
        <w:br/>
      </w:r>
      <w:r w:rsidRPr="00EB00FE">
        <w:rPr>
          <w:rFonts w:ascii="Times New Roman" w:hAnsi="Times New Roman"/>
          <w:sz w:val="24"/>
          <w:szCs w:val="24"/>
          <w:lang w:eastAsia="cs-CZ"/>
        </w:rPr>
        <w:t xml:space="preserve">V případě aplikace § 92 odst. 2 ZZVZ nebudou dodatečné práce vyplývající z realizace akce hrazeny z dotace. </w:t>
      </w:r>
    </w:p>
    <w:p w14:paraId="46EC841E" w14:textId="77777777" w:rsidR="008B38B3" w:rsidRPr="00497D1F" w:rsidRDefault="008B38B3" w:rsidP="00A70CE5">
      <w:pPr>
        <w:pStyle w:val="Odstavecseseznamem"/>
        <w:numPr>
          <w:ilvl w:val="0"/>
          <w:numId w:val="2"/>
        </w:numPr>
        <w:tabs>
          <w:tab w:val="left" w:pos="567"/>
          <w:tab w:val="left" w:pos="993"/>
        </w:tabs>
        <w:spacing w:after="240" w:line="240" w:lineRule="auto"/>
        <w:ind w:left="714" w:hanging="357"/>
        <w:contextualSpacing w:val="0"/>
        <w:rPr>
          <w:rFonts w:ascii="Times New Roman" w:eastAsia="Times New Roman" w:hAnsi="Times New Roman"/>
          <w:b/>
          <w:sz w:val="24"/>
          <w:szCs w:val="24"/>
          <w:lang w:eastAsia="cs-CZ"/>
        </w:rPr>
      </w:pPr>
      <w:r w:rsidRPr="00497D1F">
        <w:rPr>
          <w:rFonts w:ascii="Times New Roman" w:eastAsia="Times New Roman" w:hAnsi="Times New Roman"/>
          <w:b/>
          <w:sz w:val="24"/>
          <w:szCs w:val="24"/>
          <w:lang w:eastAsia="cs-CZ"/>
        </w:rPr>
        <w:t>Vymezení obchodních a platebních podmínek</w:t>
      </w:r>
      <w:r w:rsidR="00106A77">
        <w:rPr>
          <w:rFonts w:ascii="Times New Roman" w:eastAsia="Times New Roman" w:hAnsi="Times New Roman"/>
          <w:b/>
          <w:sz w:val="24"/>
          <w:szCs w:val="24"/>
          <w:lang w:eastAsia="cs-CZ"/>
        </w:rPr>
        <w:t xml:space="preserve"> pro všechny závazky hrazené z dotace</w:t>
      </w:r>
    </w:p>
    <w:p w14:paraId="6C7EB6ED" w14:textId="3E01BD93" w:rsidR="00EB00FE" w:rsidRPr="00EB00FE" w:rsidRDefault="00EB00FE" w:rsidP="00A70CE5">
      <w:pPr>
        <w:pStyle w:val="Odstavecseseznamem1"/>
        <w:numPr>
          <w:ilvl w:val="0"/>
          <w:numId w:val="8"/>
        </w:numPr>
        <w:tabs>
          <w:tab w:val="left" w:pos="4395"/>
        </w:tabs>
        <w:spacing w:after="120" w:line="240" w:lineRule="auto"/>
        <w:contextualSpacing w:val="0"/>
        <w:jc w:val="both"/>
        <w:rPr>
          <w:rFonts w:ascii="Times New Roman" w:hAnsi="Times New Roman"/>
          <w:sz w:val="24"/>
          <w:szCs w:val="24"/>
          <w:lang w:eastAsia="cs-CZ"/>
        </w:rPr>
      </w:pPr>
      <w:r w:rsidRPr="00B3479A">
        <w:rPr>
          <w:rFonts w:ascii="Times New Roman" w:hAnsi="Times New Roman"/>
          <w:sz w:val="24"/>
          <w:szCs w:val="24"/>
          <w:lang w:eastAsia="cs-CZ"/>
        </w:rPr>
        <w:t xml:space="preserve">Případné smluvní pokuty za nedodržení smluvních závazků ze strany zhotovitele náleží </w:t>
      </w:r>
      <w:r w:rsidRPr="00B3479A">
        <w:rPr>
          <w:rFonts w:ascii="Times New Roman" w:hAnsi="Times New Roman"/>
          <w:sz w:val="24"/>
          <w:szCs w:val="24"/>
          <w:lang w:eastAsia="cs-CZ"/>
        </w:rPr>
        <w:br/>
        <w:t>v plné výši příjemci dotace.</w:t>
      </w:r>
    </w:p>
    <w:p w14:paraId="6E58CFC3" w14:textId="77777777" w:rsidR="00EB00FE" w:rsidRPr="00266DEC" w:rsidRDefault="00EB00FE" w:rsidP="00E33BC2">
      <w:pPr>
        <w:pStyle w:val="Odstavecseseznamem"/>
        <w:spacing w:line="240" w:lineRule="auto"/>
        <w:rPr>
          <w:rFonts w:ascii="Times New Roman" w:hAnsi="Times New Roman"/>
          <w:sz w:val="24"/>
          <w:szCs w:val="24"/>
        </w:rPr>
      </w:pPr>
    </w:p>
    <w:p w14:paraId="4AEAF7AC" w14:textId="77777777" w:rsidR="006E7D5B" w:rsidRPr="006E7D5B" w:rsidRDefault="00420D1C" w:rsidP="00A70CE5">
      <w:pPr>
        <w:pStyle w:val="Odstavecseseznamem"/>
        <w:numPr>
          <w:ilvl w:val="0"/>
          <w:numId w:val="2"/>
        </w:numPr>
        <w:tabs>
          <w:tab w:val="left" w:pos="567"/>
          <w:tab w:val="left" w:pos="993"/>
        </w:tabs>
        <w:spacing w:after="240" w:line="240" w:lineRule="auto"/>
        <w:ind w:left="714" w:hanging="357"/>
        <w:contextualSpacing w:val="0"/>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Vymezení podmínek pro čerpání </w:t>
      </w:r>
      <w:r w:rsidR="000C4FE6">
        <w:rPr>
          <w:rFonts w:ascii="Times New Roman" w:eastAsia="Times New Roman" w:hAnsi="Times New Roman"/>
          <w:b/>
          <w:sz w:val="24"/>
          <w:szCs w:val="24"/>
          <w:lang w:eastAsia="cs-CZ"/>
        </w:rPr>
        <w:t>dotace</w:t>
      </w:r>
    </w:p>
    <w:p w14:paraId="46CB97F5" w14:textId="77777777" w:rsidR="00EB00FE" w:rsidRPr="00EB00FE" w:rsidRDefault="00EB00FE" w:rsidP="00A70CE5">
      <w:pPr>
        <w:pStyle w:val="Odstavecseseznamem1"/>
        <w:numPr>
          <w:ilvl w:val="0"/>
          <w:numId w:val="7"/>
        </w:numPr>
        <w:tabs>
          <w:tab w:val="left" w:pos="4395"/>
        </w:tabs>
        <w:spacing w:after="120" w:line="240" w:lineRule="auto"/>
        <w:contextualSpacing w:val="0"/>
        <w:jc w:val="both"/>
        <w:rPr>
          <w:rFonts w:ascii="Times New Roman" w:hAnsi="Times New Roman"/>
          <w:sz w:val="24"/>
          <w:szCs w:val="24"/>
          <w:lang w:eastAsia="cs-CZ"/>
        </w:rPr>
      </w:pPr>
      <w:r w:rsidRPr="00EB00FE">
        <w:rPr>
          <w:rFonts w:ascii="Times New Roman" w:hAnsi="Times New Roman"/>
          <w:sz w:val="24"/>
          <w:szCs w:val="24"/>
          <w:lang w:eastAsia="cs-CZ"/>
        </w:rPr>
        <w:t>Prostředky státního rozpočtu budou převedeny v souladu s platebními podmínkami stanovenými v Rozhodnutí.</w:t>
      </w:r>
    </w:p>
    <w:p w14:paraId="0B91676D" w14:textId="77777777" w:rsidR="00EB00FE" w:rsidRPr="00EB00FE" w:rsidRDefault="00EB00FE" w:rsidP="00A70CE5">
      <w:pPr>
        <w:pStyle w:val="Odstavecseseznamem1"/>
        <w:numPr>
          <w:ilvl w:val="0"/>
          <w:numId w:val="7"/>
        </w:numPr>
        <w:tabs>
          <w:tab w:val="left" w:pos="4395"/>
        </w:tabs>
        <w:spacing w:after="120" w:line="240" w:lineRule="auto"/>
        <w:contextualSpacing w:val="0"/>
        <w:jc w:val="both"/>
        <w:rPr>
          <w:rFonts w:ascii="Times New Roman" w:hAnsi="Times New Roman"/>
          <w:sz w:val="24"/>
          <w:szCs w:val="24"/>
          <w:lang w:eastAsia="cs-CZ"/>
        </w:rPr>
      </w:pPr>
      <w:r w:rsidRPr="00EB00FE">
        <w:rPr>
          <w:rFonts w:ascii="Times New Roman" w:hAnsi="Times New Roman"/>
          <w:sz w:val="24"/>
          <w:szCs w:val="24"/>
          <w:lang w:eastAsia="cs-CZ"/>
        </w:rPr>
        <w:t>V případě porušení některého z ustanovení Rozhodnutí nebo povinnosti stanovené právním předpisem bude poskytovatel postupovat v souladu s § 14f nebo § 15 rozpočtových pravidel. Dále lze uplatnit postup podle § 14e rozpočtových pravidel a finanční prostředky nevyplatit.</w:t>
      </w:r>
    </w:p>
    <w:p w14:paraId="643976C5" w14:textId="77777777" w:rsidR="00EB00FE" w:rsidRPr="00EB00FE" w:rsidRDefault="00EB00FE" w:rsidP="00A70CE5">
      <w:pPr>
        <w:pStyle w:val="Odstavecseseznamem1"/>
        <w:numPr>
          <w:ilvl w:val="0"/>
          <w:numId w:val="7"/>
        </w:numPr>
        <w:tabs>
          <w:tab w:val="left" w:pos="4395"/>
        </w:tabs>
        <w:spacing w:after="120" w:line="240" w:lineRule="auto"/>
        <w:contextualSpacing w:val="0"/>
        <w:jc w:val="both"/>
        <w:rPr>
          <w:rFonts w:ascii="Times New Roman" w:hAnsi="Times New Roman"/>
          <w:sz w:val="24"/>
          <w:szCs w:val="24"/>
          <w:lang w:eastAsia="cs-CZ"/>
        </w:rPr>
      </w:pPr>
      <w:r w:rsidRPr="00EB00FE">
        <w:rPr>
          <w:rFonts w:ascii="Times New Roman" w:hAnsi="Times New Roman"/>
          <w:sz w:val="24"/>
          <w:szCs w:val="24"/>
          <w:lang w:eastAsia="cs-CZ"/>
        </w:rPr>
        <w:t>Dotace bude převedena na základě písemné žádosti příjemce dotace. Žádost musí obsahovat vyčíslení přesné požadované částky dotace (v rozdělení na investiční a neinvestiční výdaje). Součástí žádosti bude kopie platného oboustranně podepsaného závazku.</w:t>
      </w:r>
    </w:p>
    <w:p w14:paraId="0B8E49EC" w14:textId="77777777" w:rsidR="00EB00FE" w:rsidRPr="00EB00FE" w:rsidRDefault="00EB00FE" w:rsidP="00A70CE5">
      <w:pPr>
        <w:pStyle w:val="Odstavecseseznamem1"/>
        <w:numPr>
          <w:ilvl w:val="0"/>
          <w:numId w:val="7"/>
        </w:numPr>
        <w:tabs>
          <w:tab w:val="left" w:pos="4395"/>
        </w:tabs>
        <w:spacing w:after="120" w:line="240" w:lineRule="auto"/>
        <w:contextualSpacing w:val="0"/>
        <w:jc w:val="both"/>
        <w:rPr>
          <w:rFonts w:ascii="Times New Roman" w:hAnsi="Times New Roman"/>
          <w:sz w:val="24"/>
          <w:szCs w:val="24"/>
          <w:lang w:eastAsia="cs-CZ"/>
        </w:rPr>
      </w:pPr>
      <w:r w:rsidRPr="00EB00FE">
        <w:rPr>
          <w:rFonts w:ascii="Times New Roman" w:hAnsi="Times New Roman"/>
          <w:sz w:val="24"/>
          <w:szCs w:val="24"/>
          <w:lang w:eastAsia="cs-CZ"/>
        </w:rPr>
        <w:t>Dotace bude převedena na účet příjemce dotace zřízeného u České národní banky (dále jen „ČNB“). Příjemce dotace může hradit jednotlivé faktury související s akcí z účtu u ČNB, na který byla dotace převedena, případně může prostředky dotace převést na svůj běžný účet, ze kterého bude realizovat financování akce.</w:t>
      </w:r>
    </w:p>
    <w:p w14:paraId="6CB69ADA" w14:textId="77777777" w:rsidR="00EB00FE" w:rsidRPr="00EB00FE" w:rsidRDefault="00EB00FE" w:rsidP="00A70CE5">
      <w:pPr>
        <w:pStyle w:val="Odstavecseseznamem1"/>
        <w:numPr>
          <w:ilvl w:val="0"/>
          <w:numId w:val="7"/>
        </w:numPr>
        <w:tabs>
          <w:tab w:val="left" w:pos="4395"/>
        </w:tabs>
        <w:spacing w:after="120" w:line="240" w:lineRule="auto"/>
        <w:contextualSpacing w:val="0"/>
        <w:jc w:val="both"/>
        <w:rPr>
          <w:rFonts w:ascii="Times New Roman" w:hAnsi="Times New Roman"/>
          <w:sz w:val="24"/>
          <w:szCs w:val="24"/>
          <w:lang w:eastAsia="cs-CZ"/>
        </w:rPr>
      </w:pPr>
      <w:r w:rsidRPr="00EB00FE">
        <w:rPr>
          <w:rFonts w:ascii="Times New Roman" w:hAnsi="Times New Roman"/>
          <w:sz w:val="24"/>
          <w:szCs w:val="24"/>
          <w:lang w:eastAsia="cs-CZ"/>
        </w:rPr>
        <w:t>Pokud příjemce dotace v průběhu roku zjistí, že není schopen v daném roce ani v letech následujících převedené prostředky dotace, popřípadě její část, vyčerpat, je povinen neprodleně oznámit tuto skutečnost poskytovateli.</w:t>
      </w:r>
    </w:p>
    <w:p w14:paraId="345F9F46" w14:textId="77777777" w:rsidR="00EB00FE" w:rsidRPr="00EB00FE" w:rsidRDefault="00EB00FE" w:rsidP="00A70CE5">
      <w:pPr>
        <w:pStyle w:val="Odstavecseseznamem1"/>
        <w:numPr>
          <w:ilvl w:val="0"/>
          <w:numId w:val="7"/>
        </w:numPr>
        <w:tabs>
          <w:tab w:val="left" w:pos="4395"/>
        </w:tabs>
        <w:spacing w:after="120" w:line="240" w:lineRule="auto"/>
        <w:ind w:left="709"/>
        <w:contextualSpacing w:val="0"/>
        <w:jc w:val="both"/>
        <w:rPr>
          <w:rFonts w:ascii="Times New Roman" w:hAnsi="Times New Roman"/>
          <w:sz w:val="24"/>
          <w:szCs w:val="24"/>
          <w:lang w:eastAsia="cs-CZ"/>
        </w:rPr>
      </w:pPr>
      <w:r w:rsidRPr="00EB00FE">
        <w:rPr>
          <w:rFonts w:ascii="Times New Roman" w:hAnsi="Times New Roman"/>
          <w:sz w:val="24"/>
          <w:szCs w:val="24"/>
          <w:lang w:eastAsia="cs-CZ"/>
        </w:rPr>
        <w:t>Příjemce dotace je povinen vypořádat dotaci se státním rozpočtem v souladu s rozpočtovými pravidly a vyhláškou č. 367/2015 Sb., o zásadách a lhůtách finančního vypořádání vztahů se státním rozpočtem, státními finančními aktivy nebo Národním fondem (vyhláška o finančním vypořádání), ve znění pozdějších předpisů. Nevyčerpané finanční prostředky příjemce dotace vrátí na:</w:t>
      </w:r>
    </w:p>
    <w:p w14:paraId="536E007E" w14:textId="77777777" w:rsidR="00EB00FE" w:rsidRPr="00EB00FE" w:rsidRDefault="00EB00FE" w:rsidP="00A70CE5">
      <w:pPr>
        <w:numPr>
          <w:ilvl w:val="0"/>
          <w:numId w:val="6"/>
        </w:numPr>
        <w:spacing w:after="80" w:line="240" w:lineRule="auto"/>
        <w:ind w:left="1134"/>
        <w:jc w:val="both"/>
        <w:rPr>
          <w:rFonts w:ascii="Times New Roman" w:hAnsi="Times New Roman"/>
          <w:sz w:val="24"/>
          <w:szCs w:val="24"/>
        </w:rPr>
      </w:pPr>
      <w:r w:rsidRPr="00EB00FE">
        <w:rPr>
          <w:rFonts w:ascii="Times New Roman" w:hAnsi="Times New Roman"/>
          <w:sz w:val="24"/>
          <w:szCs w:val="24"/>
        </w:rPr>
        <w:t>výdajový účet MŠMT č. 0000821001/0710, nejpozději do 31. 12. daného rozpočtového roku (prostředky musí být připsány na účet MŠMT), pokud příjemce dotace vrací nevyčerpané prostředky v průběhu kalendářního roku, ve kterém byla dotace převedena,</w:t>
      </w:r>
    </w:p>
    <w:p w14:paraId="3E15C73A" w14:textId="77777777" w:rsidR="00EB00FE" w:rsidRPr="00EB00FE" w:rsidRDefault="00EB00FE" w:rsidP="00A70CE5">
      <w:pPr>
        <w:numPr>
          <w:ilvl w:val="0"/>
          <w:numId w:val="6"/>
        </w:numPr>
        <w:spacing w:after="80" w:line="240" w:lineRule="auto"/>
        <w:ind w:left="1134"/>
        <w:jc w:val="both"/>
        <w:rPr>
          <w:rFonts w:ascii="Times New Roman" w:hAnsi="Times New Roman"/>
          <w:sz w:val="24"/>
          <w:szCs w:val="24"/>
        </w:rPr>
      </w:pPr>
      <w:r w:rsidRPr="00EB00FE">
        <w:rPr>
          <w:rFonts w:ascii="Times New Roman" w:hAnsi="Times New Roman"/>
          <w:sz w:val="24"/>
          <w:szCs w:val="24"/>
        </w:rPr>
        <w:t>účet cizích prostředků MŠMT č. 6015-821001/0710, pokud příjemce dotace vrací nevyčerpané prostředky v rámci finančního vypořádání vztahů se státním rozpočtem.</w:t>
      </w:r>
    </w:p>
    <w:p w14:paraId="6488D3A9" w14:textId="77777777" w:rsidR="00EB00FE" w:rsidRPr="00EB00FE" w:rsidRDefault="00EB00FE" w:rsidP="00A70CE5">
      <w:pPr>
        <w:numPr>
          <w:ilvl w:val="0"/>
          <w:numId w:val="6"/>
        </w:numPr>
        <w:spacing w:after="80" w:line="240" w:lineRule="auto"/>
        <w:ind w:left="1134"/>
        <w:jc w:val="both"/>
        <w:rPr>
          <w:rFonts w:ascii="Times New Roman" w:hAnsi="Times New Roman"/>
          <w:sz w:val="24"/>
          <w:szCs w:val="24"/>
        </w:rPr>
      </w:pPr>
      <w:r w:rsidRPr="00EB00FE">
        <w:rPr>
          <w:rFonts w:ascii="Times New Roman" w:hAnsi="Times New Roman"/>
          <w:sz w:val="24"/>
          <w:szCs w:val="24"/>
        </w:rPr>
        <w:t>v případě školské právnické osoby zřizované obcí nebo dobrovolným svazkem obcí se nevyčerpané prostředky vracejí zpět na účet MŠMT prostřednictvím jejího zřizovatele.</w:t>
      </w:r>
    </w:p>
    <w:p w14:paraId="702CE132" w14:textId="34D1A635" w:rsidR="00EB00FE" w:rsidRPr="00EB00FE" w:rsidRDefault="00EB00FE" w:rsidP="00EB00FE">
      <w:pPr>
        <w:tabs>
          <w:tab w:val="left" w:pos="4395"/>
        </w:tabs>
        <w:spacing w:after="120" w:line="240" w:lineRule="auto"/>
        <w:ind w:left="709"/>
        <w:jc w:val="both"/>
        <w:rPr>
          <w:rFonts w:ascii="Times New Roman" w:eastAsia="Times New Roman" w:hAnsi="Times New Roman"/>
          <w:sz w:val="24"/>
          <w:szCs w:val="24"/>
          <w:lang w:eastAsia="cs-CZ"/>
        </w:rPr>
      </w:pPr>
      <w:r w:rsidRPr="00EB00FE">
        <w:rPr>
          <w:rFonts w:ascii="Times New Roman" w:eastAsia="Times New Roman" w:hAnsi="Times New Roman"/>
          <w:sz w:val="24"/>
          <w:szCs w:val="24"/>
          <w:lang w:eastAsia="cs-CZ"/>
        </w:rPr>
        <w:t>Finanční vypořádání vztahů se státním rozpočtem se provádí za celou dobu realizace akce podle stavu k 31. 12. roku, v němž byla předložena dokumentace k závěrečnému vyhodnocení akce stanoveném v Rozhodnutí. Formulář finančního vypořádání se předkládá v roce následujícím v termínu uvedeném ve vyhlášce o finančním vypořádání.</w:t>
      </w:r>
    </w:p>
    <w:p w14:paraId="04C81D19" w14:textId="77777777" w:rsidR="00EB00FE" w:rsidRPr="00EB00FE" w:rsidRDefault="00EB00FE" w:rsidP="00A70CE5">
      <w:pPr>
        <w:pStyle w:val="Odstavecseseznamem1"/>
        <w:numPr>
          <w:ilvl w:val="0"/>
          <w:numId w:val="7"/>
        </w:numPr>
        <w:tabs>
          <w:tab w:val="left" w:pos="4395"/>
        </w:tabs>
        <w:spacing w:after="120" w:line="240" w:lineRule="auto"/>
        <w:ind w:left="709"/>
        <w:contextualSpacing w:val="0"/>
        <w:jc w:val="both"/>
        <w:rPr>
          <w:rFonts w:ascii="Times New Roman" w:hAnsi="Times New Roman"/>
          <w:sz w:val="24"/>
          <w:szCs w:val="24"/>
          <w:lang w:eastAsia="cs-CZ"/>
        </w:rPr>
      </w:pPr>
      <w:r w:rsidRPr="00EB00FE">
        <w:rPr>
          <w:rFonts w:ascii="Times New Roman" w:hAnsi="Times New Roman"/>
          <w:sz w:val="24"/>
          <w:szCs w:val="24"/>
          <w:lang w:eastAsia="cs-CZ"/>
        </w:rPr>
        <w:t xml:space="preserve">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w:t>
      </w:r>
      <w:r w:rsidRPr="00EB00FE">
        <w:rPr>
          <w:rFonts w:ascii="Times New Roman" w:hAnsi="Times New Roman"/>
          <w:sz w:val="24"/>
          <w:szCs w:val="24"/>
          <w:lang w:eastAsia="cs-CZ"/>
        </w:rPr>
        <w:br/>
        <w:t>MŠMT: č. ú. 19-821001/0710.</w:t>
      </w:r>
    </w:p>
    <w:p w14:paraId="0C110B25" w14:textId="7E3B994E" w:rsidR="00EB00FE" w:rsidRPr="00EB00FE" w:rsidRDefault="00EB00FE" w:rsidP="00A70CE5">
      <w:pPr>
        <w:pStyle w:val="Odstavecseseznamem1"/>
        <w:numPr>
          <w:ilvl w:val="0"/>
          <w:numId w:val="7"/>
        </w:numPr>
        <w:tabs>
          <w:tab w:val="left" w:pos="4395"/>
        </w:tabs>
        <w:spacing w:after="120" w:line="240" w:lineRule="auto"/>
        <w:ind w:left="709"/>
        <w:contextualSpacing w:val="0"/>
        <w:jc w:val="both"/>
        <w:rPr>
          <w:rFonts w:ascii="Times New Roman" w:hAnsi="Times New Roman"/>
          <w:sz w:val="24"/>
          <w:szCs w:val="24"/>
          <w:lang w:eastAsia="cs-CZ"/>
        </w:rPr>
      </w:pPr>
      <w:r w:rsidRPr="00EB00FE">
        <w:rPr>
          <w:rFonts w:ascii="Times New Roman" w:hAnsi="Times New Roman"/>
          <w:sz w:val="24"/>
          <w:szCs w:val="24"/>
          <w:lang w:eastAsia="cs-CZ"/>
        </w:rPr>
        <w:lastRenderedPageBreak/>
        <w:t xml:space="preserve">Majetek pořízený z dotace dle Rozhodnutí bude využíván v souladu se zákonem č. 586/1992 Sb., o daních z příjmu, ve znění pozdějších předpisů.  U staveb bude využíván po dobu </w:t>
      </w:r>
      <w:r>
        <w:rPr>
          <w:rFonts w:ascii="Times New Roman" w:hAnsi="Times New Roman"/>
          <w:sz w:val="24"/>
          <w:szCs w:val="24"/>
          <w:lang w:eastAsia="cs-CZ"/>
        </w:rPr>
        <w:t>5</w:t>
      </w:r>
      <w:r w:rsidRPr="00EB00FE">
        <w:rPr>
          <w:rFonts w:ascii="Times New Roman" w:hAnsi="Times New Roman"/>
          <w:sz w:val="24"/>
          <w:szCs w:val="24"/>
          <w:lang w:eastAsia="cs-CZ"/>
        </w:rPr>
        <w:t xml:space="preserve"> let od jeho pořízení za účelem, pro který je dotace poskytována. V případě neschopnosti dodržet daný účel pro stavbu po dobu 10 let lze v odůvodněných případech akceptovat jiné využití infrastruktury sloužící dalšímu vzdělávacímu účelu. Akceptace musí být poskytovatelem písemně schválena. Termínem pořízení je termín ukončení realizace akce stanovený v Rozhodnutí.</w:t>
      </w:r>
    </w:p>
    <w:p w14:paraId="04E553BA" w14:textId="33A995E5" w:rsidR="00EB00FE" w:rsidRPr="00EB00FE" w:rsidRDefault="00EB00FE" w:rsidP="00A70CE5">
      <w:pPr>
        <w:pStyle w:val="Odstavecseseznamem1"/>
        <w:numPr>
          <w:ilvl w:val="0"/>
          <w:numId w:val="7"/>
        </w:numPr>
        <w:tabs>
          <w:tab w:val="left" w:pos="4395"/>
        </w:tabs>
        <w:spacing w:after="120" w:line="240" w:lineRule="auto"/>
        <w:ind w:left="709"/>
        <w:contextualSpacing w:val="0"/>
        <w:jc w:val="both"/>
        <w:rPr>
          <w:rFonts w:ascii="Times New Roman" w:hAnsi="Times New Roman"/>
          <w:sz w:val="24"/>
          <w:szCs w:val="24"/>
          <w:lang w:eastAsia="cs-CZ"/>
        </w:rPr>
      </w:pPr>
      <w:r w:rsidRPr="00EB00FE">
        <w:rPr>
          <w:rFonts w:ascii="Times New Roman" w:hAnsi="Times New Roman"/>
          <w:sz w:val="24"/>
          <w:szCs w:val="24"/>
          <w:lang w:eastAsia="cs-CZ"/>
        </w:rPr>
        <w:t xml:space="preserve">Majetek (vlastnické právo k majetku) pořízený z dotace nebude po dobu </w:t>
      </w:r>
      <w:r>
        <w:rPr>
          <w:rFonts w:ascii="Times New Roman" w:hAnsi="Times New Roman"/>
          <w:sz w:val="24"/>
          <w:szCs w:val="24"/>
          <w:lang w:eastAsia="cs-CZ"/>
        </w:rPr>
        <w:t>5</w:t>
      </w:r>
      <w:r w:rsidRPr="00EB00FE">
        <w:rPr>
          <w:rFonts w:ascii="Times New Roman" w:hAnsi="Times New Roman"/>
          <w:sz w:val="24"/>
          <w:szCs w:val="24"/>
          <w:lang w:eastAsia="cs-CZ"/>
        </w:rPr>
        <w:t xml:space="preserve"> let od jeho pořízení převeden na jinou osobu a po dobu 10 let od jeho pořízení je příjemce dotace povinen jej řádně provozovat.  Výjimkou pro případný převod majetku je vklad majetku do dobrovolného svazku obcí v souladu s § 38 zákona č. 250/2000 Sb., o rozpočtových pravidlech územních rozpočtů, ve znění pozdějších předpisů, bezúplatný převod do vlastnictví dobrovolného svazku obcí, nebo bezúplatný převod do vlastnictví školské právnické osoby zřízené dobrovolným svazkem obcí, a to k výkonu činnosti dané základní školy. Případný nový vlastník musí i nadále plnit podmínku udržitelnosti akce dle tohoto bodu, respektive, původní vlastník (příjemce) zaváže nového vlastníka ke splnění této podmínky. </w:t>
      </w:r>
    </w:p>
    <w:p w14:paraId="6CC9AC68" w14:textId="6940E602" w:rsidR="00EB00FE" w:rsidRPr="00EB00FE" w:rsidRDefault="00EB00FE" w:rsidP="00A70CE5">
      <w:pPr>
        <w:pStyle w:val="Odstavecseseznamem1"/>
        <w:numPr>
          <w:ilvl w:val="0"/>
          <w:numId w:val="7"/>
        </w:numPr>
        <w:tabs>
          <w:tab w:val="left" w:pos="4395"/>
        </w:tabs>
        <w:spacing w:after="120" w:line="240" w:lineRule="auto"/>
        <w:ind w:left="709"/>
        <w:contextualSpacing w:val="0"/>
        <w:jc w:val="both"/>
        <w:rPr>
          <w:rFonts w:ascii="Times New Roman" w:hAnsi="Times New Roman"/>
          <w:sz w:val="24"/>
          <w:szCs w:val="24"/>
          <w:lang w:eastAsia="cs-CZ"/>
        </w:rPr>
      </w:pPr>
      <w:r w:rsidRPr="00EB00FE">
        <w:rPr>
          <w:rFonts w:ascii="Times New Roman" w:hAnsi="Times New Roman"/>
          <w:sz w:val="24"/>
          <w:szCs w:val="24"/>
          <w:lang w:eastAsia="cs-CZ"/>
        </w:rPr>
        <w:t>K majetku, který je předmětem poskytované dotace, nesmí být po dobu realizace a udržitelnosti, tj. </w:t>
      </w:r>
      <w:r>
        <w:rPr>
          <w:rFonts w:ascii="Times New Roman" w:hAnsi="Times New Roman"/>
          <w:sz w:val="24"/>
          <w:szCs w:val="24"/>
          <w:lang w:eastAsia="cs-CZ"/>
        </w:rPr>
        <w:t>5</w:t>
      </w:r>
      <w:r w:rsidRPr="00EB00FE">
        <w:rPr>
          <w:rFonts w:ascii="Times New Roman" w:hAnsi="Times New Roman"/>
          <w:sz w:val="24"/>
          <w:szCs w:val="24"/>
          <w:lang w:eastAsia="cs-CZ"/>
        </w:rPr>
        <w:t>let, akce zřízeno zástavní právo.</w:t>
      </w:r>
    </w:p>
    <w:p w14:paraId="0FE80792" w14:textId="7E2E43E1" w:rsidR="00EB00FE" w:rsidRPr="00EB00FE" w:rsidRDefault="00EB00FE" w:rsidP="00A70CE5">
      <w:pPr>
        <w:pStyle w:val="Odstavecseseznamem1"/>
        <w:numPr>
          <w:ilvl w:val="0"/>
          <w:numId w:val="7"/>
        </w:numPr>
        <w:tabs>
          <w:tab w:val="left" w:pos="4395"/>
        </w:tabs>
        <w:spacing w:after="120" w:line="240" w:lineRule="auto"/>
        <w:ind w:left="709"/>
        <w:contextualSpacing w:val="0"/>
        <w:jc w:val="both"/>
        <w:rPr>
          <w:rFonts w:ascii="Times New Roman" w:hAnsi="Times New Roman"/>
          <w:sz w:val="24"/>
          <w:szCs w:val="24"/>
          <w:lang w:eastAsia="cs-CZ"/>
        </w:rPr>
      </w:pPr>
      <w:r w:rsidRPr="00EB00FE">
        <w:rPr>
          <w:rFonts w:ascii="Times New Roman" w:hAnsi="Times New Roman"/>
          <w:sz w:val="24"/>
          <w:szCs w:val="24"/>
          <w:lang w:eastAsia="cs-CZ"/>
        </w:rPr>
        <w:t xml:space="preserve">Pozemek pod stavbou dotčenou dotací nebude po dobu </w:t>
      </w:r>
      <w:r>
        <w:rPr>
          <w:rFonts w:ascii="Times New Roman" w:hAnsi="Times New Roman"/>
          <w:sz w:val="24"/>
          <w:szCs w:val="24"/>
          <w:lang w:eastAsia="cs-CZ"/>
        </w:rPr>
        <w:t xml:space="preserve">5 </w:t>
      </w:r>
      <w:r w:rsidRPr="00EB00FE">
        <w:rPr>
          <w:rFonts w:ascii="Times New Roman" w:hAnsi="Times New Roman"/>
          <w:sz w:val="24"/>
          <w:szCs w:val="24"/>
          <w:lang w:eastAsia="cs-CZ"/>
        </w:rPr>
        <w:t>let od pořízení stavby převeden na jinou osobu.</w:t>
      </w:r>
    </w:p>
    <w:p w14:paraId="53773432" w14:textId="77777777" w:rsidR="00EB00FE" w:rsidRPr="00EB00FE" w:rsidRDefault="00EB00FE" w:rsidP="00A70CE5">
      <w:pPr>
        <w:pStyle w:val="Odstavecseseznamem1"/>
        <w:numPr>
          <w:ilvl w:val="0"/>
          <w:numId w:val="7"/>
        </w:numPr>
        <w:tabs>
          <w:tab w:val="left" w:pos="4395"/>
        </w:tabs>
        <w:spacing w:after="120" w:line="240" w:lineRule="auto"/>
        <w:ind w:left="709"/>
        <w:contextualSpacing w:val="0"/>
        <w:jc w:val="both"/>
        <w:rPr>
          <w:rFonts w:ascii="Times New Roman" w:hAnsi="Times New Roman"/>
          <w:sz w:val="24"/>
          <w:szCs w:val="24"/>
          <w:lang w:eastAsia="cs-CZ"/>
        </w:rPr>
      </w:pPr>
      <w:r w:rsidRPr="00EB00FE">
        <w:rPr>
          <w:rFonts w:ascii="Times New Roman" w:hAnsi="Times New Roman"/>
          <w:sz w:val="24"/>
          <w:szCs w:val="24"/>
          <w:lang w:eastAsia="cs-CZ"/>
        </w:rPr>
        <w:t>Příjemce dotace je povinen po dobu nejméně 10 let od termínu ukončení závěrečného vyhodnocení akce uchovávat veškeré doklady a písemnosti potřebné k řádnému provedení kontroly použití dotace.</w:t>
      </w:r>
    </w:p>
    <w:p w14:paraId="1F1A38EF" w14:textId="77777777" w:rsidR="00EB00FE" w:rsidRPr="00EB00FE" w:rsidRDefault="00EB00FE" w:rsidP="00A70CE5">
      <w:pPr>
        <w:pStyle w:val="Odstavecseseznamem1"/>
        <w:numPr>
          <w:ilvl w:val="0"/>
          <w:numId w:val="7"/>
        </w:numPr>
        <w:tabs>
          <w:tab w:val="left" w:pos="4395"/>
        </w:tabs>
        <w:spacing w:after="120" w:line="240" w:lineRule="auto"/>
        <w:ind w:left="709"/>
        <w:contextualSpacing w:val="0"/>
        <w:jc w:val="both"/>
        <w:rPr>
          <w:rFonts w:ascii="Times New Roman" w:hAnsi="Times New Roman"/>
          <w:sz w:val="24"/>
          <w:szCs w:val="24"/>
          <w:lang w:eastAsia="cs-CZ"/>
        </w:rPr>
      </w:pPr>
      <w:r w:rsidRPr="00EB00FE">
        <w:rPr>
          <w:rFonts w:ascii="Times New Roman" w:hAnsi="Times New Roman"/>
          <w:sz w:val="24"/>
          <w:szCs w:val="24"/>
          <w:lang w:eastAsia="cs-CZ"/>
        </w:rPr>
        <w:t>Příjemce dotace je povinen vést účetnictví dle zákona č. 563/1991 Sb., o účetnictví a vést analytickou evidenci s vazbou na akci a dotaci účtovat odděleně.</w:t>
      </w:r>
    </w:p>
    <w:p w14:paraId="4C06E956" w14:textId="77777777" w:rsidR="00EB00FE" w:rsidRPr="00EB00FE" w:rsidRDefault="00EB00FE" w:rsidP="00A70CE5">
      <w:pPr>
        <w:pStyle w:val="Odstavecseseznamem1"/>
        <w:numPr>
          <w:ilvl w:val="0"/>
          <w:numId w:val="7"/>
        </w:numPr>
        <w:tabs>
          <w:tab w:val="left" w:pos="4395"/>
        </w:tabs>
        <w:spacing w:after="120" w:line="240" w:lineRule="auto"/>
        <w:ind w:left="709"/>
        <w:contextualSpacing w:val="0"/>
        <w:jc w:val="both"/>
        <w:rPr>
          <w:rFonts w:ascii="Times New Roman" w:hAnsi="Times New Roman"/>
          <w:sz w:val="24"/>
          <w:szCs w:val="24"/>
          <w:lang w:eastAsia="cs-CZ"/>
        </w:rPr>
      </w:pPr>
      <w:r w:rsidRPr="00EB00FE">
        <w:rPr>
          <w:rFonts w:ascii="Times New Roman" w:hAnsi="Times New Roman"/>
          <w:sz w:val="24"/>
          <w:szCs w:val="24"/>
          <w:lang w:eastAsia="cs-CZ"/>
        </w:rPr>
        <w:t xml:space="preserve">Po ukončení realizace akce příjemce dotace předloží poskytovateli v souladu s § 6 vyhlášky </w:t>
      </w:r>
      <w:r w:rsidRPr="00EB00FE">
        <w:rPr>
          <w:rFonts w:ascii="Times New Roman" w:hAnsi="Times New Roman"/>
          <w:sz w:val="24"/>
          <w:szCs w:val="24"/>
          <w:lang w:eastAsia="cs-CZ"/>
        </w:rPr>
        <w:br/>
        <w:t>č. 560/2006 Sb., o účasti státního rozpočtu na financování programů reprodukce majetku, ve znění pozdějších předpisů ve stanoveném termínu dokumentaci závěrečného vyhodnocení akce. Tento termín je uveden v Rozhodnutí.</w:t>
      </w:r>
    </w:p>
    <w:p w14:paraId="40327124" w14:textId="77777777" w:rsidR="00EB00FE" w:rsidRPr="00EB00FE" w:rsidRDefault="00EB00FE" w:rsidP="00A70CE5">
      <w:pPr>
        <w:pStyle w:val="Odstavecseseznamem1"/>
        <w:numPr>
          <w:ilvl w:val="0"/>
          <w:numId w:val="7"/>
        </w:numPr>
        <w:tabs>
          <w:tab w:val="left" w:pos="4395"/>
        </w:tabs>
        <w:spacing w:after="120" w:line="240" w:lineRule="auto"/>
        <w:ind w:left="709"/>
        <w:contextualSpacing w:val="0"/>
        <w:jc w:val="both"/>
        <w:rPr>
          <w:rFonts w:ascii="Times New Roman" w:hAnsi="Times New Roman"/>
          <w:sz w:val="24"/>
          <w:szCs w:val="24"/>
          <w:lang w:eastAsia="cs-CZ"/>
        </w:rPr>
      </w:pPr>
      <w:r w:rsidRPr="00EB00FE">
        <w:rPr>
          <w:rFonts w:ascii="Times New Roman" w:hAnsi="Times New Roman"/>
          <w:sz w:val="24"/>
          <w:szCs w:val="24"/>
          <w:lang w:eastAsia="cs-CZ"/>
        </w:rPr>
        <w:t>Nikdy nesmí dojít ke dvojímu financování konkrétního výdaje z jiného veřejného zdroje. V rámci závěrečného vyhodnocení akce musí být označeny faktury, které byly proplaceny z dotace MŠMT. V případě, že je vystavena jedna faktura, bude v soupisu prací, které jsou přílohou faktury, vyznačeny položky k proplacení z dotace MŠMT, z dotace jiného dotačního titulu a z vlastních prostředků příjemce dotace.</w:t>
      </w:r>
    </w:p>
    <w:p w14:paraId="684C4B05" w14:textId="598411FB" w:rsidR="00EB00FE" w:rsidRPr="00EB00FE" w:rsidRDefault="00EB00FE" w:rsidP="00A70CE5">
      <w:pPr>
        <w:pStyle w:val="Odstavecseseznamem1"/>
        <w:numPr>
          <w:ilvl w:val="0"/>
          <w:numId w:val="7"/>
        </w:numPr>
        <w:tabs>
          <w:tab w:val="left" w:pos="4395"/>
        </w:tabs>
        <w:spacing w:after="120" w:line="240" w:lineRule="auto"/>
        <w:ind w:left="709"/>
        <w:contextualSpacing w:val="0"/>
        <w:jc w:val="both"/>
        <w:rPr>
          <w:rFonts w:ascii="Times New Roman" w:hAnsi="Times New Roman"/>
          <w:sz w:val="24"/>
          <w:szCs w:val="24"/>
          <w:lang w:eastAsia="cs-CZ"/>
        </w:rPr>
      </w:pPr>
      <w:r w:rsidRPr="00EB00FE">
        <w:rPr>
          <w:rFonts w:ascii="Times New Roman" w:hAnsi="Times New Roman"/>
          <w:sz w:val="24"/>
          <w:szCs w:val="24"/>
          <w:lang w:eastAsia="cs-CZ"/>
        </w:rPr>
        <w:t>Termín ukončení financování akce je termín Závěrečného vyhodnocení akce dle Rozhodnutí. Finanční prostředky dotace musí být převedeny z účtu příjemce dotace nejpozději v den Závěrečného vyhodnocení akce. Práce, služby a dodávky uhrazené později se stávají neuznatelnými výdaji a nelze je hradit z dotace.</w:t>
      </w:r>
    </w:p>
    <w:p w14:paraId="6E4ADBAD" w14:textId="0E793DE4" w:rsidR="00057D0C" w:rsidRPr="008829BE" w:rsidRDefault="00984491" w:rsidP="00A70CE5">
      <w:pPr>
        <w:pStyle w:val="Odstavecseseznamem"/>
        <w:numPr>
          <w:ilvl w:val="0"/>
          <w:numId w:val="2"/>
        </w:numPr>
        <w:tabs>
          <w:tab w:val="left" w:pos="567"/>
          <w:tab w:val="left" w:pos="993"/>
        </w:tabs>
        <w:spacing w:after="240" w:line="240" w:lineRule="auto"/>
        <w:ind w:left="714" w:hanging="357"/>
        <w:contextualSpacing w:val="0"/>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Vymezení </w:t>
      </w:r>
      <w:r w:rsidR="00420D1C">
        <w:rPr>
          <w:rFonts w:ascii="Times New Roman" w:eastAsia="Times New Roman" w:hAnsi="Times New Roman"/>
          <w:b/>
          <w:sz w:val="24"/>
          <w:szCs w:val="24"/>
          <w:lang w:eastAsia="cs-CZ"/>
        </w:rPr>
        <w:t>dalších</w:t>
      </w:r>
      <w:r w:rsidRPr="0061443F">
        <w:rPr>
          <w:rFonts w:ascii="Times New Roman" w:eastAsia="Times New Roman" w:hAnsi="Times New Roman"/>
          <w:b/>
          <w:sz w:val="24"/>
          <w:szCs w:val="24"/>
          <w:lang w:eastAsia="cs-CZ"/>
        </w:rPr>
        <w:t xml:space="preserve"> podmín</w:t>
      </w:r>
      <w:r>
        <w:rPr>
          <w:rFonts w:ascii="Times New Roman" w:eastAsia="Times New Roman" w:hAnsi="Times New Roman"/>
          <w:b/>
          <w:sz w:val="24"/>
          <w:szCs w:val="24"/>
          <w:lang w:eastAsia="cs-CZ"/>
        </w:rPr>
        <w:t>e</w:t>
      </w:r>
      <w:r w:rsidRPr="0061443F">
        <w:rPr>
          <w:rFonts w:ascii="Times New Roman" w:eastAsia="Times New Roman" w:hAnsi="Times New Roman"/>
          <w:b/>
          <w:sz w:val="24"/>
          <w:szCs w:val="24"/>
          <w:lang w:eastAsia="cs-CZ"/>
        </w:rPr>
        <w:t xml:space="preserve">k </w:t>
      </w:r>
    </w:p>
    <w:p w14:paraId="3DCB7776" w14:textId="47E7163F" w:rsidR="00E33BC2" w:rsidRDefault="002F46A2" w:rsidP="00A70CE5">
      <w:pPr>
        <w:pStyle w:val="Odstavecseseznamem1"/>
        <w:numPr>
          <w:ilvl w:val="0"/>
          <w:numId w:val="4"/>
        </w:numPr>
        <w:tabs>
          <w:tab w:val="left" w:pos="4395"/>
        </w:tabs>
        <w:spacing w:after="120" w:line="240" w:lineRule="auto"/>
        <w:ind w:left="709"/>
        <w:contextualSpacing w:val="0"/>
        <w:jc w:val="both"/>
        <w:rPr>
          <w:rFonts w:ascii="Times New Roman" w:hAnsi="Times New Roman"/>
          <w:sz w:val="24"/>
          <w:szCs w:val="24"/>
          <w:lang w:eastAsia="cs-CZ"/>
        </w:rPr>
      </w:pPr>
      <w:r>
        <w:rPr>
          <w:rFonts w:ascii="Times New Roman" w:hAnsi="Times New Roman"/>
          <w:sz w:val="24"/>
          <w:szCs w:val="24"/>
          <w:lang w:eastAsia="cs-CZ"/>
        </w:rPr>
        <w:t>Příjemce dotace</w:t>
      </w:r>
      <w:r w:rsidRPr="003B275D">
        <w:rPr>
          <w:rFonts w:ascii="Times New Roman" w:hAnsi="Times New Roman"/>
          <w:sz w:val="24"/>
          <w:szCs w:val="24"/>
          <w:lang w:eastAsia="cs-CZ"/>
        </w:rPr>
        <w:t xml:space="preserve"> </w:t>
      </w:r>
      <w:r w:rsidR="00057D0C" w:rsidRPr="003B275D">
        <w:rPr>
          <w:rFonts w:ascii="Times New Roman" w:hAnsi="Times New Roman"/>
          <w:sz w:val="24"/>
          <w:szCs w:val="24"/>
          <w:lang w:eastAsia="cs-CZ"/>
        </w:rPr>
        <w:t xml:space="preserve">umožní </w:t>
      </w:r>
      <w:r w:rsidR="00DA67C3" w:rsidRPr="00DA67C3">
        <w:rPr>
          <w:rFonts w:ascii="Times New Roman" w:hAnsi="Times New Roman"/>
          <w:sz w:val="24"/>
          <w:szCs w:val="24"/>
          <w:lang w:eastAsia="cs-CZ"/>
        </w:rPr>
        <w:t>poskytovatel</w:t>
      </w:r>
      <w:r w:rsidR="00DA67C3">
        <w:rPr>
          <w:rFonts w:ascii="Times New Roman" w:hAnsi="Times New Roman"/>
          <w:sz w:val="24"/>
          <w:szCs w:val="24"/>
          <w:lang w:eastAsia="cs-CZ"/>
        </w:rPr>
        <w:t>i</w:t>
      </w:r>
      <w:r w:rsidR="00057D0C" w:rsidRPr="003B275D">
        <w:rPr>
          <w:rFonts w:ascii="Times New Roman" w:hAnsi="Times New Roman"/>
          <w:sz w:val="24"/>
          <w:szCs w:val="24"/>
          <w:lang w:eastAsia="cs-CZ"/>
        </w:rPr>
        <w:t xml:space="preserve"> průběžnou i závěrečnou kontrolu dokladů a dodržení podmínek užití dotace. </w:t>
      </w:r>
    </w:p>
    <w:p w14:paraId="10B8416B" w14:textId="7C257DD2" w:rsidR="00E33BC2" w:rsidRPr="00E33BC2" w:rsidRDefault="00E33BC2" w:rsidP="00A70CE5">
      <w:pPr>
        <w:pStyle w:val="Odstavecseseznamem1"/>
        <w:numPr>
          <w:ilvl w:val="0"/>
          <w:numId w:val="4"/>
        </w:numPr>
        <w:tabs>
          <w:tab w:val="left" w:pos="4395"/>
        </w:tabs>
        <w:spacing w:after="120" w:line="240" w:lineRule="auto"/>
        <w:ind w:left="709"/>
        <w:contextualSpacing w:val="0"/>
        <w:jc w:val="both"/>
        <w:rPr>
          <w:rFonts w:ascii="Times New Roman" w:hAnsi="Times New Roman"/>
          <w:sz w:val="24"/>
          <w:szCs w:val="24"/>
          <w:lang w:eastAsia="cs-CZ"/>
        </w:rPr>
      </w:pPr>
      <w:r w:rsidRPr="00E33BC2">
        <w:rPr>
          <w:rFonts w:ascii="Times New Roman" w:hAnsi="Times New Roman"/>
          <w:sz w:val="24"/>
          <w:szCs w:val="24"/>
          <w:lang w:eastAsia="cs-CZ"/>
        </w:rPr>
        <w:t xml:space="preserve">Příjemce dotace odpovídá za to, že veškeré doklady jsou úplné a pravdivé a že věcný obsah IZ </w:t>
      </w:r>
      <w:r w:rsidR="00005C3C">
        <w:rPr>
          <w:rFonts w:ascii="Times New Roman" w:hAnsi="Times New Roman"/>
          <w:sz w:val="24"/>
          <w:szCs w:val="24"/>
          <w:lang w:eastAsia="cs-CZ"/>
        </w:rPr>
        <w:br/>
      </w:r>
      <w:r w:rsidRPr="00E33BC2">
        <w:rPr>
          <w:rFonts w:ascii="Times New Roman" w:hAnsi="Times New Roman"/>
          <w:sz w:val="24"/>
          <w:szCs w:val="24"/>
          <w:lang w:eastAsia="cs-CZ"/>
        </w:rPr>
        <w:t>z pohledu uživatele je úplný a odpovídá jeho požadavkům.</w:t>
      </w:r>
    </w:p>
    <w:p w14:paraId="1E95316F" w14:textId="336E7E95" w:rsidR="0018628C" w:rsidRPr="00FF56C3" w:rsidRDefault="008F49B8" w:rsidP="00A70CE5">
      <w:pPr>
        <w:pStyle w:val="Odstavecseseznamem1"/>
        <w:numPr>
          <w:ilvl w:val="0"/>
          <w:numId w:val="4"/>
        </w:numPr>
        <w:tabs>
          <w:tab w:val="left" w:pos="4395"/>
        </w:tabs>
        <w:spacing w:after="120" w:line="240" w:lineRule="auto"/>
        <w:ind w:left="709"/>
        <w:contextualSpacing w:val="0"/>
        <w:jc w:val="both"/>
        <w:rPr>
          <w:rFonts w:ascii="Times New Roman" w:hAnsi="Times New Roman"/>
          <w:sz w:val="24"/>
          <w:szCs w:val="24"/>
          <w:lang w:eastAsia="cs-CZ"/>
        </w:rPr>
      </w:pPr>
      <w:r w:rsidRPr="008F49B8">
        <w:rPr>
          <w:rFonts w:ascii="Times New Roman" w:hAnsi="Times New Roman"/>
          <w:bCs/>
          <w:sz w:val="24"/>
          <w:szCs w:val="24"/>
        </w:rPr>
        <w:t>Pravidla publicity – pravidla publicity nejsou stanovena.</w:t>
      </w:r>
    </w:p>
    <w:sectPr w:rsidR="0018628C" w:rsidRPr="00FF56C3" w:rsidSect="002E747A">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4E0FC" w14:textId="77777777" w:rsidR="00372CC1" w:rsidRDefault="00372CC1" w:rsidP="00FB2CF2">
      <w:pPr>
        <w:spacing w:after="0" w:line="240" w:lineRule="auto"/>
      </w:pPr>
      <w:r>
        <w:separator/>
      </w:r>
    </w:p>
  </w:endnote>
  <w:endnote w:type="continuationSeparator" w:id="0">
    <w:p w14:paraId="5EA2B810" w14:textId="77777777" w:rsidR="00372CC1" w:rsidRDefault="00372CC1" w:rsidP="00FB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933056"/>
      <w:docPartObj>
        <w:docPartGallery w:val="Page Numbers (Bottom of Page)"/>
        <w:docPartUnique/>
      </w:docPartObj>
    </w:sdtPr>
    <w:sdtEndPr/>
    <w:sdtContent>
      <w:p w14:paraId="01F8E0D6" w14:textId="77777777" w:rsidR="00FB2CF2" w:rsidRDefault="00FB2CF2">
        <w:pPr>
          <w:pStyle w:val="Zpat"/>
        </w:pPr>
        <w:r>
          <w:rPr>
            <w:noProof/>
            <w:lang w:eastAsia="cs-CZ"/>
          </w:rPr>
          <mc:AlternateContent>
            <mc:Choice Requires="wps">
              <w:drawing>
                <wp:anchor distT="0" distB="0" distL="114300" distR="114300" simplePos="0" relativeHeight="251659264" behindDoc="0" locked="0" layoutInCell="1" allowOverlap="1" wp14:anchorId="57E8543D" wp14:editId="06F491AA">
                  <wp:simplePos x="0" y="0"/>
                  <wp:positionH relativeFrom="leftMargin">
                    <wp:align>center</wp:align>
                  </wp:positionH>
                  <wp:positionV relativeFrom="bottomMargin">
                    <wp:align>center</wp:align>
                  </wp:positionV>
                  <wp:extent cx="565785" cy="191770"/>
                  <wp:effectExtent l="0" t="0" r="0" b="0"/>
                  <wp:wrapNone/>
                  <wp:docPr id="649" name="Obdélní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F84D0A4" w14:textId="2BA2D3E9" w:rsidR="00FB2CF2" w:rsidRDefault="00FB2CF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6466BE" w:rsidRPr="006466BE">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7E8543D" id="Obdélník 649"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6F84D0A4" w14:textId="2BA2D3E9" w:rsidR="00FB2CF2" w:rsidRDefault="00FB2CF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6466BE" w:rsidRPr="006466BE">
                          <w:rPr>
                            <w:noProof/>
                            <w:color w:val="C0504D" w:themeColor="accent2"/>
                          </w:rPr>
                          <w:t>3</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06F1" w14:textId="77777777" w:rsidR="00372CC1" w:rsidRDefault="00372CC1" w:rsidP="00FB2CF2">
      <w:pPr>
        <w:spacing w:after="0" w:line="240" w:lineRule="auto"/>
      </w:pPr>
      <w:r>
        <w:separator/>
      </w:r>
    </w:p>
  </w:footnote>
  <w:footnote w:type="continuationSeparator" w:id="0">
    <w:p w14:paraId="32E33594" w14:textId="77777777" w:rsidR="00372CC1" w:rsidRDefault="00372CC1" w:rsidP="00FB2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E142" w14:textId="77777777" w:rsidR="009F23E2" w:rsidRPr="007B6EA4" w:rsidRDefault="009F23E2" w:rsidP="007B6EA4">
    <w:pPr>
      <w:spacing w:after="0" w:line="240" w:lineRule="auto"/>
      <w:ind w:left="425" w:hanging="425"/>
      <w:rPr>
        <w:rFonts w:ascii="Times New Roman" w:hAnsi="Times New Roman"/>
        <w:sz w:val="24"/>
        <w:szCs w:val="24"/>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796"/>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442BC7"/>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894036"/>
    <w:multiLevelType w:val="hybridMultilevel"/>
    <w:tmpl w:val="38186A6C"/>
    <w:lvl w:ilvl="0" w:tplc="496E9070">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D804391"/>
    <w:multiLevelType w:val="hybridMultilevel"/>
    <w:tmpl w:val="C90C49D2"/>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2FAD4275"/>
    <w:multiLevelType w:val="hybridMultilevel"/>
    <w:tmpl w:val="8CE475F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 w15:restartNumberingAfterBreak="0">
    <w:nsid w:val="4F2F0A5F"/>
    <w:multiLevelType w:val="multilevel"/>
    <w:tmpl w:val="9FA4CA94"/>
    <w:lvl w:ilvl="0">
      <w:start w:val="1"/>
      <w:numFmt w:val="decimal"/>
      <w:pStyle w:val="Styl1"/>
      <w:lvlText w:val="%1)"/>
      <w:lvlJc w:val="left"/>
      <w:pPr>
        <w:tabs>
          <w:tab w:val="num" w:pos="360"/>
        </w:tabs>
        <w:ind w:left="340" w:hanging="340"/>
      </w:pPr>
      <w:rPr>
        <w:rFonts w:cs="Times New Roman"/>
      </w:rPr>
    </w:lvl>
    <w:lvl w:ilvl="1">
      <w:start w:val="1"/>
      <w:numFmt w:val="lowerLetter"/>
      <w:lvlText w:val="%2)"/>
      <w:lvlJc w:val="left"/>
      <w:pPr>
        <w:tabs>
          <w:tab w:val="num" w:pos="700"/>
        </w:tabs>
        <w:ind w:left="340"/>
      </w:pPr>
      <w:rPr>
        <w:rFonts w:cs="Times New Roman"/>
      </w:rPr>
    </w:lvl>
    <w:lvl w:ilvl="2">
      <w:start w:val="1"/>
      <w:numFmt w:val="bullet"/>
      <w:lvlText w:val=""/>
      <w:lvlJc w:val="left"/>
      <w:pPr>
        <w:tabs>
          <w:tab w:val="num" w:pos="1080"/>
        </w:tabs>
        <w:ind w:left="1077" w:hanging="357"/>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6A6B6B61"/>
    <w:multiLevelType w:val="hybridMultilevel"/>
    <w:tmpl w:val="471EA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1A2A2A"/>
    <w:multiLevelType w:val="hybridMultilevel"/>
    <w:tmpl w:val="471EA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1684995">
    <w:abstractNumId w:val="5"/>
  </w:num>
  <w:num w:numId="2" w16cid:durableId="1683123278">
    <w:abstractNumId w:val="0"/>
  </w:num>
  <w:num w:numId="3" w16cid:durableId="1386760898">
    <w:abstractNumId w:val="1"/>
  </w:num>
  <w:num w:numId="4" w16cid:durableId="1089278501">
    <w:abstractNumId w:val="3"/>
  </w:num>
  <w:num w:numId="5" w16cid:durableId="805468736">
    <w:abstractNumId w:val="4"/>
  </w:num>
  <w:num w:numId="6" w16cid:durableId="497506096">
    <w:abstractNumId w:val="2"/>
  </w:num>
  <w:num w:numId="7" w16cid:durableId="1160540943">
    <w:abstractNumId w:val="6"/>
  </w:num>
  <w:num w:numId="8" w16cid:durableId="102520834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9E"/>
    <w:rsid w:val="000000E6"/>
    <w:rsid w:val="00002ADE"/>
    <w:rsid w:val="0000385D"/>
    <w:rsid w:val="00005C3C"/>
    <w:rsid w:val="000105E0"/>
    <w:rsid w:val="00010F09"/>
    <w:rsid w:val="0001152A"/>
    <w:rsid w:val="00011B3A"/>
    <w:rsid w:val="000134CE"/>
    <w:rsid w:val="00017058"/>
    <w:rsid w:val="00024B31"/>
    <w:rsid w:val="00037E52"/>
    <w:rsid w:val="00042C44"/>
    <w:rsid w:val="0004559B"/>
    <w:rsid w:val="00051A6A"/>
    <w:rsid w:val="000522BB"/>
    <w:rsid w:val="00057AA1"/>
    <w:rsid w:val="00057D0C"/>
    <w:rsid w:val="0006029F"/>
    <w:rsid w:val="00060E25"/>
    <w:rsid w:val="0006116C"/>
    <w:rsid w:val="00061F27"/>
    <w:rsid w:val="000675AE"/>
    <w:rsid w:val="00067841"/>
    <w:rsid w:val="00072DB2"/>
    <w:rsid w:val="00073F8B"/>
    <w:rsid w:val="00081D2A"/>
    <w:rsid w:val="00082FBA"/>
    <w:rsid w:val="00084DDB"/>
    <w:rsid w:val="00091474"/>
    <w:rsid w:val="000A0627"/>
    <w:rsid w:val="000A0C1D"/>
    <w:rsid w:val="000A7C29"/>
    <w:rsid w:val="000C3653"/>
    <w:rsid w:val="000C4FE6"/>
    <w:rsid w:val="000C67DD"/>
    <w:rsid w:val="000D1576"/>
    <w:rsid w:val="000E1BA5"/>
    <w:rsid w:val="000E1C26"/>
    <w:rsid w:val="000E774A"/>
    <w:rsid w:val="000F07CD"/>
    <w:rsid w:val="000F1250"/>
    <w:rsid w:val="000F4A55"/>
    <w:rsid w:val="00100E2A"/>
    <w:rsid w:val="00106A77"/>
    <w:rsid w:val="00110096"/>
    <w:rsid w:val="00124724"/>
    <w:rsid w:val="00124775"/>
    <w:rsid w:val="00126A28"/>
    <w:rsid w:val="00127CA8"/>
    <w:rsid w:val="001319F0"/>
    <w:rsid w:val="001346F3"/>
    <w:rsid w:val="00136DA7"/>
    <w:rsid w:val="00137D21"/>
    <w:rsid w:val="0014198D"/>
    <w:rsid w:val="001444B3"/>
    <w:rsid w:val="00144838"/>
    <w:rsid w:val="00145184"/>
    <w:rsid w:val="001458ED"/>
    <w:rsid w:val="00147A7E"/>
    <w:rsid w:val="0015151D"/>
    <w:rsid w:val="00153D93"/>
    <w:rsid w:val="00156BE5"/>
    <w:rsid w:val="0016195D"/>
    <w:rsid w:val="001702C4"/>
    <w:rsid w:val="0017236D"/>
    <w:rsid w:val="00173AEA"/>
    <w:rsid w:val="0018152D"/>
    <w:rsid w:val="0018442D"/>
    <w:rsid w:val="00185467"/>
    <w:rsid w:val="0018628C"/>
    <w:rsid w:val="001901F2"/>
    <w:rsid w:val="001A19B7"/>
    <w:rsid w:val="001A1D34"/>
    <w:rsid w:val="001A21F8"/>
    <w:rsid w:val="001A6287"/>
    <w:rsid w:val="001B61E5"/>
    <w:rsid w:val="001C1C39"/>
    <w:rsid w:val="001C24E0"/>
    <w:rsid w:val="001C2D45"/>
    <w:rsid w:val="001C6990"/>
    <w:rsid w:val="001C6BFB"/>
    <w:rsid w:val="001C70CE"/>
    <w:rsid w:val="001D48FE"/>
    <w:rsid w:val="001E2B17"/>
    <w:rsid w:val="001E4CD4"/>
    <w:rsid w:val="001F0F14"/>
    <w:rsid w:val="00204210"/>
    <w:rsid w:val="00210376"/>
    <w:rsid w:val="0021268A"/>
    <w:rsid w:val="00212E16"/>
    <w:rsid w:val="00213824"/>
    <w:rsid w:val="002216BD"/>
    <w:rsid w:val="00221BC8"/>
    <w:rsid w:val="00225AA8"/>
    <w:rsid w:val="002324AA"/>
    <w:rsid w:val="00236292"/>
    <w:rsid w:val="0024291F"/>
    <w:rsid w:val="002432C5"/>
    <w:rsid w:val="0025015C"/>
    <w:rsid w:val="00251119"/>
    <w:rsid w:val="00251779"/>
    <w:rsid w:val="00252565"/>
    <w:rsid w:val="00263E0D"/>
    <w:rsid w:val="0026629B"/>
    <w:rsid w:val="00266DEC"/>
    <w:rsid w:val="00267854"/>
    <w:rsid w:val="00273448"/>
    <w:rsid w:val="0027351B"/>
    <w:rsid w:val="002837BA"/>
    <w:rsid w:val="002915C1"/>
    <w:rsid w:val="002A13AD"/>
    <w:rsid w:val="002A1450"/>
    <w:rsid w:val="002B52B7"/>
    <w:rsid w:val="002B56E3"/>
    <w:rsid w:val="002B7525"/>
    <w:rsid w:val="002C39A2"/>
    <w:rsid w:val="002C713A"/>
    <w:rsid w:val="002D4B08"/>
    <w:rsid w:val="002E04C6"/>
    <w:rsid w:val="002E747A"/>
    <w:rsid w:val="002F0B35"/>
    <w:rsid w:val="002F1058"/>
    <w:rsid w:val="002F2889"/>
    <w:rsid w:val="002F46A2"/>
    <w:rsid w:val="00300194"/>
    <w:rsid w:val="00306146"/>
    <w:rsid w:val="003126E1"/>
    <w:rsid w:val="0031380F"/>
    <w:rsid w:val="00313B9A"/>
    <w:rsid w:val="003229F8"/>
    <w:rsid w:val="003232AE"/>
    <w:rsid w:val="00336FA7"/>
    <w:rsid w:val="003408CB"/>
    <w:rsid w:val="003421B7"/>
    <w:rsid w:val="00345DE0"/>
    <w:rsid w:val="00355ACD"/>
    <w:rsid w:val="00356B81"/>
    <w:rsid w:val="0036426D"/>
    <w:rsid w:val="0036490A"/>
    <w:rsid w:val="00371A4D"/>
    <w:rsid w:val="00372CC1"/>
    <w:rsid w:val="003822B2"/>
    <w:rsid w:val="003848F3"/>
    <w:rsid w:val="00391E85"/>
    <w:rsid w:val="003B275D"/>
    <w:rsid w:val="003B4251"/>
    <w:rsid w:val="003C14E5"/>
    <w:rsid w:val="003C24AF"/>
    <w:rsid w:val="003C4BDA"/>
    <w:rsid w:val="003C5429"/>
    <w:rsid w:val="003D3B11"/>
    <w:rsid w:val="003D4276"/>
    <w:rsid w:val="003E275B"/>
    <w:rsid w:val="003E4AA3"/>
    <w:rsid w:val="003E4D34"/>
    <w:rsid w:val="003F0C11"/>
    <w:rsid w:val="003F1BC6"/>
    <w:rsid w:val="003F5283"/>
    <w:rsid w:val="0041214D"/>
    <w:rsid w:val="004143C3"/>
    <w:rsid w:val="00415265"/>
    <w:rsid w:val="004159C5"/>
    <w:rsid w:val="00420D1C"/>
    <w:rsid w:val="00427668"/>
    <w:rsid w:val="00432C57"/>
    <w:rsid w:val="00432DE8"/>
    <w:rsid w:val="00440016"/>
    <w:rsid w:val="00444E90"/>
    <w:rsid w:val="00453B03"/>
    <w:rsid w:val="00453F37"/>
    <w:rsid w:val="004542A8"/>
    <w:rsid w:val="0045431C"/>
    <w:rsid w:val="00454DC4"/>
    <w:rsid w:val="004557AF"/>
    <w:rsid w:val="004611F2"/>
    <w:rsid w:val="00463F00"/>
    <w:rsid w:val="004645CC"/>
    <w:rsid w:val="00470824"/>
    <w:rsid w:val="00477921"/>
    <w:rsid w:val="004816F2"/>
    <w:rsid w:val="00481A2F"/>
    <w:rsid w:val="00497D1F"/>
    <w:rsid w:val="004A3B93"/>
    <w:rsid w:val="004A49D3"/>
    <w:rsid w:val="004B201F"/>
    <w:rsid w:val="004B5D1E"/>
    <w:rsid w:val="004D4ED3"/>
    <w:rsid w:val="004E4657"/>
    <w:rsid w:val="004F2E5B"/>
    <w:rsid w:val="004F509A"/>
    <w:rsid w:val="005014FE"/>
    <w:rsid w:val="00503610"/>
    <w:rsid w:val="00504CA1"/>
    <w:rsid w:val="00510835"/>
    <w:rsid w:val="00512DE7"/>
    <w:rsid w:val="00521136"/>
    <w:rsid w:val="0052609C"/>
    <w:rsid w:val="00530FE9"/>
    <w:rsid w:val="00550037"/>
    <w:rsid w:val="00550A97"/>
    <w:rsid w:val="005514AF"/>
    <w:rsid w:val="005550F0"/>
    <w:rsid w:val="00563515"/>
    <w:rsid w:val="00564868"/>
    <w:rsid w:val="00571700"/>
    <w:rsid w:val="0058008D"/>
    <w:rsid w:val="005834DE"/>
    <w:rsid w:val="005916F5"/>
    <w:rsid w:val="00593BFB"/>
    <w:rsid w:val="00594C47"/>
    <w:rsid w:val="005A3168"/>
    <w:rsid w:val="005A74D4"/>
    <w:rsid w:val="005A7C89"/>
    <w:rsid w:val="005B03CE"/>
    <w:rsid w:val="005B2873"/>
    <w:rsid w:val="005C0268"/>
    <w:rsid w:val="005C464E"/>
    <w:rsid w:val="005D5887"/>
    <w:rsid w:val="006009CB"/>
    <w:rsid w:val="00600CD6"/>
    <w:rsid w:val="00606659"/>
    <w:rsid w:val="0061443F"/>
    <w:rsid w:val="0062010A"/>
    <w:rsid w:val="00621925"/>
    <w:rsid w:val="00623B52"/>
    <w:rsid w:val="00624503"/>
    <w:rsid w:val="00630175"/>
    <w:rsid w:val="00641983"/>
    <w:rsid w:val="0064245F"/>
    <w:rsid w:val="006466BE"/>
    <w:rsid w:val="00651854"/>
    <w:rsid w:val="00651CD1"/>
    <w:rsid w:val="00653E13"/>
    <w:rsid w:val="00655799"/>
    <w:rsid w:val="006564D8"/>
    <w:rsid w:val="00660881"/>
    <w:rsid w:val="0066390C"/>
    <w:rsid w:val="00672B24"/>
    <w:rsid w:val="00682CB5"/>
    <w:rsid w:val="00685CF6"/>
    <w:rsid w:val="006862D2"/>
    <w:rsid w:val="00693CB3"/>
    <w:rsid w:val="0069696A"/>
    <w:rsid w:val="00697030"/>
    <w:rsid w:val="006A1A21"/>
    <w:rsid w:val="006A3E75"/>
    <w:rsid w:val="006B0FCD"/>
    <w:rsid w:val="006B1119"/>
    <w:rsid w:val="006B5DEF"/>
    <w:rsid w:val="006B5F9C"/>
    <w:rsid w:val="006B672E"/>
    <w:rsid w:val="006C3866"/>
    <w:rsid w:val="006D0D5C"/>
    <w:rsid w:val="006D2E30"/>
    <w:rsid w:val="006D55CE"/>
    <w:rsid w:val="006D71B0"/>
    <w:rsid w:val="006E6024"/>
    <w:rsid w:val="006E62D7"/>
    <w:rsid w:val="006E7D5B"/>
    <w:rsid w:val="006F5676"/>
    <w:rsid w:val="007045DE"/>
    <w:rsid w:val="00710873"/>
    <w:rsid w:val="00713810"/>
    <w:rsid w:val="007412AB"/>
    <w:rsid w:val="0074715B"/>
    <w:rsid w:val="007514FD"/>
    <w:rsid w:val="007558C5"/>
    <w:rsid w:val="007724DC"/>
    <w:rsid w:val="00776DD4"/>
    <w:rsid w:val="007772D6"/>
    <w:rsid w:val="007839CA"/>
    <w:rsid w:val="00785B42"/>
    <w:rsid w:val="0079267F"/>
    <w:rsid w:val="00794087"/>
    <w:rsid w:val="007A16A0"/>
    <w:rsid w:val="007A6390"/>
    <w:rsid w:val="007A6FF7"/>
    <w:rsid w:val="007A75C7"/>
    <w:rsid w:val="007B199C"/>
    <w:rsid w:val="007B6EA4"/>
    <w:rsid w:val="007B7392"/>
    <w:rsid w:val="007C5A54"/>
    <w:rsid w:val="007C5F56"/>
    <w:rsid w:val="007D6964"/>
    <w:rsid w:val="007E0AA2"/>
    <w:rsid w:val="007E123B"/>
    <w:rsid w:val="007E3548"/>
    <w:rsid w:val="007E5A28"/>
    <w:rsid w:val="007F0C92"/>
    <w:rsid w:val="007F0F6B"/>
    <w:rsid w:val="007F5C70"/>
    <w:rsid w:val="007F6F32"/>
    <w:rsid w:val="00803296"/>
    <w:rsid w:val="008173AE"/>
    <w:rsid w:val="00817455"/>
    <w:rsid w:val="00821076"/>
    <w:rsid w:val="008260C5"/>
    <w:rsid w:val="008404A6"/>
    <w:rsid w:val="00844402"/>
    <w:rsid w:val="00846F14"/>
    <w:rsid w:val="008531B6"/>
    <w:rsid w:val="008700AE"/>
    <w:rsid w:val="00873C46"/>
    <w:rsid w:val="00875F04"/>
    <w:rsid w:val="0087684B"/>
    <w:rsid w:val="0087760F"/>
    <w:rsid w:val="00880277"/>
    <w:rsid w:val="008829BE"/>
    <w:rsid w:val="00883BF6"/>
    <w:rsid w:val="008874F3"/>
    <w:rsid w:val="008908ED"/>
    <w:rsid w:val="00894CEE"/>
    <w:rsid w:val="00897F49"/>
    <w:rsid w:val="008A01D5"/>
    <w:rsid w:val="008A18A5"/>
    <w:rsid w:val="008A60F5"/>
    <w:rsid w:val="008B339F"/>
    <w:rsid w:val="008B38B3"/>
    <w:rsid w:val="008B4472"/>
    <w:rsid w:val="008C3804"/>
    <w:rsid w:val="008C5CB3"/>
    <w:rsid w:val="008C78B1"/>
    <w:rsid w:val="008D60C1"/>
    <w:rsid w:val="008E2367"/>
    <w:rsid w:val="008F49B8"/>
    <w:rsid w:val="008F550B"/>
    <w:rsid w:val="008F5621"/>
    <w:rsid w:val="009002F0"/>
    <w:rsid w:val="009067EC"/>
    <w:rsid w:val="00910A6F"/>
    <w:rsid w:val="00913216"/>
    <w:rsid w:val="00913DDE"/>
    <w:rsid w:val="00916C4B"/>
    <w:rsid w:val="00923CBA"/>
    <w:rsid w:val="00925B22"/>
    <w:rsid w:val="00927CB8"/>
    <w:rsid w:val="009326BF"/>
    <w:rsid w:val="0093396F"/>
    <w:rsid w:val="0095549C"/>
    <w:rsid w:val="00961EB2"/>
    <w:rsid w:val="00965211"/>
    <w:rsid w:val="00966D0B"/>
    <w:rsid w:val="009679F2"/>
    <w:rsid w:val="009725DC"/>
    <w:rsid w:val="009728C8"/>
    <w:rsid w:val="00973748"/>
    <w:rsid w:val="00974A94"/>
    <w:rsid w:val="00975862"/>
    <w:rsid w:val="00980421"/>
    <w:rsid w:val="00981137"/>
    <w:rsid w:val="00984491"/>
    <w:rsid w:val="00985512"/>
    <w:rsid w:val="0098632B"/>
    <w:rsid w:val="00987223"/>
    <w:rsid w:val="0099516C"/>
    <w:rsid w:val="0099588B"/>
    <w:rsid w:val="00996799"/>
    <w:rsid w:val="009A4399"/>
    <w:rsid w:val="009B2771"/>
    <w:rsid w:val="009B3799"/>
    <w:rsid w:val="009B4146"/>
    <w:rsid w:val="009C7A4B"/>
    <w:rsid w:val="009D4619"/>
    <w:rsid w:val="009E052D"/>
    <w:rsid w:val="009E2179"/>
    <w:rsid w:val="009E2ABB"/>
    <w:rsid w:val="009E38F9"/>
    <w:rsid w:val="009E478B"/>
    <w:rsid w:val="009E47E9"/>
    <w:rsid w:val="009F1DA7"/>
    <w:rsid w:val="009F23E2"/>
    <w:rsid w:val="009F2C57"/>
    <w:rsid w:val="009F54AA"/>
    <w:rsid w:val="00A10667"/>
    <w:rsid w:val="00A15CC6"/>
    <w:rsid w:val="00A166E0"/>
    <w:rsid w:val="00A21DF3"/>
    <w:rsid w:val="00A24CFD"/>
    <w:rsid w:val="00A25917"/>
    <w:rsid w:val="00A30A71"/>
    <w:rsid w:val="00A30AAC"/>
    <w:rsid w:val="00A40524"/>
    <w:rsid w:val="00A42632"/>
    <w:rsid w:val="00A477EF"/>
    <w:rsid w:val="00A55B58"/>
    <w:rsid w:val="00A67350"/>
    <w:rsid w:val="00A70CE5"/>
    <w:rsid w:val="00A74124"/>
    <w:rsid w:val="00A7550E"/>
    <w:rsid w:val="00A9062B"/>
    <w:rsid w:val="00AA6BCB"/>
    <w:rsid w:val="00AB1D21"/>
    <w:rsid w:val="00AB720D"/>
    <w:rsid w:val="00AC374B"/>
    <w:rsid w:val="00AC486C"/>
    <w:rsid w:val="00AC57F6"/>
    <w:rsid w:val="00AD02AC"/>
    <w:rsid w:val="00AE177C"/>
    <w:rsid w:val="00AE3DFB"/>
    <w:rsid w:val="00B10359"/>
    <w:rsid w:val="00B126AD"/>
    <w:rsid w:val="00B13C3C"/>
    <w:rsid w:val="00B21D35"/>
    <w:rsid w:val="00B22F72"/>
    <w:rsid w:val="00B314C1"/>
    <w:rsid w:val="00B32455"/>
    <w:rsid w:val="00B32F38"/>
    <w:rsid w:val="00B34935"/>
    <w:rsid w:val="00B446BF"/>
    <w:rsid w:val="00B45FF1"/>
    <w:rsid w:val="00B52B58"/>
    <w:rsid w:val="00B54744"/>
    <w:rsid w:val="00B643AD"/>
    <w:rsid w:val="00B64B32"/>
    <w:rsid w:val="00B64E0A"/>
    <w:rsid w:val="00B669C6"/>
    <w:rsid w:val="00B712DC"/>
    <w:rsid w:val="00B72063"/>
    <w:rsid w:val="00B80573"/>
    <w:rsid w:val="00B8685A"/>
    <w:rsid w:val="00BB2CDC"/>
    <w:rsid w:val="00BB4F7A"/>
    <w:rsid w:val="00BB71D1"/>
    <w:rsid w:val="00BC0250"/>
    <w:rsid w:val="00BD2701"/>
    <w:rsid w:val="00BD4DB0"/>
    <w:rsid w:val="00BD71CF"/>
    <w:rsid w:val="00BD72B7"/>
    <w:rsid w:val="00BD7B0C"/>
    <w:rsid w:val="00BE121A"/>
    <w:rsid w:val="00C05943"/>
    <w:rsid w:val="00C06293"/>
    <w:rsid w:val="00C25828"/>
    <w:rsid w:val="00C268B0"/>
    <w:rsid w:val="00C32E58"/>
    <w:rsid w:val="00C40118"/>
    <w:rsid w:val="00C407B8"/>
    <w:rsid w:val="00C41600"/>
    <w:rsid w:val="00C42C0C"/>
    <w:rsid w:val="00C430B8"/>
    <w:rsid w:val="00C4671E"/>
    <w:rsid w:val="00C516C5"/>
    <w:rsid w:val="00C6256B"/>
    <w:rsid w:val="00C64E53"/>
    <w:rsid w:val="00C76BB5"/>
    <w:rsid w:val="00C82559"/>
    <w:rsid w:val="00C848F4"/>
    <w:rsid w:val="00C8767B"/>
    <w:rsid w:val="00C91040"/>
    <w:rsid w:val="00C94CEC"/>
    <w:rsid w:val="00C97D1F"/>
    <w:rsid w:val="00CA2DDE"/>
    <w:rsid w:val="00CA59A3"/>
    <w:rsid w:val="00CB3F7F"/>
    <w:rsid w:val="00CB5A3D"/>
    <w:rsid w:val="00CC3536"/>
    <w:rsid w:val="00CC4DB0"/>
    <w:rsid w:val="00CD0F99"/>
    <w:rsid w:val="00CD557F"/>
    <w:rsid w:val="00CE11E2"/>
    <w:rsid w:val="00CE2816"/>
    <w:rsid w:val="00CE72CC"/>
    <w:rsid w:val="00CE7B3E"/>
    <w:rsid w:val="00CF5821"/>
    <w:rsid w:val="00D04681"/>
    <w:rsid w:val="00D0643E"/>
    <w:rsid w:val="00D06456"/>
    <w:rsid w:val="00D1114F"/>
    <w:rsid w:val="00D130FA"/>
    <w:rsid w:val="00D228D6"/>
    <w:rsid w:val="00D31B01"/>
    <w:rsid w:val="00D34A7E"/>
    <w:rsid w:val="00D40636"/>
    <w:rsid w:val="00D42BE2"/>
    <w:rsid w:val="00D4510E"/>
    <w:rsid w:val="00D479D7"/>
    <w:rsid w:val="00D50C5D"/>
    <w:rsid w:val="00D53D52"/>
    <w:rsid w:val="00D5515F"/>
    <w:rsid w:val="00D71C10"/>
    <w:rsid w:val="00D72547"/>
    <w:rsid w:val="00D72D0E"/>
    <w:rsid w:val="00D9174D"/>
    <w:rsid w:val="00D93F62"/>
    <w:rsid w:val="00DA28E8"/>
    <w:rsid w:val="00DA3D44"/>
    <w:rsid w:val="00DA67C3"/>
    <w:rsid w:val="00DB2673"/>
    <w:rsid w:val="00DB36D1"/>
    <w:rsid w:val="00DB3C8B"/>
    <w:rsid w:val="00DC28C7"/>
    <w:rsid w:val="00DC2F34"/>
    <w:rsid w:val="00DC37FF"/>
    <w:rsid w:val="00DC5883"/>
    <w:rsid w:val="00DD2705"/>
    <w:rsid w:val="00DD6C0C"/>
    <w:rsid w:val="00DD7C92"/>
    <w:rsid w:val="00DF1C8B"/>
    <w:rsid w:val="00DF1E3C"/>
    <w:rsid w:val="00E06ADA"/>
    <w:rsid w:val="00E123F9"/>
    <w:rsid w:val="00E12963"/>
    <w:rsid w:val="00E12A7B"/>
    <w:rsid w:val="00E14A59"/>
    <w:rsid w:val="00E154B4"/>
    <w:rsid w:val="00E1555C"/>
    <w:rsid w:val="00E23D8E"/>
    <w:rsid w:val="00E270FD"/>
    <w:rsid w:val="00E33BC2"/>
    <w:rsid w:val="00E40BD9"/>
    <w:rsid w:val="00E45901"/>
    <w:rsid w:val="00E516F8"/>
    <w:rsid w:val="00E56ECA"/>
    <w:rsid w:val="00E73F80"/>
    <w:rsid w:val="00E774EE"/>
    <w:rsid w:val="00E777C5"/>
    <w:rsid w:val="00E81D5D"/>
    <w:rsid w:val="00E84571"/>
    <w:rsid w:val="00E91493"/>
    <w:rsid w:val="00E921ED"/>
    <w:rsid w:val="00EA4669"/>
    <w:rsid w:val="00EA518C"/>
    <w:rsid w:val="00EA6223"/>
    <w:rsid w:val="00EB00FE"/>
    <w:rsid w:val="00EB27BE"/>
    <w:rsid w:val="00EB5050"/>
    <w:rsid w:val="00EB7AC4"/>
    <w:rsid w:val="00EC0B0A"/>
    <w:rsid w:val="00EC0CB7"/>
    <w:rsid w:val="00EC16AA"/>
    <w:rsid w:val="00EC3CB4"/>
    <w:rsid w:val="00ED129A"/>
    <w:rsid w:val="00ED6510"/>
    <w:rsid w:val="00EE0561"/>
    <w:rsid w:val="00EE2F36"/>
    <w:rsid w:val="00EE415D"/>
    <w:rsid w:val="00EF44F0"/>
    <w:rsid w:val="00F05125"/>
    <w:rsid w:val="00F07C20"/>
    <w:rsid w:val="00F122D2"/>
    <w:rsid w:val="00F13CDC"/>
    <w:rsid w:val="00F15EF8"/>
    <w:rsid w:val="00F1636D"/>
    <w:rsid w:val="00F22006"/>
    <w:rsid w:val="00F278D9"/>
    <w:rsid w:val="00F31532"/>
    <w:rsid w:val="00F33F9E"/>
    <w:rsid w:val="00F4038E"/>
    <w:rsid w:val="00F4057C"/>
    <w:rsid w:val="00F42E1C"/>
    <w:rsid w:val="00F5425C"/>
    <w:rsid w:val="00F640EC"/>
    <w:rsid w:val="00F7490C"/>
    <w:rsid w:val="00F74B15"/>
    <w:rsid w:val="00F83314"/>
    <w:rsid w:val="00F92186"/>
    <w:rsid w:val="00F93807"/>
    <w:rsid w:val="00F97803"/>
    <w:rsid w:val="00FA2E56"/>
    <w:rsid w:val="00FA76C0"/>
    <w:rsid w:val="00FB0739"/>
    <w:rsid w:val="00FB14EA"/>
    <w:rsid w:val="00FB2CF2"/>
    <w:rsid w:val="00FB3E57"/>
    <w:rsid w:val="00FB6DDE"/>
    <w:rsid w:val="00FC2B59"/>
    <w:rsid w:val="00FC38A6"/>
    <w:rsid w:val="00FC3BB7"/>
    <w:rsid w:val="00FC6A71"/>
    <w:rsid w:val="00FC7708"/>
    <w:rsid w:val="00FD1320"/>
    <w:rsid w:val="00FD156D"/>
    <w:rsid w:val="00FD4B1A"/>
    <w:rsid w:val="00FD520E"/>
    <w:rsid w:val="00FE029A"/>
    <w:rsid w:val="00FE3266"/>
    <w:rsid w:val="00FF06E6"/>
    <w:rsid w:val="00FF0B75"/>
    <w:rsid w:val="00FF0C55"/>
    <w:rsid w:val="00FF18C3"/>
    <w:rsid w:val="00FF56C3"/>
    <w:rsid w:val="00FF7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2AB313"/>
  <w15:docId w15:val="{FEB177B4-21EF-494E-A87B-BF17DA83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07CD"/>
    <w:pPr>
      <w:spacing w:after="200" w:line="276" w:lineRule="auto"/>
    </w:pPr>
    <w:rPr>
      <w:lang w:eastAsia="en-US"/>
    </w:rPr>
  </w:style>
  <w:style w:type="paragraph" w:styleId="Nadpis1">
    <w:name w:val="heading 1"/>
    <w:basedOn w:val="Normln"/>
    <w:next w:val="Normln"/>
    <w:link w:val="Nadpis1Char"/>
    <w:uiPriority w:val="9"/>
    <w:qFormat/>
    <w:locked/>
    <w:rsid w:val="005108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locked/>
    <w:rsid w:val="00252565"/>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rsid w:val="00EC0B0A"/>
    <w:pPr>
      <w:numPr>
        <w:numId w:val="1"/>
      </w:numPr>
      <w:spacing w:after="0" w:line="240" w:lineRule="auto"/>
      <w:jc w:val="both"/>
    </w:pPr>
    <w:rPr>
      <w:rFonts w:ascii="Times New Roman" w:eastAsia="Times New Roman" w:hAnsi="Times New Roman"/>
      <w:sz w:val="26"/>
      <w:szCs w:val="20"/>
      <w:lang w:eastAsia="cs-CZ"/>
    </w:rPr>
  </w:style>
  <w:style w:type="paragraph" w:styleId="Textbubliny">
    <w:name w:val="Balloon Text"/>
    <w:basedOn w:val="Normln"/>
    <w:link w:val="TextbublinyChar"/>
    <w:uiPriority w:val="99"/>
    <w:semiHidden/>
    <w:rsid w:val="000E1C26"/>
    <w:rPr>
      <w:rFonts w:ascii="Tahoma" w:hAnsi="Tahoma" w:cs="Tahoma"/>
      <w:sz w:val="16"/>
      <w:szCs w:val="16"/>
    </w:rPr>
  </w:style>
  <w:style w:type="character" w:customStyle="1" w:styleId="TextbublinyChar">
    <w:name w:val="Text bubliny Char"/>
    <w:basedOn w:val="Standardnpsmoodstavce"/>
    <w:link w:val="Textbubliny"/>
    <w:uiPriority w:val="99"/>
    <w:semiHidden/>
    <w:rsid w:val="00B15F78"/>
    <w:rPr>
      <w:rFonts w:ascii="Times New Roman" w:hAnsi="Times New Roman"/>
      <w:sz w:val="0"/>
      <w:szCs w:val="0"/>
      <w:lang w:eastAsia="en-US"/>
    </w:rPr>
  </w:style>
  <w:style w:type="paragraph" w:styleId="Normlnweb">
    <w:name w:val="Normal (Web)"/>
    <w:basedOn w:val="Normln"/>
    <w:uiPriority w:val="99"/>
    <w:semiHidden/>
    <w:unhideWhenUsed/>
    <w:rsid w:val="00880277"/>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Default">
    <w:name w:val="Default"/>
    <w:rsid w:val="00B10359"/>
    <w:pPr>
      <w:autoSpaceDE w:val="0"/>
      <w:autoSpaceDN w:val="0"/>
      <w:adjustRightInd w:val="0"/>
    </w:pPr>
    <w:rPr>
      <w:rFonts w:cs="Calibri"/>
      <w:color w:val="000000"/>
      <w:sz w:val="24"/>
      <w:szCs w:val="24"/>
    </w:rPr>
  </w:style>
  <w:style w:type="character" w:customStyle="1" w:styleId="CharStyle7">
    <w:name w:val="Char Style 7"/>
    <w:link w:val="Style6"/>
    <w:uiPriority w:val="99"/>
    <w:rsid w:val="00B10359"/>
    <w:rPr>
      <w:i/>
      <w:iCs/>
      <w:shd w:val="clear" w:color="auto" w:fill="FFFFFF"/>
    </w:rPr>
  </w:style>
  <w:style w:type="paragraph" w:customStyle="1" w:styleId="Style6">
    <w:name w:val="Style 6"/>
    <w:basedOn w:val="Normln"/>
    <w:link w:val="CharStyle7"/>
    <w:uiPriority w:val="99"/>
    <w:rsid w:val="00B10359"/>
    <w:pPr>
      <w:widowControl w:val="0"/>
      <w:shd w:val="clear" w:color="auto" w:fill="FFFFFF"/>
      <w:spacing w:before="660" w:after="1200" w:line="278" w:lineRule="exact"/>
    </w:pPr>
    <w:rPr>
      <w:i/>
      <w:iCs/>
      <w:lang w:eastAsia="cs-CZ"/>
    </w:rPr>
  </w:style>
  <w:style w:type="character" w:customStyle="1" w:styleId="Nadpis2Char">
    <w:name w:val="Nadpis 2 Char"/>
    <w:basedOn w:val="Standardnpsmoodstavce"/>
    <w:link w:val="Nadpis2"/>
    <w:uiPriority w:val="9"/>
    <w:rsid w:val="00252565"/>
    <w:rPr>
      <w:rFonts w:ascii="Times New Roman" w:eastAsia="Times New Roman" w:hAnsi="Times New Roman"/>
      <w:b/>
      <w:bCs/>
      <w:sz w:val="36"/>
      <w:szCs w:val="36"/>
    </w:rPr>
  </w:style>
  <w:style w:type="character" w:customStyle="1" w:styleId="cleaner">
    <w:name w:val="cleaner"/>
    <w:basedOn w:val="Standardnpsmoodstavce"/>
    <w:rsid w:val="00252565"/>
  </w:style>
  <w:style w:type="character" w:styleId="Siln">
    <w:name w:val="Strong"/>
    <w:basedOn w:val="Standardnpsmoodstavce"/>
    <w:uiPriority w:val="22"/>
    <w:qFormat/>
    <w:locked/>
    <w:rsid w:val="00252565"/>
    <w:rPr>
      <w:b/>
      <w:bCs/>
    </w:rPr>
  </w:style>
  <w:style w:type="paragraph" w:styleId="Odstavecseseznamem">
    <w:name w:val="List Paragraph"/>
    <w:aliases w:val="List Paragraph compact,Normal bullet 2,Paragraphe de liste 2,Reference list,Bullet list,Numbered List,List Paragraph1,1st level - Bullet List Paragraph,Lettre d'introduction,Paragraph,Bullet EY,List Paragraph11,Normal bullet 21,Nad"/>
    <w:basedOn w:val="Normln"/>
    <w:link w:val="OdstavecseseznamemChar"/>
    <w:uiPriority w:val="34"/>
    <w:qFormat/>
    <w:rsid w:val="006B5DEF"/>
    <w:pPr>
      <w:ind w:left="720"/>
      <w:contextualSpacing/>
    </w:pPr>
  </w:style>
  <w:style w:type="character" w:styleId="Hypertextovodkaz">
    <w:name w:val="Hyperlink"/>
    <w:basedOn w:val="Standardnpsmoodstavce"/>
    <w:uiPriority w:val="99"/>
    <w:unhideWhenUsed/>
    <w:rsid w:val="00785B42"/>
    <w:rPr>
      <w:color w:val="0000FF" w:themeColor="hyperlink"/>
      <w:u w:val="single"/>
    </w:rPr>
  </w:style>
  <w:style w:type="paragraph" w:styleId="Zhlav">
    <w:name w:val="header"/>
    <w:basedOn w:val="Normln"/>
    <w:link w:val="ZhlavChar"/>
    <w:uiPriority w:val="99"/>
    <w:unhideWhenUsed/>
    <w:rsid w:val="00FB2C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2CF2"/>
    <w:rPr>
      <w:lang w:eastAsia="en-US"/>
    </w:rPr>
  </w:style>
  <w:style w:type="paragraph" w:styleId="Zpat">
    <w:name w:val="footer"/>
    <w:basedOn w:val="Normln"/>
    <w:link w:val="ZpatChar"/>
    <w:uiPriority w:val="99"/>
    <w:unhideWhenUsed/>
    <w:rsid w:val="00FB2CF2"/>
    <w:pPr>
      <w:tabs>
        <w:tab w:val="center" w:pos="4536"/>
        <w:tab w:val="right" w:pos="9072"/>
      </w:tabs>
      <w:spacing w:after="0" w:line="240" w:lineRule="auto"/>
    </w:pPr>
  </w:style>
  <w:style w:type="character" w:customStyle="1" w:styleId="ZpatChar">
    <w:name w:val="Zápatí Char"/>
    <w:basedOn w:val="Standardnpsmoodstavce"/>
    <w:link w:val="Zpat"/>
    <w:uiPriority w:val="99"/>
    <w:rsid w:val="00FB2CF2"/>
    <w:rPr>
      <w:lang w:eastAsia="en-US"/>
    </w:rPr>
  </w:style>
  <w:style w:type="character" w:customStyle="1" w:styleId="Nadpis1Char">
    <w:name w:val="Nadpis 1 Char"/>
    <w:basedOn w:val="Standardnpsmoodstavce"/>
    <w:link w:val="Nadpis1"/>
    <w:uiPriority w:val="9"/>
    <w:rsid w:val="00510835"/>
    <w:rPr>
      <w:rFonts w:asciiTheme="majorHAnsi" w:eastAsiaTheme="majorEastAsia" w:hAnsiTheme="majorHAnsi" w:cstheme="majorBidi"/>
      <w:color w:val="365F91" w:themeColor="accent1" w:themeShade="BF"/>
      <w:sz w:val="32"/>
      <w:szCs w:val="32"/>
      <w:lang w:eastAsia="en-US"/>
    </w:rPr>
  </w:style>
  <w:style w:type="character" w:styleId="Odkaznakoment">
    <w:name w:val="annotation reference"/>
    <w:basedOn w:val="Standardnpsmoodstavce"/>
    <w:uiPriority w:val="99"/>
    <w:semiHidden/>
    <w:unhideWhenUsed/>
    <w:rsid w:val="00C8767B"/>
    <w:rPr>
      <w:sz w:val="16"/>
      <w:szCs w:val="16"/>
    </w:rPr>
  </w:style>
  <w:style w:type="paragraph" w:styleId="Textkomente">
    <w:name w:val="annotation text"/>
    <w:basedOn w:val="Normln"/>
    <w:link w:val="TextkomenteChar"/>
    <w:uiPriority w:val="99"/>
    <w:semiHidden/>
    <w:unhideWhenUsed/>
    <w:rsid w:val="00C8767B"/>
    <w:pPr>
      <w:spacing w:line="240" w:lineRule="auto"/>
    </w:pPr>
    <w:rPr>
      <w:sz w:val="20"/>
      <w:szCs w:val="20"/>
    </w:rPr>
  </w:style>
  <w:style w:type="character" w:customStyle="1" w:styleId="TextkomenteChar">
    <w:name w:val="Text komentáře Char"/>
    <w:basedOn w:val="Standardnpsmoodstavce"/>
    <w:link w:val="Textkomente"/>
    <w:uiPriority w:val="99"/>
    <w:semiHidden/>
    <w:rsid w:val="00C8767B"/>
    <w:rPr>
      <w:sz w:val="20"/>
      <w:szCs w:val="20"/>
      <w:lang w:eastAsia="en-US"/>
    </w:rPr>
  </w:style>
  <w:style w:type="paragraph" w:styleId="Pedmtkomente">
    <w:name w:val="annotation subject"/>
    <w:basedOn w:val="Textkomente"/>
    <w:next w:val="Textkomente"/>
    <w:link w:val="PedmtkomenteChar"/>
    <w:uiPriority w:val="99"/>
    <w:semiHidden/>
    <w:unhideWhenUsed/>
    <w:rsid w:val="00C8767B"/>
    <w:rPr>
      <w:b/>
      <w:bCs/>
    </w:rPr>
  </w:style>
  <w:style w:type="character" w:customStyle="1" w:styleId="PedmtkomenteChar">
    <w:name w:val="Předmět komentáře Char"/>
    <w:basedOn w:val="TextkomenteChar"/>
    <w:link w:val="Pedmtkomente"/>
    <w:uiPriority w:val="99"/>
    <w:semiHidden/>
    <w:rsid w:val="00C8767B"/>
    <w:rPr>
      <w:b/>
      <w:bCs/>
      <w:sz w:val="20"/>
      <w:szCs w:val="20"/>
      <w:lang w:eastAsia="en-US"/>
    </w:rPr>
  </w:style>
  <w:style w:type="character" w:customStyle="1" w:styleId="OdstavecseseznamemChar">
    <w:name w:val="Odstavec se seznamem Char"/>
    <w:aliases w:val="List Paragraph compact Char,Normal bullet 2 Char,Paragraphe de liste 2 Char,Reference list Char,Bullet list Char,Numbered List Char,List Paragraph1 Char,1st level - Bullet List Paragraph Char,Lettre d'introduction Char,Nad Char"/>
    <w:link w:val="Odstavecseseznamem"/>
    <w:uiPriority w:val="34"/>
    <w:qFormat/>
    <w:rsid w:val="004B5D1E"/>
    <w:rPr>
      <w:lang w:eastAsia="en-US"/>
    </w:rPr>
  </w:style>
  <w:style w:type="paragraph" w:styleId="Revize">
    <w:name w:val="Revision"/>
    <w:hidden/>
    <w:uiPriority w:val="99"/>
    <w:semiHidden/>
    <w:rsid w:val="005A74D4"/>
    <w:rPr>
      <w:lang w:eastAsia="en-US"/>
    </w:rPr>
  </w:style>
  <w:style w:type="paragraph" w:customStyle="1" w:styleId="Odstavecseseznamem1">
    <w:name w:val="Odstavec se seznamem1"/>
    <w:basedOn w:val="Normln"/>
    <w:rsid w:val="0066390C"/>
    <w:pPr>
      <w:ind w:left="720"/>
      <w:contextualSpacing/>
    </w:pPr>
    <w:rPr>
      <w:rFonts w:eastAsia="Times New Roman"/>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66390C"/>
    <w:pPr>
      <w:spacing w:after="0" w:line="240" w:lineRule="auto"/>
    </w:pPr>
    <w:rPr>
      <w:rFonts w:asciiTheme="minorHAnsi" w:eastAsiaTheme="minorHAnsi" w:hAnsiTheme="minorHAnsi" w:cstheme="minorBidi"/>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66390C"/>
    <w:rPr>
      <w:rFonts w:asciiTheme="minorHAnsi" w:eastAsiaTheme="minorHAnsi" w:hAnsiTheme="minorHAnsi" w:cstheme="minorBidi"/>
      <w:sz w:val="20"/>
      <w:szCs w:val="20"/>
      <w:lang w:eastAsia="en-US"/>
    </w:rPr>
  </w:style>
  <w:style w:type="character" w:styleId="Znakapoznpodarou">
    <w:name w:val="footnote reference"/>
    <w:aliases w:val="EN Footnote Reference,PGI Fußnote Ziffer + Times New Roman,12 b.,Zúžené o ...,PGI Fußnote Ziffer"/>
    <w:rsid w:val="00A10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7470">
      <w:bodyDiv w:val="1"/>
      <w:marLeft w:val="0"/>
      <w:marRight w:val="0"/>
      <w:marTop w:val="0"/>
      <w:marBottom w:val="0"/>
      <w:divBdr>
        <w:top w:val="none" w:sz="0" w:space="0" w:color="auto"/>
        <w:left w:val="none" w:sz="0" w:space="0" w:color="auto"/>
        <w:bottom w:val="none" w:sz="0" w:space="0" w:color="auto"/>
        <w:right w:val="none" w:sz="0" w:space="0" w:color="auto"/>
      </w:divBdr>
      <w:divsChild>
        <w:div w:id="2064211858">
          <w:marLeft w:val="0"/>
          <w:marRight w:val="0"/>
          <w:marTop w:val="0"/>
          <w:marBottom w:val="0"/>
          <w:divBdr>
            <w:top w:val="none" w:sz="0" w:space="0" w:color="auto"/>
            <w:left w:val="none" w:sz="0" w:space="0" w:color="auto"/>
            <w:bottom w:val="none" w:sz="0" w:space="0" w:color="auto"/>
            <w:right w:val="none" w:sz="0" w:space="0" w:color="auto"/>
          </w:divBdr>
          <w:divsChild>
            <w:div w:id="56320744">
              <w:marLeft w:val="0"/>
              <w:marRight w:val="0"/>
              <w:marTop w:val="0"/>
              <w:marBottom w:val="0"/>
              <w:divBdr>
                <w:top w:val="none" w:sz="0" w:space="0" w:color="auto"/>
                <w:left w:val="none" w:sz="0" w:space="0" w:color="auto"/>
                <w:bottom w:val="none" w:sz="0" w:space="0" w:color="auto"/>
                <w:right w:val="none" w:sz="0" w:space="0" w:color="auto"/>
              </w:divBdr>
              <w:divsChild>
                <w:div w:id="735710436">
                  <w:marLeft w:val="0"/>
                  <w:marRight w:val="0"/>
                  <w:marTop w:val="0"/>
                  <w:marBottom w:val="0"/>
                  <w:divBdr>
                    <w:top w:val="none" w:sz="0" w:space="0" w:color="auto"/>
                    <w:left w:val="none" w:sz="0" w:space="0" w:color="auto"/>
                    <w:bottom w:val="none" w:sz="0" w:space="0" w:color="auto"/>
                    <w:right w:val="none" w:sz="0" w:space="0" w:color="auto"/>
                  </w:divBdr>
                  <w:divsChild>
                    <w:div w:id="1192184425">
                      <w:marLeft w:val="0"/>
                      <w:marRight w:val="0"/>
                      <w:marTop w:val="0"/>
                      <w:marBottom w:val="0"/>
                      <w:divBdr>
                        <w:top w:val="none" w:sz="0" w:space="0" w:color="auto"/>
                        <w:left w:val="none" w:sz="0" w:space="0" w:color="auto"/>
                        <w:bottom w:val="none" w:sz="0" w:space="0" w:color="auto"/>
                        <w:right w:val="none" w:sz="0" w:space="0" w:color="auto"/>
                      </w:divBdr>
                      <w:divsChild>
                        <w:div w:id="1667588215">
                          <w:marLeft w:val="0"/>
                          <w:marRight w:val="0"/>
                          <w:marTop w:val="0"/>
                          <w:marBottom w:val="0"/>
                          <w:divBdr>
                            <w:top w:val="none" w:sz="0" w:space="0" w:color="auto"/>
                            <w:left w:val="none" w:sz="0" w:space="0" w:color="auto"/>
                            <w:bottom w:val="none" w:sz="0" w:space="0" w:color="auto"/>
                            <w:right w:val="none" w:sz="0" w:space="0" w:color="auto"/>
                          </w:divBdr>
                          <w:divsChild>
                            <w:div w:id="132716498">
                              <w:marLeft w:val="0"/>
                              <w:marRight w:val="0"/>
                              <w:marTop w:val="0"/>
                              <w:marBottom w:val="0"/>
                              <w:divBdr>
                                <w:top w:val="none" w:sz="0" w:space="0" w:color="auto"/>
                                <w:left w:val="none" w:sz="0" w:space="0" w:color="auto"/>
                                <w:bottom w:val="none" w:sz="0" w:space="0" w:color="auto"/>
                                <w:right w:val="none" w:sz="0" w:space="0" w:color="auto"/>
                              </w:divBdr>
                              <w:divsChild>
                                <w:div w:id="55471362">
                                  <w:marLeft w:val="0"/>
                                  <w:marRight w:val="0"/>
                                  <w:marTop w:val="0"/>
                                  <w:marBottom w:val="0"/>
                                  <w:divBdr>
                                    <w:top w:val="none" w:sz="0" w:space="0" w:color="auto"/>
                                    <w:left w:val="none" w:sz="0" w:space="0" w:color="auto"/>
                                    <w:bottom w:val="none" w:sz="0" w:space="0" w:color="auto"/>
                                    <w:right w:val="none" w:sz="0" w:space="0" w:color="auto"/>
                                  </w:divBdr>
                                  <w:divsChild>
                                    <w:div w:id="916937321">
                                      <w:marLeft w:val="0"/>
                                      <w:marRight w:val="0"/>
                                      <w:marTop w:val="0"/>
                                      <w:marBottom w:val="0"/>
                                      <w:divBdr>
                                        <w:top w:val="none" w:sz="0" w:space="0" w:color="auto"/>
                                        <w:left w:val="none" w:sz="0" w:space="0" w:color="auto"/>
                                        <w:bottom w:val="none" w:sz="0" w:space="0" w:color="auto"/>
                                        <w:right w:val="none" w:sz="0" w:space="0" w:color="auto"/>
                                      </w:divBdr>
                                      <w:divsChild>
                                        <w:div w:id="1695571861">
                                          <w:marLeft w:val="0"/>
                                          <w:marRight w:val="0"/>
                                          <w:marTop w:val="0"/>
                                          <w:marBottom w:val="0"/>
                                          <w:divBdr>
                                            <w:top w:val="none" w:sz="0" w:space="0" w:color="auto"/>
                                            <w:left w:val="none" w:sz="0" w:space="0" w:color="auto"/>
                                            <w:bottom w:val="none" w:sz="0" w:space="0" w:color="auto"/>
                                            <w:right w:val="none" w:sz="0" w:space="0" w:color="auto"/>
                                          </w:divBdr>
                                        </w:div>
                                        <w:div w:id="18825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581976">
      <w:bodyDiv w:val="1"/>
      <w:marLeft w:val="0"/>
      <w:marRight w:val="0"/>
      <w:marTop w:val="0"/>
      <w:marBottom w:val="0"/>
      <w:divBdr>
        <w:top w:val="none" w:sz="0" w:space="0" w:color="auto"/>
        <w:left w:val="none" w:sz="0" w:space="0" w:color="auto"/>
        <w:bottom w:val="none" w:sz="0" w:space="0" w:color="auto"/>
        <w:right w:val="none" w:sz="0" w:space="0" w:color="auto"/>
      </w:divBdr>
    </w:div>
    <w:div w:id="1029645667">
      <w:bodyDiv w:val="1"/>
      <w:marLeft w:val="0"/>
      <w:marRight w:val="0"/>
      <w:marTop w:val="0"/>
      <w:marBottom w:val="0"/>
      <w:divBdr>
        <w:top w:val="none" w:sz="0" w:space="0" w:color="auto"/>
        <w:left w:val="none" w:sz="0" w:space="0" w:color="auto"/>
        <w:bottom w:val="none" w:sz="0" w:space="0" w:color="auto"/>
        <w:right w:val="none" w:sz="0" w:space="0" w:color="auto"/>
      </w:divBdr>
      <w:divsChild>
        <w:div w:id="426999031">
          <w:marLeft w:val="0"/>
          <w:marRight w:val="0"/>
          <w:marTop w:val="0"/>
          <w:marBottom w:val="0"/>
          <w:divBdr>
            <w:top w:val="none" w:sz="0" w:space="0" w:color="auto"/>
            <w:left w:val="none" w:sz="0" w:space="0" w:color="auto"/>
            <w:bottom w:val="none" w:sz="0" w:space="0" w:color="auto"/>
            <w:right w:val="none" w:sz="0" w:space="0" w:color="auto"/>
          </w:divBdr>
          <w:divsChild>
            <w:div w:id="1336759786">
              <w:marLeft w:val="0"/>
              <w:marRight w:val="0"/>
              <w:marTop w:val="0"/>
              <w:marBottom w:val="0"/>
              <w:divBdr>
                <w:top w:val="none" w:sz="0" w:space="0" w:color="auto"/>
                <w:left w:val="none" w:sz="0" w:space="0" w:color="auto"/>
                <w:bottom w:val="none" w:sz="0" w:space="0" w:color="auto"/>
                <w:right w:val="none" w:sz="0" w:space="0" w:color="auto"/>
              </w:divBdr>
              <w:divsChild>
                <w:div w:id="1619215880">
                  <w:marLeft w:val="0"/>
                  <w:marRight w:val="0"/>
                  <w:marTop w:val="0"/>
                  <w:marBottom w:val="0"/>
                  <w:divBdr>
                    <w:top w:val="none" w:sz="0" w:space="0" w:color="auto"/>
                    <w:left w:val="none" w:sz="0" w:space="0" w:color="auto"/>
                    <w:bottom w:val="none" w:sz="0" w:space="0" w:color="auto"/>
                    <w:right w:val="none" w:sz="0" w:space="0" w:color="auto"/>
                  </w:divBdr>
                  <w:divsChild>
                    <w:div w:id="1965768634">
                      <w:marLeft w:val="0"/>
                      <w:marRight w:val="0"/>
                      <w:marTop w:val="0"/>
                      <w:marBottom w:val="0"/>
                      <w:divBdr>
                        <w:top w:val="none" w:sz="0" w:space="0" w:color="auto"/>
                        <w:left w:val="none" w:sz="0" w:space="0" w:color="auto"/>
                        <w:bottom w:val="none" w:sz="0" w:space="0" w:color="auto"/>
                        <w:right w:val="none" w:sz="0" w:space="0" w:color="auto"/>
                      </w:divBdr>
                      <w:divsChild>
                        <w:div w:id="8836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189361">
      <w:bodyDiv w:val="1"/>
      <w:marLeft w:val="0"/>
      <w:marRight w:val="0"/>
      <w:marTop w:val="0"/>
      <w:marBottom w:val="0"/>
      <w:divBdr>
        <w:top w:val="none" w:sz="0" w:space="0" w:color="auto"/>
        <w:left w:val="none" w:sz="0" w:space="0" w:color="auto"/>
        <w:bottom w:val="none" w:sz="0" w:space="0" w:color="auto"/>
        <w:right w:val="none" w:sz="0" w:space="0" w:color="auto"/>
      </w:divBdr>
    </w:div>
    <w:div w:id="1124539374">
      <w:bodyDiv w:val="1"/>
      <w:marLeft w:val="0"/>
      <w:marRight w:val="0"/>
      <w:marTop w:val="0"/>
      <w:marBottom w:val="0"/>
      <w:divBdr>
        <w:top w:val="none" w:sz="0" w:space="0" w:color="auto"/>
        <w:left w:val="none" w:sz="0" w:space="0" w:color="auto"/>
        <w:bottom w:val="none" w:sz="0" w:space="0" w:color="auto"/>
        <w:right w:val="none" w:sz="0" w:space="0" w:color="auto"/>
      </w:divBdr>
    </w:div>
    <w:div w:id="1245189834">
      <w:bodyDiv w:val="1"/>
      <w:marLeft w:val="0"/>
      <w:marRight w:val="0"/>
      <w:marTop w:val="0"/>
      <w:marBottom w:val="0"/>
      <w:divBdr>
        <w:top w:val="none" w:sz="0" w:space="0" w:color="auto"/>
        <w:left w:val="none" w:sz="0" w:space="0" w:color="auto"/>
        <w:bottom w:val="none" w:sz="0" w:space="0" w:color="auto"/>
        <w:right w:val="none" w:sz="0" w:space="0" w:color="auto"/>
      </w:divBdr>
    </w:div>
    <w:div w:id="1520042567">
      <w:bodyDiv w:val="1"/>
      <w:marLeft w:val="0"/>
      <w:marRight w:val="0"/>
      <w:marTop w:val="0"/>
      <w:marBottom w:val="0"/>
      <w:divBdr>
        <w:top w:val="none" w:sz="0" w:space="0" w:color="auto"/>
        <w:left w:val="none" w:sz="0" w:space="0" w:color="auto"/>
        <w:bottom w:val="none" w:sz="0" w:space="0" w:color="auto"/>
        <w:right w:val="none" w:sz="0" w:space="0" w:color="auto"/>
      </w:divBdr>
    </w:div>
    <w:div w:id="1535193575">
      <w:bodyDiv w:val="1"/>
      <w:marLeft w:val="0"/>
      <w:marRight w:val="0"/>
      <w:marTop w:val="0"/>
      <w:marBottom w:val="0"/>
      <w:divBdr>
        <w:top w:val="none" w:sz="0" w:space="0" w:color="auto"/>
        <w:left w:val="none" w:sz="0" w:space="0" w:color="auto"/>
        <w:bottom w:val="none" w:sz="0" w:space="0" w:color="auto"/>
        <w:right w:val="none" w:sz="0" w:space="0" w:color="auto"/>
      </w:divBdr>
    </w:div>
    <w:div w:id="1559242874">
      <w:bodyDiv w:val="1"/>
      <w:marLeft w:val="0"/>
      <w:marRight w:val="0"/>
      <w:marTop w:val="0"/>
      <w:marBottom w:val="0"/>
      <w:divBdr>
        <w:top w:val="none" w:sz="0" w:space="0" w:color="auto"/>
        <w:left w:val="none" w:sz="0" w:space="0" w:color="auto"/>
        <w:bottom w:val="none" w:sz="0" w:space="0" w:color="auto"/>
        <w:right w:val="none" w:sz="0" w:space="0" w:color="auto"/>
      </w:divBdr>
    </w:div>
    <w:div w:id="1699961981">
      <w:bodyDiv w:val="1"/>
      <w:marLeft w:val="0"/>
      <w:marRight w:val="0"/>
      <w:marTop w:val="0"/>
      <w:marBottom w:val="0"/>
      <w:divBdr>
        <w:top w:val="none" w:sz="0" w:space="0" w:color="auto"/>
        <w:left w:val="none" w:sz="0" w:space="0" w:color="auto"/>
        <w:bottom w:val="none" w:sz="0" w:space="0" w:color="auto"/>
        <w:right w:val="none" w:sz="0" w:space="0" w:color="auto"/>
      </w:divBdr>
    </w:div>
    <w:div w:id="19066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3C321-0CEF-4619-B2E0-91E99AB6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1485</Words>
  <Characters>8617</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Pavlíková Vladimíra</dc:creator>
  <cp:lastModifiedBy>Kaňka Pavel</cp:lastModifiedBy>
  <cp:revision>54</cp:revision>
  <cp:lastPrinted>2019-05-09T13:18:00Z</cp:lastPrinted>
  <dcterms:created xsi:type="dcterms:W3CDTF">2020-03-26T13:45:00Z</dcterms:created>
  <dcterms:modified xsi:type="dcterms:W3CDTF">2023-11-15T11:47:00Z</dcterms:modified>
</cp:coreProperties>
</file>