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DCB6" w14:textId="46E8F634" w:rsidR="00E50DBA" w:rsidRPr="00E50DBA" w:rsidRDefault="00E50DBA" w:rsidP="0073497B">
      <w:pPr>
        <w:spacing w:after="120" w:line="240" w:lineRule="auto"/>
        <w:jc w:val="both"/>
        <w:rPr>
          <w:rFonts w:eastAsia="MS Mincho" w:cstheme="minorHAnsi"/>
          <w:color w:val="000000"/>
          <w:lang w:eastAsia="cs-CZ"/>
        </w:rPr>
      </w:pP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</w:r>
      <w:r w:rsidRPr="00E50DBA">
        <w:rPr>
          <w:rFonts w:eastAsia="MS Mincho" w:cstheme="minorHAnsi"/>
          <w:color w:val="000000"/>
          <w:lang w:eastAsia="cs-CZ"/>
        </w:rPr>
        <w:tab/>
        <w:t xml:space="preserve"> </w:t>
      </w:r>
    </w:p>
    <w:p w14:paraId="64EE1654" w14:textId="5AF73317" w:rsidR="0073497B" w:rsidRPr="00E50573" w:rsidRDefault="0073497B" w:rsidP="0073497B">
      <w:pPr>
        <w:spacing w:after="120" w:line="240" w:lineRule="auto"/>
        <w:jc w:val="both"/>
        <w:rPr>
          <w:rFonts w:ascii="Aptos Narrow" w:eastAsia="MS Mincho" w:hAnsi="Aptos Narrow" w:cstheme="minorHAnsi"/>
          <w:b/>
          <w:bCs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b/>
          <w:bCs/>
          <w:color w:val="000000"/>
          <w:sz w:val="24"/>
          <w:szCs w:val="24"/>
          <w:lang w:eastAsia="cs-CZ"/>
        </w:rPr>
        <w:t>Příloha č. 1</w:t>
      </w:r>
    </w:p>
    <w:p w14:paraId="1CDB79AC" w14:textId="4AC16A64" w:rsidR="0073497B" w:rsidRPr="00E50573" w:rsidRDefault="0073497B" w:rsidP="0073497B">
      <w:pPr>
        <w:spacing w:after="120" w:line="240" w:lineRule="auto"/>
        <w:jc w:val="both"/>
        <w:rPr>
          <w:rFonts w:ascii="Aptos Narrow" w:eastAsia="MS Mincho" w:hAnsi="Aptos Narrow" w:cstheme="minorHAnsi"/>
          <w:b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b/>
          <w:color w:val="000000"/>
          <w:sz w:val="24"/>
          <w:szCs w:val="24"/>
          <w:lang w:eastAsia="cs-CZ"/>
        </w:rPr>
        <w:t xml:space="preserve">Seznam </w:t>
      </w:r>
      <w:r w:rsidR="00832513" w:rsidRPr="00E50573">
        <w:rPr>
          <w:rFonts w:ascii="Aptos Narrow" w:eastAsia="MS Mincho" w:hAnsi="Aptos Narrow" w:cstheme="minorHAnsi"/>
          <w:b/>
          <w:color w:val="000000"/>
          <w:sz w:val="24"/>
          <w:szCs w:val="24"/>
          <w:lang w:eastAsia="cs-CZ"/>
        </w:rPr>
        <w:t>států</w:t>
      </w:r>
      <w:r w:rsidRPr="00E50573">
        <w:rPr>
          <w:rFonts w:ascii="Aptos Narrow" w:eastAsia="MS Mincho" w:hAnsi="Aptos Narrow" w:cstheme="minorHAnsi"/>
          <w:b/>
          <w:color w:val="000000"/>
          <w:sz w:val="24"/>
          <w:szCs w:val="24"/>
          <w:lang w:eastAsia="cs-CZ"/>
        </w:rPr>
        <w:t>, kterým jsou nabízena místa k účasti na Letních školách slovanských studií</w:t>
      </w:r>
    </w:p>
    <w:p w14:paraId="18FBF216" w14:textId="77777777" w:rsidR="0073497B" w:rsidRPr="00E50573" w:rsidRDefault="0073497B" w:rsidP="00B5062F">
      <w:p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</w:p>
    <w:p w14:paraId="5A85D332" w14:textId="28B01A7A" w:rsidR="00B5062F" w:rsidRPr="00E50573" w:rsidRDefault="00B5062F" w:rsidP="00B5062F">
      <w:pPr>
        <w:spacing w:before="120"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Místa na Letních školách slovanských studií jsou níže uvedeným zemím nabízena na základě bilaterálních mezinárodních smluv, v některých případech na základě reciprocity. Zároveň lze přijmout přihlášky uchazečů na základě doporučení Ministerstva zahraničních věcí a</w:t>
      </w:r>
      <w:r w:rsid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 </w:t>
      </w: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zastupitelských úřadů České republiky v zahraničí, </w:t>
      </w:r>
      <w:bookmarkStart w:id="0" w:name="_Hlk97019658"/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k dosažení synergie s Programem podpory českého kulturního dědictví v zahraničí, nebo v případech hodných zvláštního zřetele.</w:t>
      </w:r>
      <w:bookmarkEnd w:id="0"/>
    </w:p>
    <w:p w14:paraId="5B03FA48" w14:textId="77777777" w:rsidR="00B5062F" w:rsidRPr="00E50573" w:rsidRDefault="00B5062F" w:rsidP="00B5062F">
      <w:pPr>
        <w:spacing w:before="120" w:after="120" w:line="240" w:lineRule="auto"/>
        <w:jc w:val="both"/>
        <w:rPr>
          <w:rFonts w:ascii="Aptos Narrow" w:eastAsia="MS Mincho" w:hAnsi="Aptos Narrow" w:cstheme="minorHAnsi"/>
          <w:color w:val="000000" w:themeColor="text1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 w:themeColor="text1"/>
          <w:sz w:val="24"/>
          <w:szCs w:val="24"/>
          <w:lang w:eastAsia="cs-CZ"/>
        </w:rPr>
        <w:t xml:space="preserve">Maximální počet poskytnutých míst v roce 2024: </w:t>
      </w:r>
      <w:r w:rsidRPr="00E50573">
        <w:rPr>
          <w:rFonts w:ascii="Aptos Narrow" w:eastAsia="MS Mincho" w:hAnsi="Aptos Narrow" w:cstheme="minorHAnsi"/>
          <w:b/>
          <w:color w:val="000000" w:themeColor="text1"/>
          <w:sz w:val="24"/>
          <w:szCs w:val="24"/>
          <w:lang w:eastAsia="cs-CZ"/>
        </w:rPr>
        <w:t>311</w:t>
      </w:r>
      <w:r w:rsidRPr="00E50573">
        <w:rPr>
          <w:rFonts w:ascii="Aptos Narrow" w:eastAsia="MS Mincho" w:hAnsi="Aptos Narrow" w:cstheme="minorHAnsi"/>
          <w:color w:val="000000" w:themeColor="text1"/>
          <w:sz w:val="24"/>
          <w:szCs w:val="24"/>
          <w:lang w:eastAsia="cs-CZ"/>
        </w:rPr>
        <w:t xml:space="preserve"> </w:t>
      </w:r>
    </w:p>
    <w:p w14:paraId="2AD77734" w14:textId="77777777" w:rsidR="00B5062F" w:rsidRPr="00E50573" w:rsidRDefault="00B5062F" w:rsidP="00B5062F">
      <w:p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sectPr w:rsidR="00B5062F" w:rsidRPr="00E50573" w:rsidSect="00F878D0">
          <w:headerReference w:type="default" r:id="rId7"/>
          <w:footerReference w:type="default" r:id="rId8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704D6D1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Albánie</w:t>
      </w:r>
    </w:p>
    <w:p w14:paraId="7FB1C9FE" w14:textId="5075CEC3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Belgie </w:t>
      </w:r>
    </w:p>
    <w:p w14:paraId="0AB76A47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Bosna a Hercegovina</w:t>
      </w:r>
    </w:p>
    <w:p w14:paraId="3974D633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Bulharsko</w:t>
      </w:r>
    </w:p>
    <w:p w14:paraId="524A230A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Čína</w:t>
      </w:r>
    </w:p>
    <w:p w14:paraId="012F1F89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Dánsko</w:t>
      </w:r>
    </w:p>
    <w:p w14:paraId="07D989A3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Egypt</w:t>
      </w:r>
    </w:p>
    <w:p w14:paraId="3F81F4E7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Estonsko</w:t>
      </w:r>
    </w:p>
    <w:p w14:paraId="779D1A38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Finsko</w:t>
      </w:r>
    </w:p>
    <w:p w14:paraId="6103C5D6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Francie</w:t>
      </w:r>
    </w:p>
    <w:p w14:paraId="68C9875E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Gruzie</w:t>
      </w:r>
    </w:p>
    <w:p w14:paraId="165B1F2E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Chorvatsko</w:t>
      </w:r>
    </w:p>
    <w:p w14:paraId="40C7EF1E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Indie</w:t>
      </w:r>
    </w:p>
    <w:p w14:paraId="512D2FB5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Itálie</w:t>
      </w:r>
    </w:p>
    <w:p w14:paraId="4D8C1C7A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Izrael</w:t>
      </w:r>
    </w:p>
    <w:p w14:paraId="132D597A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Japonsko</w:t>
      </w:r>
    </w:p>
    <w:p w14:paraId="4DCE590A" w14:textId="3342CEC1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Kanada </w:t>
      </w:r>
      <w:r w:rsidR="00BC6197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(provincie </w:t>
      </w: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Alberta</w:t>
      </w:r>
      <w:r w:rsidR="00BC6197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)</w:t>
      </w:r>
    </w:p>
    <w:p w14:paraId="003AA58F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Korejská republika</w:t>
      </w:r>
    </w:p>
    <w:p w14:paraId="64EE1904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Litva </w:t>
      </w:r>
    </w:p>
    <w:p w14:paraId="1D42A5E5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Lotyšsko</w:t>
      </w:r>
    </w:p>
    <w:p w14:paraId="20E2F239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Lucembursko</w:t>
      </w:r>
    </w:p>
    <w:p w14:paraId="3D7338BE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Maďarsko </w:t>
      </w:r>
    </w:p>
    <w:p w14:paraId="0854A82B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Malta</w:t>
      </w:r>
    </w:p>
    <w:p w14:paraId="32C4369D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Mongolsko</w:t>
      </w:r>
    </w:p>
    <w:p w14:paraId="2C6FF955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Nizozemí</w:t>
      </w:r>
    </w:p>
    <w:p w14:paraId="5EBCF29E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Norsko</w:t>
      </w:r>
    </w:p>
    <w:p w14:paraId="11B46ED8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Polsko</w:t>
      </w:r>
    </w:p>
    <w:p w14:paraId="520D06F8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Portugalsko</w:t>
      </w:r>
    </w:p>
    <w:p w14:paraId="58D14244" w14:textId="25029D2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Rakousko </w:t>
      </w:r>
      <w:r w:rsidR="00BC6197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(program </w:t>
      </w: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Aktion</w:t>
      </w:r>
      <w:r w:rsidR="00BC6197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)</w:t>
      </w:r>
    </w:p>
    <w:p w14:paraId="6EE8134D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Rumunsko</w:t>
      </w:r>
    </w:p>
    <w:p w14:paraId="583960B1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Řecko</w:t>
      </w:r>
    </w:p>
    <w:p w14:paraId="2C3F398C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Severní Makedonie</w:t>
      </w:r>
    </w:p>
    <w:p w14:paraId="108F8222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Slovensko</w:t>
      </w:r>
    </w:p>
    <w:p w14:paraId="6C8016C2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Slovinsko</w:t>
      </w:r>
    </w:p>
    <w:p w14:paraId="73D01E49" w14:textId="77777777" w:rsidR="00BC6197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Srbsko</w:t>
      </w:r>
    </w:p>
    <w:p w14:paraId="08F60A77" w14:textId="26C522AD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Černá Hora</w:t>
      </w:r>
    </w:p>
    <w:p w14:paraId="61FC1F9D" w14:textId="06F494B0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SRN – </w:t>
      </w:r>
      <w:r w:rsidR="00405604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 </w:t>
      </w:r>
      <w:r w:rsid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 </w:t>
      </w: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Bavorsk</w:t>
      </w:r>
      <w:r w:rsidR="00F045DC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o</w:t>
      </w:r>
    </w:p>
    <w:p w14:paraId="6F99A130" w14:textId="77777777" w:rsidR="00DA0950" w:rsidRPr="00E50573" w:rsidRDefault="0073497B" w:rsidP="00DA0950">
      <w:pPr>
        <w:pStyle w:val="Odstavecseseznamem"/>
        <w:spacing w:after="120" w:line="240" w:lineRule="auto"/>
        <w:ind w:firstLine="696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Bayhost</w:t>
      </w:r>
    </w:p>
    <w:p w14:paraId="15AF7E2C" w14:textId="48700DC0" w:rsidR="0073497B" w:rsidRPr="00E50573" w:rsidRDefault="0073497B" w:rsidP="00DA0950">
      <w:pPr>
        <w:pStyle w:val="Odstavecseseznamem"/>
        <w:spacing w:after="120" w:line="240" w:lineRule="auto"/>
        <w:ind w:firstLine="696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Bohemicum</w:t>
      </w:r>
    </w:p>
    <w:p w14:paraId="08881B21" w14:textId="73C9A592" w:rsidR="0073497B" w:rsidRPr="00E50573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DAAD</w:t>
      </w:r>
    </w:p>
    <w:p w14:paraId="68857CDB" w14:textId="19E1CB0D" w:rsidR="0073497B" w:rsidRPr="00E50573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Hamburk</w:t>
      </w:r>
    </w:p>
    <w:p w14:paraId="6413BC6A" w14:textId="063772B0" w:rsidR="0073497B" w:rsidRPr="00E50573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Lipsko</w:t>
      </w:r>
    </w:p>
    <w:p w14:paraId="64302D0F" w14:textId="5B037218" w:rsidR="0073497B" w:rsidRPr="00E50573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Lužičtí Srbové</w:t>
      </w:r>
    </w:p>
    <w:p w14:paraId="273D90A3" w14:textId="2E3CE0C1" w:rsidR="0073497B" w:rsidRPr="00E50573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Sasko</w:t>
      </w:r>
    </w:p>
    <w:p w14:paraId="7FE27E2D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Španělsko</w:t>
      </w:r>
    </w:p>
    <w:p w14:paraId="2F0F70B2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Švédsko</w:t>
      </w:r>
    </w:p>
    <w:p w14:paraId="7E632950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Švýcarsko</w:t>
      </w:r>
    </w:p>
    <w:p w14:paraId="3D34DB4C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Tchaj-wan</w:t>
      </w:r>
    </w:p>
    <w:p w14:paraId="2FCDC88E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Ukrajina</w:t>
      </w:r>
    </w:p>
    <w:p w14:paraId="0493B02E" w14:textId="669AF770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USA </w:t>
      </w:r>
    </w:p>
    <w:p w14:paraId="356B1856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Velká Británie</w:t>
      </w:r>
    </w:p>
    <w:p w14:paraId="68916771" w14:textId="77777777" w:rsidR="0073497B" w:rsidRPr="00E50573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Vietnam</w:t>
      </w:r>
    </w:p>
    <w:p w14:paraId="2D3A4FD7" w14:textId="77777777" w:rsidR="0073497B" w:rsidRPr="00E50573" w:rsidRDefault="0073497B" w:rsidP="0073497B">
      <w:pPr>
        <w:spacing w:after="120" w:line="240" w:lineRule="auto"/>
        <w:ind w:left="567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sectPr w:rsidR="0073497B" w:rsidRPr="00E50573" w:rsidSect="00F878D0">
          <w:type w:val="continuous"/>
          <w:pgSz w:w="11906" w:h="16838"/>
          <w:pgMar w:top="1417" w:right="1417" w:bottom="1560" w:left="1417" w:header="708" w:footer="708" w:gutter="0"/>
          <w:cols w:num="2" w:space="708"/>
          <w:docGrid w:linePitch="360"/>
        </w:sectPr>
      </w:pPr>
    </w:p>
    <w:p w14:paraId="3115B343" w14:textId="77777777" w:rsidR="0073497B" w:rsidRPr="00E50573" w:rsidRDefault="0073497B" w:rsidP="0073497B">
      <w:pPr>
        <w:spacing w:before="120"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br/>
      </w:r>
    </w:p>
    <w:p w14:paraId="6E933479" w14:textId="77777777" w:rsidR="0073497B" w:rsidRPr="00E50573" w:rsidRDefault="0073497B" w:rsidP="0073497B">
      <w:pPr>
        <w:spacing w:before="120" w:after="120" w:line="240" w:lineRule="auto"/>
        <w:jc w:val="both"/>
        <w:rPr>
          <w:rFonts w:ascii="Aptos Narrow" w:eastAsia="MS Mincho" w:hAnsi="Aptos Narrow" w:cstheme="minorHAnsi"/>
          <w:color w:val="000000" w:themeColor="text1"/>
          <w:sz w:val="24"/>
          <w:szCs w:val="24"/>
          <w:lang w:eastAsia="cs-CZ"/>
        </w:rPr>
      </w:pPr>
    </w:p>
    <w:p w14:paraId="2050EB30" w14:textId="77777777" w:rsidR="0073497B" w:rsidRPr="00E50573" w:rsidRDefault="0073497B" w:rsidP="0073497B">
      <w:pPr>
        <w:rPr>
          <w:rFonts w:ascii="Aptos Narrow" w:hAnsi="Aptos Narrow" w:cstheme="minorHAnsi"/>
          <w:b/>
          <w:bCs/>
          <w:sz w:val="24"/>
          <w:szCs w:val="24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br w:type="page"/>
      </w:r>
      <w:r w:rsidRPr="00E50573">
        <w:rPr>
          <w:rFonts w:ascii="Aptos Narrow" w:hAnsi="Aptos Narrow" w:cstheme="minorHAnsi"/>
          <w:b/>
          <w:bCs/>
          <w:sz w:val="24"/>
          <w:szCs w:val="24"/>
        </w:rPr>
        <w:lastRenderedPageBreak/>
        <w:t xml:space="preserve">Příloha č. 2 </w:t>
      </w:r>
    </w:p>
    <w:p w14:paraId="5B5B5333" w14:textId="77777777" w:rsidR="0073497B" w:rsidRPr="00E50573" w:rsidRDefault="0073497B" w:rsidP="0073497B">
      <w:pPr>
        <w:spacing w:before="120" w:after="120" w:line="240" w:lineRule="auto"/>
        <w:jc w:val="both"/>
        <w:rPr>
          <w:rFonts w:ascii="Aptos Narrow" w:hAnsi="Aptos Narrow" w:cstheme="minorHAnsi"/>
          <w:b/>
          <w:sz w:val="24"/>
          <w:szCs w:val="24"/>
        </w:rPr>
      </w:pPr>
      <w:r w:rsidRPr="00E50573">
        <w:rPr>
          <w:rFonts w:ascii="Aptos Narrow" w:hAnsi="Aptos Narrow" w:cstheme="minorHAnsi"/>
          <w:b/>
          <w:sz w:val="24"/>
          <w:szCs w:val="24"/>
        </w:rPr>
        <w:t>Postup podávání a zpracování přihlášek zahraničních účastníků v kurzech Letních škol slovanských studií</w:t>
      </w:r>
    </w:p>
    <w:p w14:paraId="51EC3393" w14:textId="77777777" w:rsidR="00EF37F4" w:rsidRDefault="00EF37F4" w:rsidP="0073497B">
      <w:pPr>
        <w:spacing w:before="120" w:after="120" w:line="240" w:lineRule="auto"/>
        <w:jc w:val="both"/>
        <w:rPr>
          <w:rFonts w:ascii="Aptos Narrow" w:hAnsi="Aptos Narrow" w:cstheme="minorHAnsi"/>
          <w:sz w:val="24"/>
          <w:szCs w:val="24"/>
        </w:rPr>
      </w:pPr>
    </w:p>
    <w:p w14:paraId="59939F4C" w14:textId="6AF847ED" w:rsidR="0073497B" w:rsidRPr="00E50573" w:rsidRDefault="0073497B" w:rsidP="0073497B">
      <w:pPr>
        <w:spacing w:before="120" w:after="120" w:line="240" w:lineRule="auto"/>
        <w:jc w:val="both"/>
        <w:rPr>
          <w:rFonts w:ascii="Aptos Narrow" w:hAnsi="Aptos Narrow" w:cstheme="minorHAnsi"/>
          <w:sz w:val="24"/>
          <w:szCs w:val="24"/>
        </w:rPr>
      </w:pPr>
      <w:r w:rsidRPr="00E50573">
        <w:rPr>
          <w:rFonts w:ascii="Aptos Narrow" w:hAnsi="Aptos Narrow" w:cstheme="minorHAnsi"/>
          <w:sz w:val="24"/>
          <w:szCs w:val="24"/>
        </w:rPr>
        <w:t xml:space="preserve">O účast v kurzech Letních škol slovanských studií mohou zahraniční zájemci požádat prostřednictvím </w:t>
      </w:r>
      <w:bookmarkStart w:id="1" w:name="_Hlk129870756"/>
      <w:r w:rsidRPr="00E50573">
        <w:rPr>
          <w:rFonts w:ascii="Aptos Narrow" w:hAnsi="Aptos Narrow" w:cstheme="minorHAnsi"/>
          <w:sz w:val="24"/>
          <w:szCs w:val="24"/>
        </w:rPr>
        <w:t xml:space="preserve">zastupitelského úřadu České republiky v zahraničí či partnerské zahraniční instituce v zemi </w:t>
      </w:r>
      <w:bookmarkEnd w:id="1"/>
      <w:r w:rsidRPr="00E50573">
        <w:rPr>
          <w:rFonts w:ascii="Aptos Narrow" w:hAnsi="Aptos Narrow" w:cstheme="minorHAnsi"/>
          <w:sz w:val="24"/>
          <w:szCs w:val="24"/>
        </w:rPr>
        <w:t xml:space="preserve">v souladu s Přílohou č. 1. </w:t>
      </w:r>
    </w:p>
    <w:p w14:paraId="0F53034D" w14:textId="38C30B4D" w:rsidR="0073497B" w:rsidRPr="00E50573" w:rsidRDefault="0073497B" w:rsidP="0073497B">
      <w:pPr>
        <w:spacing w:before="120" w:after="120" w:line="240" w:lineRule="auto"/>
        <w:jc w:val="both"/>
        <w:rPr>
          <w:rFonts w:ascii="Aptos Narrow" w:hAnsi="Aptos Narrow" w:cstheme="minorHAnsi"/>
          <w:sz w:val="24"/>
          <w:szCs w:val="24"/>
        </w:rPr>
      </w:pPr>
      <w:r w:rsidRPr="00E50573">
        <w:rPr>
          <w:rFonts w:ascii="Aptos Narrow" w:hAnsi="Aptos Narrow" w:cstheme="minorHAnsi"/>
          <w:sz w:val="24"/>
          <w:szCs w:val="24"/>
        </w:rPr>
        <w:t>Zastupitelské úřady České republiky v zahraničí či partnerské zahraniční instituce v daných zemích provedou výběr a nominují účastníky pro kurzy Letních škol slovanských studií v počtu stanoveném mezinárodní smlouvou či na základě reciprocity. Účastnit se mohou pouze zahraniční uchazeči, kteří byli</w:t>
      </w:r>
      <w:r w:rsidR="0003673D" w:rsidRPr="00E50573">
        <w:rPr>
          <w:rFonts w:ascii="Aptos Narrow" w:hAnsi="Aptos Narrow" w:cstheme="minorHAnsi"/>
          <w:sz w:val="24"/>
          <w:szCs w:val="24"/>
        </w:rPr>
        <w:t xml:space="preserve"> řádně</w:t>
      </w:r>
      <w:r w:rsidRPr="00E50573">
        <w:rPr>
          <w:rFonts w:ascii="Aptos Narrow" w:hAnsi="Aptos Narrow" w:cstheme="minorHAnsi"/>
          <w:sz w:val="24"/>
          <w:szCs w:val="24"/>
        </w:rPr>
        <w:t xml:space="preserve"> nominováni zastupitelským úřadem České republiky v</w:t>
      </w:r>
      <w:r w:rsidR="00E50573">
        <w:rPr>
          <w:rFonts w:ascii="Aptos Narrow" w:hAnsi="Aptos Narrow" w:cstheme="minorHAnsi"/>
          <w:sz w:val="24"/>
          <w:szCs w:val="24"/>
        </w:rPr>
        <w:t> </w:t>
      </w:r>
      <w:r w:rsidRPr="00E50573">
        <w:rPr>
          <w:rFonts w:ascii="Aptos Narrow" w:hAnsi="Aptos Narrow" w:cstheme="minorHAnsi"/>
          <w:sz w:val="24"/>
          <w:szCs w:val="24"/>
        </w:rPr>
        <w:t xml:space="preserve">zahraničí či příslušnou zahraniční institucí. </w:t>
      </w:r>
    </w:p>
    <w:p w14:paraId="7EB24888" w14:textId="26F35CF8" w:rsidR="0073497B" w:rsidRPr="00E50573" w:rsidRDefault="0073497B" w:rsidP="0073497B">
      <w:pPr>
        <w:spacing w:before="120" w:after="120" w:line="240" w:lineRule="auto"/>
        <w:jc w:val="both"/>
        <w:rPr>
          <w:rFonts w:ascii="Aptos Narrow" w:hAnsi="Aptos Narrow" w:cstheme="minorHAnsi"/>
          <w:sz w:val="24"/>
          <w:szCs w:val="24"/>
        </w:rPr>
      </w:pPr>
      <w:r w:rsidRPr="00E50573">
        <w:rPr>
          <w:rFonts w:ascii="Aptos Narrow" w:hAnsi="Aptos Narrow" w:cstheme="minorHAnsi"/>
          <w:sz w:val="24"/>
          <w:szCs w:val="24"/>
        </w:rPr>
        <w:t xml:space="preserve">Doručení seznamu nominovaných účastníků a náhradníků, včetně vyplněných formulářů, </w:t>
      </w:r>
      <w:r w:rsidR="00EF37F4">
        <w:rPr>
          <w:rFonts w:ascii="Aptos Narrow" w:hAnsi="Aptos Narrow" w:cstheme="minorHAnsi"/>
          <w:sz w:val="24"/>
          <w:szCs w:val="24"/>
        </w:rPr>
        <w:t>Ministerstvu</w:t>
      </w:r>
      <w:r w:rsidRPr="00E50573">
        <w:rPr>
          <w:rFonts w:ascii="Aptos Narrow" w:hAnsi="Aptos Narrow" w:cstheme="minorHAnsi"/>
          <w:sz w:val="24"/>
          <w:szCs w:val="24"/>
        </w:rPr>
        <w:t xml:space="preserve"> – </w:t>
      </w:r>
      <w:r w:rsidR="00E50573">
        <w:rPr>
          <w:rFonts w:ascii="Aptos Narrow" w:hAnsi="Aptos Narrow" w:cstheme="minorHAnsi"/>
          <w:sz w:val="24"/>
          <w:szCs w:val="24"/>
        </w:rPr>
        <w:t>O</w:t>
      </w:r>
      <w:r w:rsidRPr="00E50573">
        <w:rPr>
          <w:rFonts w:ascii="Aptos Narrow" w:hAnsi="Aptos Narrow" w:cstheme="minorHAnsi"/>
          <w:sz w:val="24"/>
          <w:szCs w:val="24"/>
        </w:rPr>
        <w:t xml:space="preserve">dboru mezinárodních vztahů </w:t>
      </w:r>
      <w:r w:rsidR="00E50573">
        <w:rPr>
          <w:rFonts w:ascii="Aptos Narrow" w:hAnsi="Aptos Narrow" w:cstheme="minorHAnsi"/>
          <w:sz w:val="24"/>
          <w:szCs w:val="24"/>
        </w:rPr>
        <w:t xml:space="preserve">a Evropské unie </w:t>
      </w:r>
      <w:r w:rsidRPr="00E50573">
        <w:rPr>
          <w:rFonts w:ascii="Aptos Narrow" w:hAnsi="Aptos Narrow" w:cstheme="minorHAnsi"/>
          <w:sz w:val="24"/>
          <w:szCs w:val="24"/>
        </w:rPr>
        <w:t>zajišťují zastupitelské úřady České republiky v</w:t>
      </w:r>
      <w:r w:rsidR="00E50573">
        <w:rPr>
          <w:rFonts w:ascii="Aptos Narrow" w:hAnsi="Aptos Narrow" w:cstheme="minorHAnsi"/>
          <w:sz w:val="24"/>
          <w:szCs w:val="24"/>
        </w:rPr>
        <w:t> </w:t>
      </w:r>
      <w:r w:rsidRPr="00E50573">
        <w:rPr>
          <w:rFonts w:ascii="Aptos Narrow" w:hAnsi="Aptos Narrow" w:cstheme="minorHAnsi"/>
          <w:sz w:val="24"/>
          <w:szCs w:val="24"/>
        </w:rPr>
        <w:t xml:space="preserve">zahraničí či partnerské zahraniční instituce. </w:t>
      </w:r>
    </w:p>
    <w:p w14:paraId="18958604" w14:textId="404379E1" w:rsidR="0073497B" w:rsidRPr="00E50573" w:rsidRDefault="00EF37F4" w:rsidP="0073497B">
      <w:pPr>
        <w:spacing w:before="120" w:after="120" w:line="240" w:lineRule="auto"/>
        <w:jc w:val="both"/>
        <w:rPr>
          <w:rFonts w:ascii="Aptos Narrow" w:hAnsi="Aptos Narrow" w:cstheme="minorHAnsi"/>
          <w:sz w:val="24"/>
          <w:szCs w:val="24"/>
        </w:rPr>
      </w:pPr>
      <w:bookmarkStart w:id="2" w:name="_Hlk131070790"/>
      <w:r>
        <w:rPr>
          <w:rFonts w:ascii="Aptos Narrow" w:hAnsi="Aptos Narrow" w:cstheme="minorHAnsi"/>
          <w:sz w:val="24"/>
          <w:szCs w:val="24"/>
        </w:rPr>
        <w:t>Ministerstvo</w:t>
      </w:r>
      <w:r w:rsidR="0073497B" w:rsidRPr="00E50573">
        <w:rPr>
          <w:rFonts w:ascii="Aptos Narrow" w:hAnsi="Aptos Narrow" w:cstheme="minorHAnsi"/>
          <w:sz w:val="24"/>
          <w:szCs w:val="24"/>
        </w:rPr>
        <w:t xml:space="preserve"> doručené přihlášky zaeviduje a poté je postoupí příslušným veřejným vysokým školám</w:t>
      </w:r>
      <w:r w:rsidR="00B5062F" w:rsidRPr="00E50573">
        <w:rPr>
          <w:rFonts w:ascii="Aptos Narrow" w:hAnsi="Aptos Narrow" w:cstheme="minorHAnsi"/>
          <w:sz w:val="24"/>
          <w:szCs w:val="24"/>
        </w:rPr>
        <w:t>, které pořádají kurzy Letních škol slovanských studií,</w:t>
      </w:r>
      <w:r w:rsidR="0073497B" w:rsidRPr="00E50573">
        <w:rPr>
          <w:rFonts w:ascii="Aptos Narrow" w:hAnsi="Aptos Narrow" w:cstheme="minorHAnsi"/>
          <w:sz w:val="24"/>
          <w:szCs w:val="24"/>
        </w:rPr>
        <w:t xml:space="preserve"> podle doporučení příslušných zastupitelských úřadů České republiky v zahraničí či partnerské zahraniční instituce.</w:t>
      </w:r>
    </w:p>
    <w:bookmarkEnd w:id="2"/>
    <w:p w14:paraId="3B42FDA0" w14:textId="5DA74B16" w:rsidR="0073497B" w:rsidRPr="00E50573" w:rsidRDefault="00EF37F4" w:rsidP="0073497B">
      <w:pPr>
        <w:spacing w:before="120"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Ministerstvo</w:t>
      </w:r>
      <w:r w:rsidR="0073497B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 xml:space="preserve"> si vyhrazuje právo na umístění uchazeče do jiné </w:t>
      </w:r>
      <w:r w:rsidR="0073497B" w:rsidRPr="00E50573">
        <w:rPr>
          <w:rFonts w:ascii="Aptos Narrow" w:hAnsi="Aptos Narrow" w:cstheme="minorHAnsi"/>
          <w:sz w:val="24"/>
          <w:szCs w:val="24"/>
        </w:rPr>
        <w:t>Letní školy slovanských studií</w:t>
      </w:r>
      <w:r w:rsidR="0073497B"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, než jakou si zvolil ve své přihlášce, pokud tato má již naplněnou kapacitu.</w:t>
      </w:r>
    </w:p>
    <w:p w14:paraId="1408C97B" w14:textId="77777777" w:rsidR="0073497B" w:rsidRPr="00E50573" w:rsidRDefault="0073497B" w:rsidP="0073497B">
      <w:pPr>
        <w:spacing w:before="120" w:after="120" w:line="240" w:lineRule="auto"/>
        <w:jc w:val="both"/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</w:pPr>
      <w:r w:rsidRPr="00E50573">
        <w:rPr>
          <w:rFonts w:ascii="Aptos Narrow" w:eastAsia="MS Mincho" w:hAnsi="Aptos Narrow" w:cstheme="minorHAnsi"/>
          <w:color w:val="000000"/>
          <w:sz w:val="24"/>
          <w:szCs w:val="24"/>
          <w:lang w:eastAsia="cs-CZ"/>
        </w:rPr>
        <w:t>Výzva se nevztahuje na tzv. samoplátce, kteří se v kurzech Letních škol slovanských studií mohou na vlastní náklady vzdělávat společně se zahraničními účastníky vybranými na základě výše uvedeného postupu.</w:t>
      </w:r>
    </w:p>
    <w:p w14:paraId="5E67A56C" w14:textId="77777777" w:rsidR="00211F97" w:rsidRDefault="00211F97"/>
    <w:sectPr w:rsidR="00211F97" w:rsidSect="00F878D0">
      <w:type w:val="continuous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2D8B" w14:textId="77777777" w:rsidR="00F878D0" w:rsidRDefault="00F878D0">
      <w:pPr>
        <w:spacing w:after="0" w:line="240" w:lineRule="auto"/>
      </w:pPr>
      <w:r>
        <w:separator/>
      </w:r>
    </w:p>
  </w:endnote>
  <w:endnote w:type="continuationSeparator" w:id="0">
    <w:p w14:paraId="0D856870" w14:textId="77777777" w:rsidR="00F878D0" w:rsidRDefault="00F8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3249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672EC00" w14:textId="77777777" w:rsidR="009F486E" w:rsidRPr="004F46DA" w:rsidRDefault="00000000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E50573">
          <w:rPr>
            <w:rFonts w:ascii="Aptos Narrow" w:hAnsi="Aptos Narrow"/>
            <w:sz w:val="20"/>
          </w:rPr>
          <w:fldChar w:fldCharType="begin"/>
        </w:r>
        <w:r w:rsidRPr="00E50573">
          <w:rPr>
            <w:rFonts w:ascii="Aptos Narrow" w:hAnsi="Aptos Narrow"/>
            <w:sz w:val="20"/>
          </w:rPr>
          <w:instrText>PAGE   \* MERGEFORMAT</w:instrText>
        </w:r>
        <w:r w:rsidRPr="00E50573">
          <w:rPr>
            <w:rFonts w:ascii="Aptos Narrow" w:hAnsi="Aptos Narrow"/>
            <w:sz w:val="20"/>
          </w:rPr>
          <w:fldChar w:fldCharType="separate"/>
        </w:r>
        <w:r w:rsidRPr="00E50573">
          <w:rPr>
            <w:rFonts w:ascii="Aptos Narrow" w:hAnsi="Aptos Narrow"/>
            <w:sz w:val="20"/>
          </w:rPr>
          <w:t>2</w:t>
        </w:r>
        <w:r w:rsidRPr="00E50573">
          <w:rPr>
            <w:rFonts w:ascii="Aptos Narrow" w:hAnsi="Aptos Narrow"/>
            <w:sz w:val="20"/>
          </w:rPr>
          <w:fldChar w:fldCharType="end"/>
        </w:r>
      </w:p>
    </w:sdtContent>
  </w:sdt>
  <w:p w14:paraId="61D4A4AC" w14:textId="77777777" w:rsidR="009F486E" w:rsidRDefault="009F4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D8D4" w14:textId="77777777" w:rsidR="00F878D0" w:rsidRDefault="00F878D0">
      <w:pPr>
        <w:spacing w:after="0" w:line="240" w:lineRule="auto"/>
      </w:pPr>
      <w:r>
        <w:separator/>
      </w:r>
    </w:p>
  </w:footnote>
  <w:footnote w:type="continuationSeparator" w:id="0">
    <w:p w14:paraId="79D9599D" w14:textId="77777777" w:rsidR="00F878D0" w:rsidRDefault="00F8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F884" w14:textId="17CE935E" w:rsidR="00E50573" w:rsidRPr="004A2A4F" w:rsidRDefault="00E50573" w:rsidP="00E50573">
    <w:pPr>
      <w:pStyle w:val="Zhlav"/>
      <w:jc w:val="center"/>
      <w:rPr>
        <w:rFonts w:ascii="Aptos Narrow" w:hAnsi="Aptos Narrow"/>
        <w:sz w:val="20"/>
        <w:szCs w:val="22"/>
      </w:rPr>
    </w:pPr>
    <w:r w:rsidRPr="004A2A4F">
      <w:rPr>
        <w:rFonts w:ascii="Aptos Narrow" w:hAnsi="Aptos Narrow"/>
        <w:sz w:val="20"/>
        <w:szCs w:val="22"/>
      </w:rPr>
      <w:tab/>
    </w:r>
    <w:r w:rsidR="00EF37F4">
      <w:rPr>
        <w:rFonts w:ascii="Aptos Narrow" w:hAnsi="Aptos Narrow"/>
        <w:sz w:val="20"/>
        <w:szCs w:val="22"/>
      </w:rPr>
      <w:t xml:space="preserve">                                                                </w:t>
    </w:r>
    <w:r w:rsidRPr="004A2A4F">
      <w:rPr>
        <w:rFonts w:ascii="Aptos Narrow" w:hAnsi="Aptos Narrow"/>
        <w:sz w:val="20"/>
        <w:szCs w:val="22"/>
      </w:rPr>
      <w:t>Č.j.: MSMT-4544/2024-</w:t>
    </w:r>
    <w:r w:rsidR="00EF37F4">
      <w:rPr>
        <w:rFonts w:ascii="Aptos Narrow" w:hAnsi="Aptos Narrow"/>
        <w:sz w:val="20"/>
        <w:szCs w:val="22"/>
      </w:rPr>
      <w:t>2</w:t>
    </w:r>
  </w:p>
  <w:p w14:paraId="14CA73FA" w14:textId="77777777" w:rsidR="009F486E" w:rsidRDefault="009F48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718D"/>
    <w:multiLevelType w:val="hybridMultilevel"/>
    <w:tmpl w:val="D76E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5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7B"/>
    <w:rsid w:val="0003673D"/>
    <w:rsid w:val="00211F97"/>
    <w:rsid w:val="00292779"/>
    <w:rsid w:val="00405604"/>
    <w:rsid w:val="004A2A4F"/>
    <w:rsid w:val="00666FA4"/>
    <w:rsid w:val="0073497B"/>
    <w:rsid w:val="007542DD"/>
    <w:rsid w:val="007A5CC4"/>
    <w:rsid w:val="007A5E41"/>
    <w:rsid w:val="00832513"/>
    <w:rsid w:val="009F486E"/>
    <w:rsid w:val="00B5062F"/>
    <w:rsid w:val="00BC6197"/>
    <w:rsid w:val="00DA0950"/>
    <w:rsid w:val="00E50573"/>
    <w:rsid w:val="00E50DBA"/>
    <w:rsid w:val="00EF37F4"/>
    <w:rsid w:val="00F045DC"/>
    <w:rsid w:val="00F36278"/>
    <w:rsid w:val="00F4131D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20A"/>
  <w15:chartTrackingRefBased/>
  <w15:docId w15:val="{6CAD3461-5032-4562-9D3E-6CE5E1C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97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497B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3497B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497B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3497B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3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 Sládková Magdalena</dc:creator>
  <cp:keywords/>
  <dc:description/>
  <cp:lastModifiedBy>Peterová Veronika</cp:lastModifiedBy>
  <cp:revision>2</cp:revision>
  <dcterms:created xsi:type="dcterms:W3CDTF">2024-04-17T12:09:00Z</dcterms:created>
  <dcterms:modified xsi:type="dcterms:W3CDTF">2024-04-17T12:09:00Z</dcterms:modified>
</cp:coreProperties>
</file>