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E4DF" w14:textId="4895FD60" w:rsidR="007C1029" w:rsidRDefault="007C1029" w:rsidP="007C1029">
      <w:pPr>
        <w:rPr>
          <w:b/>
          <w:bCs/>
        </w:rPr>
      </w:pPr>
      <w:r w:rsidRPr="007C1029">
        <w:rPr>
          <w:b/>
          <w:bCs/>
        </w:rPr>
        <w:t>FAQ – Výzvy PRÁCE S DĚTMI A MLÁDEŽÍ 2026</w:t>
      </w:r>
    </w:p>
    <w:p w14:paraId="7B07C0E9" w14:textId="52E1E894" w:rsidR="007C1029" w:rsidRDefault="007C1029" w:rsidP="007C1029">
      <w:pPr>
        <w:jc w:val="both"/>
      </w:pPr>
      <w:r w:rsidRPr="007C1029">
        <w:t>Tento dokument obsahuje vybrané dotazy k výzvám PRÁCE S DĚTMI A MLÁDEŽÍ, které si vyžádaly bližší upřesnění nebo výklad ze strany Ministerstva školství, mládeže a tělovýchovy. Nejedná se o</w:t>
      </w:r>
      <w:r w:rsidR="00B35202">
        <w:t> </w:t>
      </w:r>
      <w:r w:rsidRPr="007C1029">
        <w:t>seznam nejčastějších dotazů, ale o otázky, jejichž zodpovězení může přispět k lepšímu porozumění podmínkám výz</w:t>
      </w:r>
      <w:r>
        <w:t>ev</w:t>
      </w:r>
      <w:r w:rsidRPr="007C1029">
        <w:t xml:space="preserve"> a usnadnit žadatelům její správné uchopení.</w:t>
      </w:r>
    </w:p>
    <w:p w14:paraId="6EF8B98B" w14:textId="217FB197" w:rsidR="007C1029" w:rsidRDefault="007C1029" w:rsidP="007C1029">
      <w:pPr>
        <w:jc w:val="both"/>
      </w:pPr>
      <w:r w:rsidRPr="007C1029">
        <w:t xml:space="preserve">FAQ bude průběžně aktualizován na základě dotazů, které k výzvě přicházejí. Doporučujeme proto sledovat aktuální verzi dokumentu. V případě dalších dotazů, které nejsou v tomto dokumentu uvedeny, se prosím obracejte na kontaktní osobu uvedenou ve výzvě nebo využijte </w:t>
      </w:r>
      <w:r>
        <w:t>Helpdesk (v</w:t>
      </w:r>
      <w:r w:rsidR="00B35202">
        <w:t> </w:t>
      </w:r>
      <w:r>
        <w:t>systému ISPROM)</w:t>
      </w:r>
      <w:r w:rsidRPr="007C1029">
        <w:t>.</w:t>
      </w:r>
    </w:p>
    <w:p w14:paraId="7BD83273" w14:textId="431D4F04" w:rsidR="00B35202" w:rsidRPr="00B83DF4" w:rsidRDefault="00B35202" w:rsidP="00B35202">
      <w:pPr>
        <w:rPr>
          <w:i/>
          <w:iCs/>
          <w:color w:val="FF0000"/>
        </w:rPr>
      </w:pPr>
      <w:r w:rsidRPr="00B83DF4">
        <w:rPr>
          <w:i/>
          <w:iCs/>
          <w:color w:val="FF0000"/>
        </w:rPr>
        <w:t>Poslední aktualizace: 2</w:t>
      </w:r>
      <w:r w:rsidR="00B83DF4" w:rsidRPr="00B83DF4">
        <w:rPr>
          <w:i/>
          <w:iCs/>
          <w:color w:val="FF0000"/>
        </w:rPr>
        <w:t>3</w:t>
      </w:r>
      <w:r w:rsidRPr="00B83DF4">
        <w:rPr>
          <w:i/>
          <w:iCs/>
          <w:color w:val="FF0000"/>
        </w:rPr>
        <w:t xml:space="preserve">. </w:t>
      </w:r>
      <w:r w:rsidR="00B83DF4" w:rsidRPr="00B83DF4">
        <w:rPr>
          <w:i/>
          <w:iCs/>
          <w:color w:val="FF0000"/>
        </w:rPr>
        <w:t>dubna</w:t>
      </w:r>
      <w:r w:rsidRPr="00B83DF4">
        <w:rPr>
          <w:i/>
          <w:iCs/>
          <w:color w:val="FF0000"/>
        </w:rPr>
        <w:t xml:space="preserve"> 202</w:t>
      </w:r>
      <w:r w:rsidR="00B83DF4" w:rsidRPr="00B83DF4">
        <w:rPr>
          <w:i/>
          <w:iCs/>
          <w:color w:val="FF0000"/>
        </w:rPr>
        <w:t>6</w:t>
      </w:r>
    </w:p>
    <w:p w14:paraId="760E4107" w14:textId="77777777" w:rsidR="007C1029" w:rsidRDefault="007C1029" w:rsidP="007C1029"/>
    <w:p w14:paraId="60A2167F" w14:textId="3D15A990" w:rsidR="007C1029" w:rsidRPr="007C1029" w:rsidRDefault="007C1029" w:rsidP="007C1029">
      <w:pPr>
        <w:pStyle w:val="Odstavecseseznamem"/>
        <w:numPr>
          <w:ilvl w:val="0"/>
          <w:numId w:val="1"/>
        </w:numPr>
        <w:ind w:left="284" w:hanging="284"/>
        <w:rPr>
          <w:b/>
          <w:bCs/>
        </w:rPr>
      </w:pPr>
      <w:r w:rsidRPr="007C1029">
        <w:rPr>
          <w:b/>
          <w:bCs/>
        </w:rPr>
        <w:t>Mám dotaz k části výzev, která se věnuje táborům.</w:t>
      </w:r>
    </w:p>
    <w:p w14:paraId="27ADC8F7" w14:textId="77777777" w:rsidR="007C1029" w:rsidRPr="007C1029" w:rsidRDefault="007C1029" w:rsidP="00303F85">
      <w:pPr>
        <w:ind w:left="360"/>
        <w:jc w:val="both"/>
        <w:rPr>
          <w:u w:val="single"/>
        </w:rPr>
      </w:pPr>
      <w:r w:rsidRPr="007C1029">
        <w:rPr>
          <w:u w:val="single"/>
        </w:rPr>
        <w:t>Ve výzvě na rok 2026 je toto:</w:t>
      </w:r>
    </w:p>
    <w:p w14:paraId="51036AF8" w14:textId="158680DD" w:rsidR="007C1029" w:rsidRPr="007C1029" w:rsidRDefault="007C1029" w:rsidP="00303F85">
      <w:pPr>
        <w:ind w:left="360"/>
        <w:jc w:val="both"/>
      </w:pPr>
      <w:r w:rsidRPr="007C1029">
        <w:t>Poskytnutí dotace NNO na tábory je podmíněno splněním kvalifikačního požadavku. Hlavní vedoucí dětských táborů musí být držiteli osvědčení o absolvování základního vzdělávacího kurzu nebo profesní kvalifikace Hlavní vedoucí zotavovacích akcí dětí a mládeže dle zákona č.</w:t>
      </w:r>
      <w:r w:rsidR="00303F85">
        <w:t> </w:t>
      </w:r>
      <w:r w:rsidRPr="007C1029">
        <w:t>179/2006 Sb., o ověřování a uznávání výsledků dalšího vzdělávání a o změně některých zákonů (zákon o uznávání výsledků dalšího vzdělávání), ve znění pozdějších předpisů.</w:t>
      </w:r>
    </w:p>
    <w:p w14:paraId="0B2B91A0" w14:textId="77777777" w:rsidR="007C1029" w:rsidRPr="007C1029" w:rsidRDefault="007C1029" w:rsidP="00303F85">
      <w:pPr>
        <w:ind w:left="360"/>
        <w:jc w:val="both"/>
      </w:pPr>
    </w:p>
    <w:p w14:paraId="217E5F53" w14:textId="77777777" w:rsidR="007C1029" w:rsidRPr="007C1029" w:rsidRDefault="007C1029" w:rsidP="00303F85">
      <w:pPr>
        <w:ind w:left="360"/>
        <w:jc w:val="both"/>
        <w:rPr>
          <w:u w:val="single"/>
        </w:rPr>
      </w:pPr>
      <w:r w:rsidRPr="007C1029">
        <w:rPr>
          <w:u w:val="single"/>
        </w:rPr>
        <w:t>V minulé výzvě na rok 2025 bylo toto:</w:t>
      </w:r>
    </w:p>
    <w:p w14:paraId="081BAF79" w14:textId="7B23352E" w:rsidR="007C1029" w:rsidRPr="007C1029" w:rsidRDefault="007C1029" w:rsidP="00303F85">
      <w:pPr>
        <w:ind w:left="360"/>
        <w:jc w:val="both"/>
      </w:pPr>
      <w:r w:rsidRPr="007C1029">
        <w:t>Poskytnutí dotace NNO na tábory je podmíněno splněním kvalifikačního požadavku. Hlavní vedoucí dětských táborů musí být držiteli osvědčení o absolvování základního vzdělávacího kurzu nebo profesní kvalifikace Hlavní vedoucí zotavovacích akcí dětí a mládeže dle zákona č.</w:t>
      </w:r>
      <w:r w:rsidR="00303F85">
        <w:t> </w:t>
      </w:r>
      <w:r w:rsidRPr="007C1029">
        <w:t>179/2006 Sb., o ověřování a uznávání výsledků dalšího vzdělávání a o změně některých zákonů (zákon o uznávání výsledků dalšího vzdělávání), ve znění pozdějších předpisů.</w:t>
      </w:r>
    </w:p>
    <w:p w14:paraId="69230D61" w14:textId="77777777" w:rsidR="007C1029" w:rsidRPr="007C1029" w:rsidRDefault="007C1029" w:rsidP="00303F85">
      <w:pPr>
        <w:ind w:left="360"/>
        <w:jc w:val="both"/>
        <w:rPr>
          <w:color w:val="FF0000"/>
        </w:rPr>
      </w:pPr>
      <w:r w:rsidRPr="007C1029">
        <w:rPr>
          <w:b/>
          <w:bCs/>
          <w:color w:val="FF0000"/>
        </w:rPr>
        <w:t>Hlavní vedoucí dětských táborů získává kvalifikaci:</w:t>
      </w:r>
    </w:p>
    <w:p w14:paraId="00C53CAD" w14:textId="77777777" w:rsidR="007C1029" w:rsidRPr="007C1029" w:rsidRDefault="007C1029" w:rsidP="00303F85">
      <w:pPr>
        <w:ind w:left="360"/>
        <w:jc w:val="both"/>
        <w:rPr>
          <w:color w:val="FF0000"/>
        </w:rPr>
      </w:pPr>
      <w:r w:rsidRPr="007C1029">
        <w:rPr>
          <w:b/>
          <w:bCs/>
          <w:color w:val="FF0000"/>
        </w:rPr>
        <w:t>a) absolvováním vzdělávacího kurzu u organizace certifikované MŠMT nebo</w:t>
      </w:r>
    </w:p>
    <w:p w14:paraId="29B564AF" w14:textId="77777777" w:rsidR="007C1029" w:rsidRPr="007C1029" w:rsidRDefault="007C1029" w:rsidP="00303F85">
      <w:pPr>
        <w:ind w:left="360"/>
        <w:jc w:val="both"/>
        <w:rPr>
          <w:color w:val="FF0000"/>
        </w:rPr>
      </w:pPr>
      <w:r w:rsidRPr="007C1029">
        <w:rPr>
          <w:b/>
          <w:bCs/>
          <w:color w:val="FF0000"/>
        </w:rPr>
        <w:t>b) získáním profesní kvalifikace Hlavní vedoucí zotavovací akce dětí a mládeže uvedené v Národní soustavě kvalifikací.</w:t>
      </w:r>
    </w:p>
    <w:p w14:paraId="071EBBB3" w14:textId="77777777" w:rsidR="007C1029" w:rsidRPr="007C1029" w:rsidRDefault="007C1029" w:rsidP="00303F85">
      <w:pPr>
        <w:ind w:left="360"/>
        <w:jc w:val="both"/>
      </w:pPr>
      <w:r w:rsidRPr="007C1029">
        <w:t xml:space="preserve">V té výzvě na rok 2026 chybí ty odrážky, které jsem označil červeně. Trochu nás to znejistělo, zda někde nově definujete, </w:t>
      </w:r>
      <w:r w:rsidRPr="007C1029">
        <w:rPr>
          <w:b/>
          <w:bCs/>
        </w:rPr>
        <w:t>kde vedoucí může absolvovat ten kurz</w:t>
      </w:r>
      <w:r w:rsidRPr="007C1029">
        <w:t>, resp. kurzy "držiteli osvědčení o absolvování základního vzdělávacího kurzu nebo profesní kvalifikace Hlavní vedoucí zotavovacích akcí dětí a mládeže". Jde nám o ten pojem "základního vzdělávacího kurzu". </w:t>
      </w:r>
    </w:p>
    <w:p w14:paraId="39EF44EF" w14:textId="5CFCECDD" w:rsidR="007C1029" w:rsidRDefault="007C1029" w:rsidP="00303F85">
      <w:pPr>
        <w:ind w:left="360"/>
        <w:jc w:val="both"/>
      </w:pPr>
      <w:r w:rsidRPr="007C1029">
        <w:t xml:space="preserve">Tím, že nově není uvedeno, kde si účastník může tu kvalifikaci získat, tedy absolvovat ten základní vzdělávací kurz, nejsme si jistí, zda to může udělat třeba i v neakreditovaném kurzu, který si </w:t>
      </w:r>
      <w:r w:rsidR="00DF20E7">
        <w:t>NNO</w:t>
      </w:r>
      <w:r w:rsidRPr="007C1029">
        <w:t xml:space="preserve"> organizují apod. Tady bychom potřebovali nějaký výklad, aby v tom nebyl později nějaký rozpor. Anebo zda stále platí to osvědčení vedoucím, kteří ho kdysi získali, když ještě MŠMT (resp. odbor pro mládež) vydávalo ta osvědčení pro organizaci vzdělávacích kurzů HVT.</w:t>
      </w:r>
    </w:p>
    <w:p w14:paraId="7E84D6AA" w14:textId="2A44E2F8" w:rsidR="007C1029" w:rsidRDefault="007C1029" w:rsidP="00303F85">
      <w:pPr>
        <w:ind w:left="360"/>
        <w:jc w:val="both"/>
        <w:rPr>
          <w:b/>
          <w:bCs/>
          <w:u w:val="single"/>
        </w:rPr>
      </w:pPr>
      <w:r w:rsidRPr="00B35202">
        <w:rPr>
          <w:b/>
          <w:bCs/>
          <w:u w:val="single"/>
        </w:rPr>
        <w:lastRenderedPageBreak/>
        <w:t>Odpověď MŠMT:</w:t>
      </w:r>
    </w:p>
    <w:p w14:paraId="74F6C870" w14:textId="77777777" w:rsidR="00B35202" w:rsidRPr="00B35202" w:rsidRDefault="00B35202" w:rsidP="00303F85">
      <w:pPr>
        <w:ind w:left="360"/>
        <w:jc w:val="both"/>
      </w:pPr>
      <w:r w:rsidRPr="00B35202">
        <w:t>Potvrzujeme, že ve výzvě pro rok 2026 došlo ke zjednodušení formulace požadavku, nicméně jeho obsahová podstata zůstává nezměněna. Hlavní vedoucí dětských táborů musí být i nadále:</w:t>
      </w:r>
    </w:p>
    <w:p w14:paraId="3A745BB0" w14:textId="77777777" w:rsidR="00B35202" w:rsidRPr="00B35202" w:rsidRDefault="00B35202" w:rsidP="00303F85">
      <w:pPr>
        <w:numPr>
          <w:ilvl w:val="0"/>
          <w:numId w:val="3"/>
        </w:numPr>
        <w:jc w:val="both"/>
      </w:pPr>
      <w:r w:rsidRPr="00B35202">
        <w:t>Držiteli osvědčení o absolvování základního vzdělávacího kurzu, který byl realizován organizací certifikovanou Ministerstvem školství, mládeže a tělovýchovy (možné dříve), nebo</w:t>
      </w:r>
    </w:p>
    <w:p w14:paraId="1CEE311A" w14:textId="10BC2804" w:rsidR="00B35202" w:rsidRPr="00B35202" w:rsidRDefault="00B35202" w:rsidP="00303F85">
      <w:pPr>
        <w:numPr>
          <w:ilvl w:val="0"/>
          <w:numId w:val="3"/>
        </w:numPr>
        <w:jc w:val="both"/>
      </w:pPr>
      <w:r w:rsidRPr="00B35202">
        <w:t>Držiteli profesní kvalifikace „Hlavní vedoucí zotavovací akce dětí a mládeže“ dle zákona č.</w:t>
      </w:r>
      <w:r w:rsidR="00303F85">
        <w:t> </w:t>
      </w:r>
      <w:r w:rsidRPr="00B35202">
        <w:t xml:space="preserve"> 179/2006 Sb., o uznávání výsledků dalšího vzdělávání.</w:t>
      </w:r>
    </w:p>
    <w:p w14:paraId="78DE74D4" w14:textId="77777777" w:rsidR="00B35202" w:rsidRPr="00B35202" w:rsidRDefault="00B35202" w:rsidP="00303F85">
      <w:pPr>
        <w:ind w:left="360"/>
        <w:jc w:val="both"/>
      </w:pPr>
      <w:r w:rsidRPr="00B35202">
        <w:t>Změna ve formulaci výzvy nemění skutečnost, že základní vzdělávací kurz musel být realizován certifikovanou organizací, která měla od MŠMT oprávnění. Kurzy pořádané necertifikovanými subjekty (např. interní vzdělávání organizací) nejsou pro účely výzvy uznávány.</w:t>
      </w:r>
    </w:p>
    <w:p w14:paraId="0934E6AD" w14:textId="77777777" w:rsidR="00B35202" w:rsidRPr="00B35202" w:rsidRDefault="00B35202" w:rsidP="00303F85">
      <w:pPr>
        <w:ind w:left="360"/>
        <w:jc w:val="both"/>
      </w:pPr>
      <w:r w:rsidRPr="00B35202">
        <w:t>Dále potvrzujeme, že osvědčení získaná v minulosti, například v době, kdy MŠMT samo certifikovalo vzdělávací kurzy pro hlavní vedoucí táborů (HVDT), zůstávají nadále pro vedoucí platná a není nutné je obnovovat.</w:t>
      </w:r>
    </w:p>
    <w:p w14:paraId="58F6D8CC" w14:textId="77777777" w:rsidR="00B35202" w:rsidRPr="00B35202" w:rsidRDefault="00B35202" w:rsidP="00303F85">
      <w:pPr>
        <w:ind w:left="360"/>
        <w:jc w:val="both"/>
      </w:pPr>
    </w:p>
    <w:p w14:paraId="7FFB5DA9" w14:textId="41D070B2" w:rsidR="00884F6E" w:rsidRDefault="00B83DF4" w:rsidP="00303F85">
      <w:pPr>
        <w:pStyle w:val="Odstavecseseznamem"/>
        <w:numPr>
          <w:ilvl w:val="0"/>
          <w:numId w:val="1"/>
        </w:numPr>
        <w:ind w:left="284" w:hanging="284"/>
        <w:jc w:val="both"/>
        <w:rPr>
          <w:b/>
          <w:bCs/>
        </w:rPr>
      </w:pPr>
      <w:r w:rsidRPr="00B83DF4">
        <w:rPr>
          <w:b/>
          <w:bCs/>
        </w:rPr>
        <w:t xml:space="preserve">Chtěla bych se zeptat na termíny </w:t>
      </w:r>
      <w:proofErr w:type="spellStart"/>
      <w:r w:rsidRPr="00B83DF4">
        <w:rPr>
          <w:b/>
          <w:bCs/>
        </w:rPr>
        <w:t>dotovatelných</w:t>
      </w:r>
      <w:proofErr w:type="spellEnd"/>
      <w:r w:rsidRPr="00B83DF4">
        <w:rPr>
          <w:b/>
          <w:bCs/>
        </w:rPr>
        <w:t xml:space="preserve"> letních táborů: Ve Výzvě je v bodě 6.2 f) napsáno, že lze dotovat tábory, které probíhají v období od 30. 6. 2026 do 31. 8. 2026, jejichž délka trvání je min. 7 dnů. Jak to bude v souvislosti s prodloužením letních prázdnin na základě rozhodnutí ministra školství?</w:t>
      </w:r>
    </w:p>
    <w:p w14:paraId="5757597F" w14:textId="77777777" w:rsidR="00B35202" w:rsidRDefault="00B35202" w:rsidP="00303F85">
      <w:pPr>
        <w:jc w:val="both"/>
        <w:rPr>
          <w:b/>
          <w:bCs/>
        </w:rPr>
      </w:pPr>
    </w:p>
    <w:p w14:paraId="4DE24667" w14:textId="77777777" w:rsidR="00B35202" w:rsidRDefault="00B35202" w:rsidP="00303F85">
      <w:pPr>
        <w:ind w:firstLine="284"/>
        <w:jc w:val="both"/>
        <w:rPr>
          <w:b/>
          <w:bCs/>
          <w:u w:val="single"/>
        </w:rPr>
      </w:pPr>
      <w:r w:rsidRPr="00B35202">
        <w:rPr>
          <w:b/>
          <w:bCs/>
          <w:u w:val="single"/>
        </w:rPr>
        <w:t>Odpověď MŠMT:</w:t>
      </w:r>
    </w:p>
    <w:p w14:paraId="37AB9E3C" w14:textId="2E414D68" w:rsidR="00B35202" w:rsidRDefault="00B83DF4" w:rsidP="00303F85">
      <w:pPr>
        <w:ind w:left="284"/>
        <w:jc w:val="both"/>
      </w:pPr>
      <w:r w:rsidRPr="00B83DF4">
        <w:t xml:space="preserve">Na základě rozhodnutí ministra školství Roberta </w:t>
      </w:r>
      <w:proofErr w:type="spellStart"/>
      <w:r w:rsidRPr="00B83DF4">
        <w:t>Plagy</w:t>
      </w:r>
      <w:proofErr w:type="spellEnd"/>
      <w:r w:rsidRPr="00B83DF4">
        <w:t xml:space="preserve"> skončí letos výuka v základních a středních školách a konzervatořích již v pátek 26. června 2026 (viz </w:t>
      </w:r>
      <w:hyperlink r:id="rId5" w:history="1">
        <w:r w:rsidRPr="00B83DF4">
          <w:rPr>
            <w:rStyle w:val="Hypertextovodkaz"/>
          </w:rPr>
          <w:t>https://msmt.gov.cz/vyuka-ve-skolach-letos-skonci-drive</w:t>
        </w:r>
      </w:hyperlink>
      <w:r w:rsidRPr="00B83DF4">
        <w:t>). Toto rozhodnutí ministra bylo zohledněno i ve výzvách PRÁCE S DĚTMI A MLÁDEŽÍ. Podpora letních táborů je tedy možná již od 26.6.2026 oproti uvedení ve výzvě (čl. 6 odst. 6.2 písm. f), kde je uveden termín od 30.6.2026.</w:t>
      </w:r>
    </w:p>
    <w:p w14:paraId="3437BEDC" w14:textId="77777777" w:rsidR="00B83DF4" w:rsidRPr="00B83DF4" w:rsidRDefault="00B83DF4" w:rsidP="00303F85">
      <w:pPr>
        <w:ind w:left="284"/>
        <w:jc w:val="both"/>
      </w:pPr>
    </w:p>
    <w:p w14:paraId="7BFDC384" w14:textId="29E17CE8" w:rsidR="00DF20E7" w:rsidRPr="00DF20E7" w:rsidRDefault="00DF20E7" w:rsidP="00303F85">
      <w:pPr>
        <w:pStyle w:val="Odstavecseseznamem"/>
        <w:numPr>
          <w:ilvl w:val="0"/>
          <w:numId w:val="1"/>
        </w:numPr>
        <w:ind w:left="360" w:hanging="284"/>
        <w:jc w:val="both"/>
        <w:rPr>
          <w:b/>
          <w:bCs/>
        </w:rPr>
      </w:pPr>
      <w:r w:rsidRPr="00DF20E7">
        <w:rPr>
          <w:b/>
          <w:bCs/>
        </w:rPr>
        <w:t xml:space="preserve">Obracím se na Vás s dotazem týkajícím se výzvy </w:t>
      </w:r>
      <w:r w:rsidRPr="00DF20E7">
        <w:rPr>
          <w:b/>
          <w:bCs/>
          <w:i/>
          <w:iCs/>
        </w:rPr>
        <w:t>„Práce s dětmi a mládeží pro projekty nestátních neziskových organizací s nadregionálním dopadem“</w:t>
      </w:r>
      <w:r w:rsidRPr="00DF20E7">
        <w:rPr>
          <w:b/>
          <w:bCs/>
        </w:rPr>
        <w:t xml:space="preserve">. Ráda bych se informovala, zda může být do žádosti v rámci této výzvy zahrnuto také vzdělávání pedagogických pracovníků zaměřené na témata spojená s prací s dětmi a mládeží, jako například psychická hygiena, </w:t>
      </w:r>
      <w:proofErr w:type="spellStart"/>
      <w:r w:rsidRPr="00DF20E7">
        <w:rPr>
          <w:b/>
          <w:bCs/>
        </w:rPr>
        <w:t>wellbeing</w:t>
      </w:r>
      <w:proofErr w:type="spellEnd"/>
      <w:r w:rsidRPr="00DF20E7">
        <w:rPr>
          <w:b/>
          <w:bCs/>
        </w:rPr>
        <w:t>, práce s kolektivem či další oblasti rozvoje osobnostních a sociálních kompetencí.</w:t>
      </w:r>
    </w:p>
    <w:p w14:paraId="2E91E006" w14:textId="77777777" w:rsidR="00B83DF4" w:rsidRDefault="00B83DF4" w:rsidP="00303F85">
      <w:pPr>
        <w:ind w:left="360"/>
        <w:jc w:val="both"/>
      </w:pPr>
    </w:p>
    <w:p w14:paraId="755F59F8" w14:textId="77777777" w:rsidR="0004271B" w:rsidRDefault="0004271B" w:rsidP="00303F85">
      <w:pPr>
        <w:ind w:left="360"/>
        <w:jc w:val="both"/>
      </w:pPr>
    </w:p>
    <w:p w14:paraId="60170FD6" w14:textId="77777777" w:rsidR="0004271B" w:rsidRDefault="0004271B" w:rsidP="00303F85">
      <w:pPr>
        <w:ind w:left="360"/>
        <w:jc w:val="both"/>
      </w:pPr>
    </w:p>
    <w:p w14:paraId="5316372A" w14:textId="77777777" w:rsidR="0004271B" w:rsidRDefault="0004271B" w:rsidP="00303F85">
      <w:pPr>
        <w:ind w:left="360"/>
        <w:jc w:val="both"/>
      </w:pPr>
    </w:p>
    <w:p w14:paraId="43234B19" w14:textId="77777777" w:rsidR="00DF20E7" w:rsidRDefault="00DF20E7" w:rsidP="00303F85">
      <w:pPr>
        <w:ind w:firstLine="284"/>
        <w:jc w:val="both"/>
        <w:rPr>
          <w:b/>
          <w:bCs/>
          <w:u w:val="single"/>
        </w:rPr>
      </w:pPr>
      <w:r w:rsidRPr="00B35202">
        <w:rPr>
          <w:b/>
          <w:bCs/>
          <w:u w:val="single"/>
        </w:rPr>
        <w:lastRenderedPageBreak/>
        <w:t>Odpověď MŠMT:</w:t>
      </w:r>
    </w:p>
    <w:p w14:paraId="34F20861" w14:textId="6426F443" w:rsidR="00DF20E7" w:rsidRPr="00DF20E7" w:rsidRDefault="00DF20E7" w:rsidP="00303F85">
      <w:pPr>
        <w:ind w:left="284"/>
        <w:jc w:val="both"/>
      </w:pPr>
      <w:r w:rsidRPr="00DF20E7">
        <w:t xml:space="preserve">V rámci výzvy lze vzdělávání zařadit například do Specifické aktivity </w:t>
      </w:r>
      <w:r w:rsidRPr="00DF20E7">
        <w:rPr>
          <w:i/>
          <w:iCs/>
        </w:rPr>
        <w:t xml:space="preserve">„Rozvoj kompetencí </w:t>
      </w:r>
      <w:proofErr w:type="gramStart"/>
      <w:r w:rsidRPr="00DF20E7">
        <w:rPr>
          <w:i/>
          <w:iCs/>
        </w:rPr>
        <w:t>k</w:t>
      </w:r>
      <w:r w:rsidR="00303F85">
        <w:rPr>
          <w:i/>
          <w:iCs/>
        </w:rPr>
        <w:t> </w:t>
      </w:r>
      <w:r w:rsidRPr="00DF20E7">
        <w:rPr>
          <w:i/>
          <w:iCs/>
        </w:rPr>
        <w:t xml:space="preserve"> vedení</w:t>
      </w:r>
      <w:proofErr w:type="gramEnd"/>
      <w:r w:rsidRPr="00DF20E7">
        <w:rPr>
          <w:i/>
          <w:iCs/>
        </w:rPr>
        <w:t xml:space="preserve"> a týmové spolupráci“</w:t>
      </w:r>
      <w:r w:rsidRPr="00DF20E7">
        <w:t xml:space="preserve">, pokud se jedná o rozvoj kompetencí pracovníků, kteří se přímo podílejí na práci s dětmi a mládeží </w:t>
      </w:r>
      <w:r w:rsidRPr="00DF20E7">
        <w:rPr>
          <w:u w:val="single"/>
        </w:rPr>
        <w:t>v jejich volném čase</w:t>
      </w:r>
      <w:r w:rsidRPr="00DF20E7">
        <w:t xml:space="preserve"> – typicky vzdělávání oddílových vedoucích, dobrovolníků apod.</w:t>
      </w:r>
    </w:p>
    <w:p w14:paraId="17917ADE" w14:textId="443853C5" w:rsidR="00DF20E7" w:rsidRPr="00B35202" w:rsidRDefault="00DF20E7" w:rsidP="00303F85">
      <w:pPr>
        <w:ind w:left="284"/>
        <w:jc w:val="both"/>
      </w:pPr>
      <w:r w:rsidRPr="00DF20E7">
        <w:t>Naopak vzdělávání pedagogických pracovníků působících v rámci formálního vzdělávání není předmětem podpory této výzvy.</w:t>
      </w:r>
    </w:p>
    <w:sectPr w:rsidR="00DF20E7" w:rsidRPr="00B35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0DB"/>
    <w:multiLevelType w:val="hybridMultilevel"/>
    <w:tmpl w:val="535EC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141479"/>
    <w:multiLevelType w:val="multilevel"/>
    <w:tmpl w:val="2EBAE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C065C5"/>
    <w:multiLevelType w:val="multilevel"/>
    <w:tmpl w:val="091E2E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8312784">
    <w:abstractNumId w:val="0"/>
  </w:num>
  <w:num w:numId="2" w16cid:durableId="175921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8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29"/>
    <w:rsid w:val="0004271B"/>
    <w:rsid w:val="002F3B35"/>
    <w:rsid w:val="00303F85"/>
    <w:rsid w:val="004C7957"/>
    <w:rsid w:val="005714C6"/>
    <w:rsid w:val="00576BD4"/>
    <w:rsid w:val="007440E0"/>
    <w:rsid w:val="007C1029"/>
    <w:rsid w:val="008046CF"/>
    <w:rsid w:val="00870437"/>
    <w:rsid w:val="00884F6E"/>
    <w:rsid w:val="00A4617E"/>
    <w:rsid w:val="00B35202"/>
    <w:rsid w:val="00B83DF4"/>
    <w:rsid w:val="00CF1195"/>
    <w:rsid w:val="00CF6B40"/>
    <w:rsid w:val="00D64257"/>
    <w:rsid w:val="00DF2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4145"/>
  <w15:chartTrackingRefBased/>
  <w15:docId w15:val="{09661191-AA25-4ECE-B6EE-76E556B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C1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1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C10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10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10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10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10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10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10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10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10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10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10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10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1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1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1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1029"/>
    <w:rPr>
      <w:rFonts w:eastAsiaTheme="majorEastAsia" w:cstheme="majorBidi"/>
      <w:color w:val="272727" w:themeColor="text1" w:themeTint="D8"/>
    </w:rPr>
  </w:style>
  <w:style w:type="paragraph" w:styleId="Nzev">
    <w:name w:val="Title"/>
    <w:basedOn w:val="Normln"/>
    <w:next w:val="Normln"/>
    <w:link w:val="NzevChar"/>
    <w:uiPriority w:val="10"/>
    <w:qFormat/>
    <w:rsid w:val="007C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1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1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1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1029"/>
    <w:pPr>
      <w:spacing w:before="160"/>
      <w:jc w:val="center"/>
    </w:pPr>
    <w:rPr>
      <w:i/>
      <w:iCs/>
      <w:color w:val="404040" w:themeColor="text1" w:themeTint="BF"/>
    </w:rPr>
  </w:style>
  <w:style w:type="character" w:customStyle="1" w:styleId="CittChar">
    <w:name w:val="Citát Char"/>
    <w:basedOn w:val="Standardnpsmoodstavce"/>
    <w:link w:val="Citt"/>
    <w:uiPriority w:val="29"/>
    <w:rsid w:val="007C1029"/>
    <w:rPr>
      <w:i/>
      <w:iCs/>
      <w:color w:val="404040" w:themeColor="text1" w:themeTint="BF"/>
    </w:rPr>
  </w:style>
  <w:style w:type="paragraph" w:styleId="Odstavecseseznamem">
    <w:name w:val="List Paragraph"/>
    <w:basedOn w:val="Normln"/>
    <w:uiPriority w:val="34"/>
    <w:qFormat/>
    <w:rsid w:val="007C1029"/>
    <w:pPr>
      <w:ind w:left="720"/>
      <w:contextualSpacing/>
    </w:pPr>
  </w:style>
  <w:style w:type="character" w:styleId="Zdraznnintenzivn">
    <w:name w:val="Intense Emphasis"/>
    <w:basedOn w:val="Standardnpsmoodstavce"/>
    <w:uiPriority w:val="21"/>
    <w:qFormat/>
    <w:rsid w:val="007C1029"/>
    <w:rPr>
      <w:i/>
      <w:iCs/>
      <w:color w:val="0F4761" w:themeColor="accent1" w:themeShade="BF"/>
    </w:rPr>
  </w:style>
  <w:style w:type="paragraph" w:styleId="Vrazncitt">
    <w:name w:val="Intense Quote"/>
    <w:basedOn w:val="Normln"/>
    <w:next w:val="Normln"/>
    <w:link w:val="VrazncittChar"/>
    <w:uiPriority w:val="30"/>
    <w:qFormat/>
    <w:rsid w:val="007C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1029"/>
    <w:rPr>
      <w:i/>
      <w:iCs/>
      <w:color w:val="0F4761" w:themeColor="accent1" w:themeShade="BF"/>
    </w:rPr>
  </w:style>
  <w:style w:type="character" w:styleId="Odkazintenzivn">
    <w:name w:val="Intense Reference"/>
    <w:basedOn w:val="Standardnpsmoodstavce"/>
    <w:uiPriority w:val="32"/>
    <w:qFormat/>
    <w:rsid w:val="007C1029"/>
    <w:rPr>
      <w:b/>
      <w:bCs/>
      <w:smallCaps/>
      <w:color w:val="0F4761" w:themeColor="accent1" w:themeShade="BF"/>
      <w:spacing w:val="5"/>
    </w:rPr>
  </w:style>
  <w:style w:type="character" w:styleId="Hypertextovodkaz">
    <w:name w:val="Hyperlink"/>
    <w:basedOn w:val="Standardnpsmoodstavce"/>
    <w:uiPriority w:val="99"/>
    <w:unhideWhenUsed/>
    <w:rsid w:val="00B83DF4"/>
    <w:rPr>
      <w:color w:val="467886" w:themeColor="hyperlink"/>
      <w:u w:val="single"/>
    </w:rPr>
  </w:style>
  <w:style w:type="character" w:styleId="Nevyeenzmnka">
    <w:name w:val="Unresolved Mention"/>
    <w:basedOn w:val="Standardnpsmoodstavce"/>
    <w:uiPriority w:val="99"/>
    <w:semiHidden/>
    <w:unhideWhenUsed/>
    <w:rsid w:val="00B83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510142765">
      <w:bodyDiv w:val="1"/>
      <w:marLeft w:val="0"/>
      <w:marRight w:val="0"/>
      <w:marTop w:val="0"/>
      <w:marBottom w:val="0"/>
      <w:divBdr>
        <w:top w:val="none" w:sz="0" w:space="0" w:color="auto"/>
        <w:left w:val="none" w:sz="0" w:space="0" w:color="auto"/>
        <w:bottom w:val="none" w:sz="0" w:space="0" w:color="auto"/>
        <w:right w:val="none" w:sz="0" w:space="0" w:color="auto"/>
      </w:divBdr>
    </w:div>
    <w:div w:id="720134987">
      <w:bodyDiv w:val="1"/>
      <w:marLeft w:val="0"/>
      <w:marRight w:val="0"/>
      <w:marTop w:val="0"/>
      <w:marBottom w:val="0"/>
      <w:divBdr>
        <w:top w:val="none" w:sz="0" w:space="0" w:color="auto"/>
        <w:left w:val="none" w:sz="0" w:space="0" w:color="auto"/>
        <w:bottom w:val="none" w:sz="0" w:space="0" w:color="auto"/>
        <w:right w:val="none" w:sz="0" w:space="0" w:color="auto"/>
      </w:divBdr>
    </w:div>
    <w:div w:id="1092165975">
      <w:bodyDiv w:val="1"/>
      <w:marLeft w:val="0"/>
      <w:marRight w:val="0"/>
      <w:marTop w:val="0"/>
      <w:marBottom w:val="0"/>
      <w:divBdr>
        <w:top w:val="none" w:sz="0" w:space="0" w:color="auto"/>
        <w:left w:val="none" w:sz="0" w:space="0" w:color="auto"/>
        <w:bottom w:val="none" w:sz="0" w:space="0" w:color="auto"/>
        <w:right w:val="none" w:sz="0" w:space="0" w:color="auto"/>
      </w:divBdr>
    </w:div>
    <w:div w:id="1167280961">
      <w:bodyDiv w:val="1"/>
      <w:marLeft w:val="0"/>
      <w:marRight w:val="0"/>
      <w:marTop w:val="0"/>
      <w:marBottom w:val="0"/>
      <w:divBdr>
        <w:top w:val="none" w:sz="0" w:space="0" w:color="auto"/>
        <w:left w:val="none" w:sz="0" w:space="0" w:color="auto"/>
        <w:bottom w:val="none" w:sz="0" w:space="0" w:color="auto"/>
        <w:right w:val="none" w:sz="0" w:space="0" w:color="auto"/>
      </w:divBdr>
    </w:div>
    <w:div w:id="1328364684">
      <w:bodyDiv w:val="1"/>
      <w:marLeft w:val="0"/>
      <w:marRight w:val="0"/>
      <w:marTop w:val="0"/>
      <w:marBottom w:val="0"/>
      <w:divBdr>
        <w:top w:val="none" w:sz="0" w:space="0" w:color="auto"/>
        <w:left w:val="none" w:sz="0" w:space="0" w:color="auto"/>
        <w:bottom w:val="none" w:sz="0" w:space="0" w:color="auto"/>
        <w:right w:val="none" w:sz="0" w:space="0" w:color="auto"/>
      </w:divBdr>
    </w:div>
    <w:div w:id="1648705981">
      <w:bodyDiv w:val="1"/>
      <w:marLeft w:val="0"/>
      <w:marRight w:val="0"/>
      <w:marTop w:val="0"/>
      <w:marBottom w:val="0"/>
      <w:divBdr>
        <w:top w:val="none" w:sz="0" w:space="0" w:color="auto"/>
        <w:left w:val="none" w:sz="0" w:space="0" w:color="auto"/>
        <w:bottom w:val="none" w:sz="0" w:space="0" w:color="auto"/>
        <w:right w:val="none" w:sz="0" w:space="0" w:color="auto"/>
      </w:divBdr>
    </w:div>
    <w:div w:id="1712336816">
      <w:bodyDiv w:val="1"/>
      <w:marLeft w:val="0"/>
      <w:marRight w:val="0"/>
      <w:marTop w:val="0"/>
      <w:marBottom w:val="0"/>
      <w:divBdr>
        <w:top w:val="none" w:sz="0" w:space="0" w:color="auto"/>
        <w:left w:val="none" w:sz="0" w:space="0" w:color="auto"/>
        <w:bottom w:val="none" w:sz="0" w:space="0" w:color="auto"/>
        <w:right w:val="none" w:sz="0" w:space="0" w:color="auto"/>
      </w:divBdr>
    </w:div>
    <w:div w:id="1799493805">
      <w:bodyDiv w:val="1"/>
      <w:marLeft w:val="0"/>
      <w:marRight w:val="0"/>
      <w:marTop w:val="0"/>
      <w:marBottom w:val="0"/>
      <w:divBdr>
        <w:top w:val="none" w:sz="0" w:space="0" w:color="auto"/>
        <w:left w:val="none" w:sz="0" w:space="0" w:color="auto"/>
        <w:bottom w:val="none" w:sz="0" w:space="0" w:color="auto"/>
        <w:right w:val="none" w:sz="0" w:space="0" w:color="auto"/>
      </w:divBdr>
    </w:div>
    <w:div w:id="19298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mt.gov.cz/vyuka-ve-skolach-letos-skonci-driv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798</Words>
  <Characters>4710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Häcklová Jana</dc:creator>
  <cp:keywords/>
  <dc:description/>
  <cp:lastModifiedBy>Häcklová Jana</cp:lastModifiedBy>
  <cp:revision>3</cp:revision>
  <dcterms:created xsi:type="dcterms:W3CDTF">2026-04-23T08:43:00Z</dcterms:created>
  <dcterms:modified xsi:type="dcterms:W3CDTF">2026-04-23T08:44:00Z</dcterms:modified>
</cp:coreProperties>
</file>