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35693" w14:textId="77777777" w:rsidR="00A77B3E" w:rsidRDefault="00A77B3E"/>
    <w:p w14:paraId="255D0279" w14:textId="77777777" w:rsidR="00A77B3E" w:rsidRDefault="00A77B3E">
      <w:pPr>
        <w:pStyle w:val="1"/>
      </w:pPr>
    </w:p>
    <w:p w14:paraId="7C3490DA" w14:textId="77777777" w:rsidR="00A77B3E" w:rsidRDefault="00A77B3E">
      <w:pPr>
        <w:pStyle w:val="1"/>
      </w:pPr>
    </w:p>
    <w:p w14:paraId="07A6048B" w14:textId="3474E424" w:rsidR="00A77B3E" w:rsidRDefault="0010218A">
      <w:pPr>
        <w:pStyle w:val="2"/>
      </w:pPr>
      <w:r>
        <w:t>200</w:t>
      </w:r>
      <w:r w:rsidR="004E767F">
        <w:t xml:space="preserve"> </w:t>
      </w:r>
    </w:p>
    <w:p w14:paraId="0708FA07" w14:textId="77777777" w:rsidR="00A77B3E" w:rsidRDefault="0010218A">
      <w:pPr>
        <w:pStyle w:val="3"/>
      </w:pPr>
      <w:r>
        <w:t>DECREE</w:t>
      </w:r>
    </w:p>
    <w:p w14:paraId="7E6C947D" w14:textId="77777777" w:rsidR="00A77B3E" w:rsidRDefault="0010218A">
      <w:pPr>
        <w:pStyle w:val="4"/>
      </w:pPr>
      <w:r>
        <w:t>of 19 June 2025</w:t>
      </w:r>
    </w:p>
    <w:p w14:paraId="26897739" w14:textId="77777777" w:rsidR="00A77B3E" w:rsidRDefault="0010218A">
      <w:pPr>
        <w:pStyle w:val="5"/>
      </w:pPr>
      <w:r>
        <w:t>on the Qualifications Framework for Higher Education</w:t>
      </w:r>
    </w:p>
    <w:p w14:paraId="02AF8A45" w14:textId="77777777" w:rsidR="00A77B3E" w:rsidRDefault="0010218A">
      <w:pPr>
        <w:pStyle w:val="6"/>
      </w:pPr>
      <w:r>
        <w:t>The Ministry of Education, Youth and Sports, pursuant to Section 87(1)(g)(1) of Act No. 111/1998 Sb., on Higher Education Institutions and on Amendments and Supplements to Some Other Acts (the Higher Education Act), as amended by Act No. 137/2016 Sb. and Act No. 52/2025 Sb., lays down the following provisions:</w:t>
      </w:r>
    </w:p>
    <w:p w14:paraId="23583443" w14:textId="77777777" w:rsidR="00A77B3E" w:rsidRDefault="00A77B3E">
      <w:pPr>
        <w:pStyle w:val="1"/>
      </w:pPr>
    </w:p>
    <w:p w14:paraId="09D9B4DA" w14:textId="77777777" w:rsidR="00A77B3E" w:rsidRDefault="0010218A">
      <w:pPr>
        <w:pStyle w:val="7"/>
      </w:pPr>
      <w:r>
        <w:t>Section 1</w:t>
      </w:r>
    </w:p>
    <w:p w14:paraId="7FFBD6C0" w14:textId="77777777" w:rsidR="00A77B3E" w:rsidRDefault="0010218A">
      <w:pPr>
        <w:pStyle w:val="8"/>
      </w:pPr>
      <w:r>
        <w:t>Qualifications Framework for Higher Education</w:t>
      </w:r>
    </w:p>
    <w:p w14:paraId="7B6A6F7E" w14:textId="77777777" w:rsidR="00A77B3E" w:rsidRDefault="0010218A">
      <w:pPr>
        <w:pStyle w:val="9"/>
      </w:pPr>
      <w:r>
        <w:t>The Qualifications Framework for Higher Education is set out in the Annex to this Decree.</w:t>
      </w:r>
    </w:p>
    <w:p w14:paraId="3D443CC5" w14:textId="77777777" w:rsidR="00A77B3E" w:rsidRDefault="00A77B3E">
      <w:pPr>
        <w:pStyle w:val="9"/>
      </w:pPr>
    </w:p>
    <w:p w14:paraId="7DDC1F1D" w14:textId="77777777" w:rsidR="00A77B3E" w:rsidRDefault="0010218A">
      <w:pPr>
        <w:pStyle w:val="10"/>
      </w:pPr>
      <w:r>
        <w:t>Section 2</w:t>
      </w:r>
    </w:p>
    <w:p w14:paraId="00A29BAB" w14:textId="77777777" w:rsidR="00A77B3E" w:rsidRDefault="0010218A">
      <w:pPr>
        <w:pStyle w:val="8"/>
      </w:pPr>
      <w:r>
        <w:t>Entry into Effect</w:t>
      </w:r>
    </w:p>
    <w:p w14:paraId="793A939C" w14:textId="77777777" w:rsidR="00A77B3E" w:rsidRDefault="00A77B3E">
      <w:pPr>
        <w:pStyle w:val="11"/>
      </w:pPr>
    </w:p>
    <w:p w14:paraId="573DB31E" w14:textId="77777777" w:rsidR="00A77B3E" w:rsidRDefault="0010218A">
      <w:pPr>
        <w:pStyle w:val="12"/>
      </w:pPr>
      <w:r>
        <w:t>This Decree shall enter into effect on the day following its publication.</w:t>
      </w:r>
    </w:p>
    <w:p w14:paraId="750D7D68" w14:textId="77777777" w:rsidR="00A77B3E" w:rsidRDefault="00A77B3E">
      <w:pPr>
        <w:pStyle w:val="1"/>
      </w:pPr>
    </w:p>
    <w:p w14:paraId="2190F41F" w14:textId="77777777" w:rsidR="00A77B3E" w:rsidRDefault="0010218A">
      <w:pPr>
        <w:pStyle w:val="13"/>
      </w:pPr>
      <w:r>
        <w:t>Minister of Education, Youth and Sports:</w:t>
      </w:r>
    </w:p>
    <w:p w14:paraId="50F20E1F" w14:textId="77777777" w:rsidR="00A77B3E" w:rsidRDefault="0010218A">
      <w:pPr>
        <w:pStyle w:val="14"/>
      </w:pPr>
      <w:r>
        <w:t xml:space="preserve">doc. </w:t>
      </w:r>
      <w:proofErr w:type="spellStart"/>
      <w:r>
        <w:t>PhDr</w:t>
      </w:r>
      <w:proofErr w:type="spellEnd"/>
      <w:r>
        <w:t>. Bek, Ph.D., signed</w:t>
      </w:r>
    </w:p>
    <w:p w14:paraId="71149253" w14:textId="77777777" w:rsidR="00A77B3E" w:rsidRDefault="00A77B3E">
      <w:pPr>
        <w:pStyle w:val="1"/>
      </w:pPr>
    </w:p>
    <w:p w14:paraId="3D3E7CE7" w14:textId="77777777" w:rsidR="00A77B3E" w:rsidRDefault="00A77B3E">
      <w:pPr>
        <w:pStyle w:val="1"/>
      </w:pPr>
    </w:p>
    <w:p w14:paraId="214A8269" w14:textId="77777777" w:rsidR="00A77B3E" w:rsidRDefault="0010218A">
      <w:pPr>
        <w:pStyle w:val="15"/>
      </w:pPr>
      <w:r>
        <w:t>Annex</w:t>
      </w:r>
    </w:p>
    <w:p w14:paraId="4279BD7A" w14:textId="77777777" w:rsidR="00A77B3E" w:rsidRDefault="0010218A">
      <w:pPr>
        <w:pStyle w:val="16"/>
      </w:pPr>
      <w:r>
        <w:lastRenderedPageBreak/>
        <w:t>Qualifications Framework for Higher Education</w:t>
      </w:r>
    </w:p>
    <w:tbl>
      <w:tblPr>
        <w:tblStyle w:val="data-tisk-na-sirkuPouzeNaPrvniStranezahlavi"/>
        <w:tblW w:w="11970" w:type="dxa"/>
        <w:tblInd w:w="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458"/>
        <w:gridCol w:w="970"/>
        <w:gridCol w:w="2514"/>
        <w:gridCol w:w="2514"/>
        <w:gridCol w:w="2514"/>
      </w:tblGrid>
      <w:tr w:rsidR="004E2BE1" w14:paraId="5B7C0369" w14:textId="77777777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vAlign w:val="center"/>
            <w:hideMark/>
          </w:tcPr>
          <w:p w14:paraId="5366C829" w14:textId="77777777" w:rsidR="00A77B3E" w:rsidRDefault="0010218A">
            <w:pPr>
              <w:pStyle w:val="17"/>
              <w:overflowPunct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Designation of Qualification Level</w:t>
            </w:r>
          </w:p>
        </w:tc>
        <w:tc>
          <w:tcPr>
            <w:tcW w:w="10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vAlign w:val="center"/>
            <w:hideMark/>
          </w:tcPr>
          <w:p w14:paraId="2919BABE" w14:textId="77777777" w:rsidR="00A77B3E" w:rsidRDefault="0010218A">
            <w:pPr>
              <w:pStyle w:val="17"/>
              <w:overflowPunct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I.</w:t>
            </w:r>
          </w:p>
        </w:tc>
        <w:tc>
          <w:tcPr>
            <w:tcW w:w="10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vAlign w:val="center"/>
            <w:hideMark/>
          </w:tcPr>
          <w:p w14:paraId="5B1DC970" w14:textId="77777777" w:rsidR="00A77B3E" w:rsidRDefault="0010218A">
            <w:pPr>
              <w:pStyle w:val="17"/>
              <w:overflowPunct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II.</w:t>
            </w:r>
          </w:p>
        </w:tc>
        <w:tc>
          <w:tcPr>
            <w:tcW w:w="10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vAlign w:val="center"/>
            <w:hideMark/>
          </w:tcPr>
          <w:p w14:paraId="20C5B34B" w14:textId="77777777" w:rsidR="00A77B3E" w:rsidRDefault="0010218A">
            <w:pPr>
              <w:pStyle w:val="17"/>
              <w:overflowPunct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III.</w:t>
            </w:r>
          </w:p>
        </w:tc>
      </w:tr>
      <w:tr w:rsidR="004E2BE1" w14:paraId="101AECAF" w14:textId="77777777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vAlign w:val="center"/>
            <w:hideMark/>
          </w:tcPr>
          <w:p w14:paraId="3F9BB1B4" w14:textId="77777777" w:rsidR="00A77B3E" w:rsidRDefault="0010218A">
            <w:pPr>
              <w:pStyle w:val="17"/>
              <w:overflowPunct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Type of Degree Programme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vAlign w:val="bottom"/>
            <w:hideMark/>
          </w:tcPr>
          <w:p w14:paraId="52FD2912" w14:textId="77777777" w:rsidR="00A77B3E" w:rsidRDefault="0010218A">
            <w:pPr>
              <w:pStyle w:val="17"/>
              <w:overflowPunct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Bachelor’s Degree Programme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vAlign w:val="bottom"/>
            <w:hideMark/>
          </w:tcPr>
          <w:p w14:paraId="551D79D8" w14:textId="77777777" w:rsidR="00A77B3E" w:rsidRDefault="0010218A">
            <w:pPr>
              <w:pStyle w:val="17"/>
              <w:overflowPunct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Master’s Degree Programme</w:t>
            </w:r>
          </w:p>
        </w:tc>
        <w:tc>
          <w:tcPr>
            <w:tcW w:w="1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vAlign w:val="bottom"/>
            <w:hideMark/>
          </w:tcPr>
          <w:p w14:paraId="66D8394B" w14:textId="77777777" w:rsidR="00A77B3E" w:rsidRDefault="0010218A">
            <w:pPr>
              <w:pStyle w:val="17"/>
              <w:overflowPunct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Doctoral Degree Programme</w:t>
            </w:r>
          </w:p>
        </w:tc>
      </w:tr>
      <w:tr w:rsidR="004E2BE1" w14:paraId="37F91966" w14:textId="77777777">
        <w:tc>
          <w:tcPr>
            <w:tcW w:w="0" w:type="auto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vAlign w:val="bottom"/>
            <w:hideMark/>
          </w:tcPr>
          <w:p w14:paraId="73F6A168" w14:textId="77777777" w:rsidR="00A77B3E" w:rsidRDefault="0010218A">
            <w:pPr>
              <w:pStyle w:val="17"/>
              <w:overflowPunct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Relation to Overarching Qualifications Frameworks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sz w:val="20"/>
              </w:rPr>
              <w:t xml:space="preserve"> corresponding qualification level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579AF696" w14:textId="77777777" w:rsidR="00A77B3E" w:rsidRDefault="0010218A">
            <w:pPr>
              <w:pStyle w:val="17"/>
              <w:overflowPunct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EQF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6EF2B03B" w14:textId="77777777" w:rsidR="00A77B3E" w:rsidRDefault="0010218A">
            <w:pPr>
              <w:pStyle w:val="17"/>
              <w:overflowPunct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6F5FBC2B" w14:textId="77777777" w:rsidR="00A77B3E" w:rsidRDefault="0010218A">
            <w:pPr>
              <w:pStyle w:val="17"/>
              <w:overflowPunct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14:paraId="46C2BDD3" w14:textId="77777777" w:rsidR="00A77B3E" w:rsidRDefault="0010218A">
            <w:pPr>
              <w:pStyle w:val="17"/>
              <w:overflowPunct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4E2BE1" w14:paraId="70129CDE" w14:textId="77777777">
        <w:tc>
          <w:tcPr>
            <w:tcW w:w="0" w:type="auto"/>
            <w:vMerge/>
            <w:tcBorders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A503E69" w14:textId="77777777" w:rsidR="00A77B3E" w:rsidRDefault="00A77B3E">
            <w:pPr>
              <w:overflowPunct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2377329D" w14:textId="77777777" w:rsidR="00A77B3E" w:rsidRDefault="0010218A">
            <w:pPr>
              <w:pStyle w:val="17"/>
              <w:overflowPunct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QF-EHEA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2EDD7D2A" w14:textId="77777777" w:rsidR="00A77B3E" w:rsidRDefault="0010218A">
            <w:pPr>
              <w:pStyle w:val="17"/>
              <w:overflowPunct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first cycle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02177CB8" w14:textId="77777777" w:rsidR="00A77B3E" w:rsidRDefault="0010218A">
            <w:pPr>
              <w:pStyle w:val="17"/>
              <w:overflowPunct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second cycle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14:paraId="5A1844C2" w14:textId="77777777" w:rsidR="00A77B3E" w:rsidRDefault="0010218A">
            <w:pPr>
              <w:pStyle w:val="17"/>
              <w:overflowPunct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third cycle</w:t>
            </w:r>
          </w:p>
        </w:tc>
      </w:tr>
      <w:tr w:rsidR="004E2BE1" w14:paraId="48382C86" w14:textId="77777777">
        <w:tc>
          <w:tcPr>
            <w:tcW w:w="0" w:type="auto"/>
            <w:gridSpan w:val="2"/>
            <w:tcBorders>
              <w:top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14:paraId="1518F20D" w14:textId="77777777" w:rsidR="00A77B3E" w:rsidRDefault="0010218A">
            <w:pPr>
              <w:pStyle w:val="17"/>
              <w:overflowPunct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Credit Value (ECTS)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790AAADF" w14:textId="77777777" w:rsidR="00A77B3E" w:rsidRDefault="0010218A">
            <w:pPr>
              <w:pStyle w:val="17"/>
              <w:overflowPunct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180–240 credits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bottom"/>
            <w:hideMark/>
          </w:tcPr>
          <w:p w14:paraId="0C408EDD" w14:textId="77777777" w:rsidR="0010218A" w:rsidRDefault="0010218A" w:rsidP="0010218A">
            <w:pPr>
              <w:pStyle w:val="17"/>
              <w:overflowPunct w:val="0"/>
              <w:spacing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60–180 credits</w:t>
            </w:r>
          </w:p>
          <w:p w14:paraId="2B3897D6" w14:textId="77777777" w:rsidR="0010218A" w:rsidRDefault="0010218A" w:rsidP="0010218A">
            <w:pPr>
              <w:pStyle w:val="17"/>
              <w:overflowPunct w:val="0"/>
              <w:spacing w:after="0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(</w:t>
            </w:r>
            <w:r>
              <w:rPr>
                <w:sz w:val="20"/>
              </w:rPr>
              <w:t>for a programme following on from a Bachelor’s degree programme)</w:t>
            </w:r>
          </w:p>
          <w:p w14:paraId="537B0F06" w14:textId="77777777" w:rsidR="0010218A" w:rsidRDefault="0010218A" w:rsidP="0010218A">
            <w:pPr>
              <w:pStyle w:val="17"/>
              <w:overflowPunct w:val="0"/>
              <w:spacing w:after="0"/>
              <w:jc w:val="center"/>
              <w:rPr>
                <w:b/>
                <w:bCs/>
                <w:sz w:val="20"/>
              </w:rPr>
            </w:pPr>
          </w:p>
          <w:p w14:paraId="209AEEEC" w14:textId="77777777" w:rsidR="0010218A" w:rsidRDefault="0010218A" w:rsidP="0010218A">
            <w:pPr>
              <w:pStyle w:val="17"/>
              <w:overflowPunct w:val="0"/>
              <w:spacing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240–360 credits</w:t>
            </w:r>
          </w:p>
          <w:p w14:paraId="294A1829" w14:textId="13578BCD" w:rsidR="00A77B3E" w:rsidRDefault="0010218A" w:rsidP="0010218A">
            <w:pPr>
              <w:pStyle w:val="17"/>
              <w:overflowPunct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(for a programme not following on from a Bachelor’s degree programme)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16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14:paraId="078155FA" w14:textId="77777777" w:rsidR="0010218A" w:rsidRDefault="0010218A" w:rsidP="0010218A">
            <w:pPr>
              <w:pStyle w:val="17"/>
              <w:overflowPunct w:val="0"/>
              <w:spacing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180–240 credits</w:t>
            </w:r>
          </w:p>
          <w:p w14:paraId="1A8DAD25" w14:textId="28E5808C" w:rsidR="00A77B3E" w:rsidRDefault="0010218A" w:rsidP="0010218A">
            <w:pPr>
              <w:pStyle w:val="17"/>
              <w:overflowPunct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(credit value applies only if a credit system is used for programme assessment)</w:t>
            </w:r>
          </w:p>
        </w:tc>
      </w:tr>
    </w:tbl>
    <w:p w14:paraId="2E10E07B" w14:textId="77777777" w:rsidR="00A77B3E" w:rsidRDefault="00A77B3E">
      <w:pPr>
        <w:pStyle w:val="17"/>
      </w:pPr>
    </w:p>
    <w:tbl>
      <w:tblPr>
        <w:tblStyle w:val="TABLEXPouzeNaPrvniStranezahlavi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432"/>
        <w:gridCol w:w="409"/>
        <w:gridCol w:w="1869"/>
        <w:gridCol w:w="419"/>
        <w:gridCol w:w="4070"/>
        <w:gridCol w:w="429"/>
        <w:gridCol w:w="4196"/>
      </w:tblGrid>
      <w:tr w:rsidR="004E2BE1" w14:paraId="4166BD07" w14:textId="77777777">
        <w:tc>
          <w:tcPr>
            <w:tcW w:w="0" w:type="auto"/>
            <w:vMerge w:val="restart"/>
            <w:tcBorders>
              <w:top w:val="single" w:sz="8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14:paraId="58809351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Subject Knowledge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7A072F3" w14:textId="77777777" w:rsidR="00A77B3E" w:rsidRDefault="0010218A">
            <w:pPr>
              <w:pStyle w:val="18"/>
              <w:overflowPunct w:val="0"/>
              <w:jc w:val="center"/>
              <w:rPr>
                <w:sz w:val="20"/>
              </w:rPr>
            </w:pPr>
            <w:r>
              <w:rPr>
                <w:sz w:val="20"/>
              </w:rPr>
              <w:t>Graduates of degree programmes shall have:</w:t>
            </w:r>
          </w:p>
        </w:tc>
      </w:tr>
      <w:tr w:rsidR="004E2BE1" w14:paraId="0F2B312A" w14:textId="77777777"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1D6E8CD6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51DB8AC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a) Bachelor’s degree programme:</w:t>
            </w:r>
          </w:p>
        </w:tc>
        <w:tc>
          <w:tcPr>
            <w:tcW w:w="0" w:type="auto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0426A89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b) Master’s degree programme:</w:t>
            </w:r>
          </w:p>
        </w:tc>
        <w:tc>
          <w:tcPr>
            <w:tcW w:w="0" w:type="auto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EFDF19F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c) Doctoral degree programme:</w:t>
            </w:r>
          </w:p>
        </w:tc>
      </w:tr>
      <w:tr w:rsidR="004E2BE1" w14:paraId="7980549E" w14:textId="77777777"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0709C7E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D472391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D2C370F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advanced knowledge and understanding of the subject matter and scope of the discipline</w:t>
            </w:r>
          </w:p>
        </w:tc>
        <w:tc>
          <w:tcPr>
            <w:tcW w:w="6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4491BEF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6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3C15F5C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advanced and in-depth knowledge and understanding of the subject matter and scope of the discipline corresponding to the current state of knowledge</w:t>
            </w:r>
          </w:p>
        </w:tc>
        <w:tc>
          <w:tcPr>
            <w:tcW w:w="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C744DD2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4DA65CD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profound and systematic knowledge and understanding of the subject matter and scope of the discipline corresponding to the current state of knowledge</w:t>
            </w:r>
          </w:p>
        </w:tc>
      </w:tr>
      <w:tr w:rsidR="004E2BE1" w14:paraId="25EDA900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4B3B2802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77AC33F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BA11EA6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advanced knowledge of theories, concepts and methods of the discipline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F21D38B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FBD6478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FC43BDE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</w:tcBorders>
            <w:vAlign w:val="center"/>
            <w:hideMark/>
          </w:tcPr>
          <w:p w14:paraId="46397942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5987FA6D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29793E8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B61104C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45BAF71F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0A72CFD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875BFC0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advanced and in-depth knowledge and understanding of theories, concepts and methods corresponding to the current state of knowledge in the discipline</w:t>
            </w: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849FA6B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918DAA0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profound and systematic knowledge and understanding of theories, concepts and methods at the forefront of the discipline at an international level</w:t>
            </w:r>
          </w:p>
        </w:tc>
      </w:tr>
      <w:tr w:rsidR="004E2BE1" w14:paraId="62DD5EA2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509EFA51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DF5E3A4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D2B1232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understanding of the possibilities, conditions and limitations of applying the theories, concepts and methods of the discipline in practice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865FFAC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C0E5ED2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E58895D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</w:tcBorders>
            <w:vAlign w:val="center"/>
            <w:hideMark/>
          </w:tcPr>
          <w:p w14:paraId="159A7DEB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7BADDAC8" w14:textId="77777777">
        <w:tc>
          <w:tcPr>
            <w:tcW w:w="0" w:type="auto"/>
            <w:vMerge/>
            <w:tcBorders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1846AE1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30052782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0C98409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DDB36FE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DD9936D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understanding of the possibilities, conditions and limitations of applying knowledge from related disciplines</w:t>
            </w: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EF99EAD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9494A23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understanding of the system of sciences and of research or artistic issues at the interface of disciplines</w:t>
            </w:r>
          </w:p>
        </w:tc>
      </w:tr>
      <w:tr w:rsidR="004E2BE1" w14:paraId="60FCFA24" w14:textId="77777777">
        <w:tc>
          <w:tcPr>
            <w:tcW w:w="0" w:type="auto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14:paraId="57AF2217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Professional Skills</w:t>
            </w:r>
          </w:p>
        </w:tc>
        <w:tc>
          <w:tcPr>
            <w:tcW w:w="89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4BBBADF" w14:textId="77777777" w:rsidR="00A77B3E" w:rsidRDefault="0010218A">
            <w:pPr>
              <w:pStyle w:val="18"/>
              <w:overflowPunct w:val="0"/>
              <w:jc w:val="center"/>
              <w:rPr>
                <w:sz w:val="20"/>
              </w:rPr>
            </w:pPr>
            <w:r>
              <w:rPr>
                <w:sz w:val="20"/>
              </w:rPr>
              <w:t>Graduates of degree programmes shall be able to:</w:t>
            </w:r>
          </w:p>
        </w:tc>
      </w:tr>
      <w:tr w:rsidR="004E2BE1" w14:paraId="78C9BC7E" w14:textId="77777777"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64151E1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2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930C249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a) Bachelor’s degree programme: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E9A2124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b) Master’s degree programme:</w:t>
            </w:r>
          </w:p>
        </w:tc>
        <w:tc>
          <w:tcPr>
            <w:tcW w:w="37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9F64BE0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c) Doctoral degree programme:</w:t>
            </w:r>
          </w:p>
        </w:tc>
      </w:tr>
      <w:tr w:rsidR="004E2BE1" w14:paraId="29B1EFAC" w14:textId="77777777"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6E51322B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BFE9A53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17341FD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use their subject knowledge to solve problems in the discipline on the basis of a broadly defined task</w:t>
            </w:r>
          </w:p>
        </w:tc>
        <w:tc>
          <w:tcPr>
            <w:tcW w:w="6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DB7469A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6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B1C448E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independently define and creatively solve theoretical and practical problems in the discipline using subject knowledge</w:t>
            </w:r>
          </w:p>
        </w:tc>
        <w:tc>
          <w:tcPr>
            <w:tcW w:w="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67EE7C9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D8EC896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design and apply advanced research or artistic methods in the discipline in a manner enabling the extension of knowledge in the field through original research</w:t>
            </w:r>
          </w:p>
        </w:tc>
      </w:tr>
      <w:tr w:rsidR="004E2BE1" w14:paraId="49B9DA45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2A445069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9CD8518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C779EFD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locate, organise and interpret information relevant to the solution of a defined problem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41B55BC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7B4D0A8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6EB5A22F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</w:tcBorders>
            <w:vAlign w:val="center"/>
            <w:hideMark/>
          </w:tcPr>
          <w:p w14:paraId="491BC74E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68801AE2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79F76839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236646C6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25B5DB58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CAC8866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1F98B32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independently and creatively solve complex problems using selected theories, concepts and methods of the discipline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D5DC459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</w:tcBorders>
            <w:vAlign w:val="center"/>
            <w:hideMark/>
          </w:tcPr>
          <w:p w14:paraId="0142533E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66856116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15943423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71A0CE18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410F7571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09193A4F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27DE9C67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222DBA2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E50A2E1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develop and evaluate theories, concepts and methods of the discipline, including the </w:t>
            </w:r>
            <w:r>
              <w:rPr>
                <w:sz w:val="20"/>
              </w:rPr>
              <w:lastRenderedPageBreak/>
              <w:t>definition of new fields or their integration into broader domains</w:t>
            </w:r>
          </w:p>
        </w:tc>
      </w:tr>
      <w:tr w:rsidR="004E2BE1" w14:paraId="56EB7496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25EA708C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DEC5F63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014191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7E13E6DD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5C8CA61E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1ACDB43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</w:tcBorders>
            <w:vAlign w:val="center"/>
            <w:hideMark/>
          </w:tcPr>
          <w:p w14:paraId="6087DB0D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3EE0FAAA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21E489CB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786E86B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D8F2922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use certain basic research or artistic methods of the discipline to the extent necessary for problem-solving within the field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829FC82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DC8C424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4A198CC4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</w:tcBorders>
            <w:vAlign w:val="center"/>
            <w:hideMark/>
          </w:tcPr>
          <w:p w14:paraId="513A266D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6AC27BA3" w14:textId="77777777">
        <w:tc>
          <w:tcPr>
            <w:tcW w:w="0" w:type="auto"/>
            <w:vMerge/>
            <w:tcBorders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7FD2825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5F9EBDC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FDA1748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CBC267B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91D2A4F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apply some of the advanced research or artistic methods in the discipline in a way that allows the acquisition of new, original information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3EECC249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</w:tcBorders>
            <w:vAlign w:val="center"/>
            <w:hideMark/>
          </w:tcPr>
          <w:p w14:paraId="1BE63D18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63618703" w14:textId="77777777">
        <w:tc>
          <w:tcPr>
            <w:tcW w:w="0" w:type="auto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14:paraId="420E05B7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General Competences</w:t>
            </w:r>
          </w:p>
        </w:tc>
        <w:tc>
          <w:tcPr>
            <w:tcW w:w="89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EFE0DBB" w14:textId="77777777" w:rsidR="00A77B3E" w:rsidRDefault="0010218A">
            <w:pPr>
              <w:pStyle w:val="18"/>
              <w:overflowPunct w:val="0"/>
              <w:jc w:val="center"/>
              <w:rPr>
                <w:sz w:val="20"/>
              </w:rPr>
            </w:pPr>
            <w:r>
              <w:rPr>
                <w:sz w:val="20"/>
              </w:rPr>
              <w:t>Graduates of degree programmes shall be capable of:</w:t>
            </w:r>
          </w:p>
        </w:tc>
      </w:tr>
      <w:tr w:rsidR="004E2BE1" w14:paraId="6123EF0C" w14:textId="77777777"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2F857441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DC9A640" w14:textId="77777777" w:rsidR="00A77B3E" w:rsidRDefault="00A77B3E">
            <w:pPr>
              <w:pStyle w:val="18"/>
              <w:overflowPunct w:val="0"/>
              <w:jc w:val="left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BFBA76A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a) Bachelor’s degree programme: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0524FE4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b) Master’s degree programme:</w:t>
            </w:r>
          </w:p>
        </w:tc>
        <w:tc>
          <w:tcPr>
            <w:tcW w:w="37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0CFDB7C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c) Doctoral degree programme:</w:t>
            </w:r>
          </w:p>
        </w:tc>
      </w:tr>
      <w:tr w:rsidR="004E2BE1" w14:paraId="4CF91C29" w14:textId="77777777"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3A9698BE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E6E94C1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34D80E3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acting independently and responsibly when making decisions in partly known contexts on the basis of broadly defined assignments</w:t>
            </w:r>
          </w:p>
        </w:tc>
        <w:tc>
          <w:tcPr>
            <w:tcW w:w="6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F5656F6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6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E52F4AE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acting independently and responsibly when making decisions in new or changing contexts or in an environment undergoing fundamental development, with consideration of the wider social implications of such decisions</w:t>
            </w:r>
          </w:p>
        </w:tc>
        <w:tc>
          <w:tcPr>
            <w:tcW w:w="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F81A4D4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B9D4F54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evaluating new knowledge and ideas with regard to the long-term social implications of their use</w:t>
            </w:r>
          </w:p>
        </w:tc>
      </w:tr>
      <w:tr w:rsidR="004E2BE1" w14:paraId="2DDFCA50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0BBA3826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208C8D3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60CF0EA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coordinating team activities according to a general brief and allocated resources, and assuming responsibility for the team's outcomes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59830591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1279843D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AD2D59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</w:tcBorders>
            <w:vAlign w:val="center"/>
            <w:hideMark/>
          </w:tcPr>
          <w:p w14:paraId="65594CAF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6E203166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7D6138C0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15CB07D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28F8F177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1542FB4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45B7058D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95CC120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669A65E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planning extensive creative activities and obtaining and allocating resources for their implementation</w:t>
            </w:r>
          </w:p>
        </w:tc>
      </w:tr>
      <w:tr w:rsidR="004E2BE1" w14:paraId="0C9B53A5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6413FA4F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D768409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6B43737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6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AB7332F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6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1339C2A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defining assignments for professional activities in response to evolving contexts and available resources, coordinating such activities and assuming ultimate responsibility for their outcomes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3FAEE79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</w:tcBorders>
            <w:vAlign w:val="center"/>
            <w:hideMark/>
          </w:tcPr>
          <w:p w14:paraId="1C9B4B10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2F761380" w14:textId="77777777"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3DE4A893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823DBC2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2B25879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considering the ethical dimension of problem-solving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6EF9003B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618AD550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6263DE6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421603F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independently resolving complex ethical issues in creative work or in the use of its results</w:t>
            </w:r>
          </w:p>
        </w:tc>
      </w:tr>
      <w:tr w:rsidR="004E2BE1" w14:paraId="5B944E13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5FD6DB55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0A930CE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5C24261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communicating clearly and convincingly with both specialists and lay audiences about the nature of professional issues and their own views on their solutions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08793A2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2DB91634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3095A487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</w:tcBorders>
            <w:vAlign w:val="center"/>
            <w:hideMark/>
          </w:tcPr>
          <w:p w14:paraId="77D5AE80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17628F9C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63840631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5AEE7717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095B9FC6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B0D306B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4074944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692B217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4C6BD8C" w14:textId="46963723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communicating clearly and convincingly their own findings in the discipline to other members of the international academic community and to the wider public</w:t>
            </w:r>
          </w:p>
        </w:tc>
      </w:tr>
      <w:tr w:rsidR="004E2BE1" w14:paraId="5C0063AE" w14:textId="77777777"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3B2C0EC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2440414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5015688F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0590406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1FC3E5C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independently resolving ethical issues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54F123A4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</w:tcBorders>
            <w:vAlign w:val="center"/>
            <w:hideMark/>
          </w:tcPr>
          <w:p w14:paraId="41F12AB6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0D0D5D44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15FCE2B4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191DAB9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380C20C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6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DA13435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6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C5C93D2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communicating clearly and convincingly their professional views to both experts and the general public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69FAC78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</w:tcBorders>
            <w:vAlign w:val="center"/>
            <w:hideMark/>
          </w:tcPr>
          <w:p w14:paraId="56A82E84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60D93439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54BFAEF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8A88C47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51A695E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summarising clearly the views of other team members;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149125D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B52641C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2D7566C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A1B3550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acting within their professional knowledge, skills and competences in at least one foreign language, including oral and written presentation of creative work outcomes</w:t>
            </w:r>
          </w:p>
        </w:tc>
      </w:tr>
      <w:tr w:rsidR="004E2BE1" w14:paraId="44380448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07B559B5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33F36E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3B2A97C2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C0CC4C4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0E5847F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operating within their professional knowledge, skills and competences in at least one foreign language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4018C830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</w:tcBorders>
            <w:vAlign w:val="center"/>
            <w:hideMark/>
          </w:tcPr>
          <w:p w14:paraId="11C4C14B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4F77633F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3409142D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B57C9E7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1E98EAA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operating within their professional knowledge, skills and competences in at least one foreign language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0812F13E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9BD9710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59591BD9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</w:tcBorders>
            <w:vAlign w:val="center"/>
            <w:hideMark/>
          </w:tcPr>
          <w:p w14:paraId="4A8E4845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3DDC2E4D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32273C1B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2639B7F2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0F52741E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6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93D5506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6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0F3B4DF" w14:textId="5B4C9345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 w:rsidRPr="00596282">
              <w:rPr>
                <w:sz w:val="20"/>
              </w:rPr>
              <w:t>planning, supporting and managing</w:t>
            </w:r>
            <w:r w:rsidR="00596282" w:rsidRPr="00596282">
              <w:rPr>
                <w:sz w:val="20"/>
              </w:rPr>
              <w:t>, while making use of theoretical knowledge in the discipline,</w:t>
            </w:r>
            <w:r w:rsidRPr="00596282">
              <w:rPr>
                <w:sz w:val="20"/>
              </w:rPr>
              <w:t xml:space="preserve"> the acquisition of further professional knowledge, skills and competences </w:t>
            </w:r>
            <w:r w:rsidR="00596282" w:rsidRPr="00596282">
              <w:rPr>
                <w:sz w:val="20"/>
              </w:rPr>
              <w:t>of</w:t>
            </w:r>
            <w:r w:rsidRPr="00596282">
              <w:rPr>
                <w:sz w:val="20"/>
              </w:rPr>
              <w:t xml:space="preserve"> other team members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06ECC37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</w:tcBorders>
            <w:vAlign w:val="center"/>
            <w:hideMark/>
          </w:tcPr>
          <w:p w14:paraId="459D47E6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  <w:tr w:rsidR="004E2BE1" w14:paraId="6645619F" w14:textId="77777777">
        <w:trPr>
          <w:trHeight w:val="276"/>
        </w:trPr>
        <w:tc>
          <w:tcPr>
            <w:tcW w:w="0" w:type="auto"/>
            <w:vMerge/>
            <w:tcBorders>
              <w:right w:val="single" w:sz="3" w:space="0" w:color="000000"/>
            </w:tcBorders>
            <w:vAlign w:val="center"/>
            <w:hideMark/>
          </w:tcPr>
          <w:p w14:paraId="42E92174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04B5450C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39269209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17BD3159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  <w:hideMark/>
          </w:tcPr>
          <w:p w14:paraId="501AE126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23C4306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CE41D50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acquiring new professional knowledge, skills and competences through their own creative activity, and influencing the conditions and context of education of others</w:t>
            </w:r>
          </w:p>
        </w:tc>
      </w:tr>
      <w:tr w:rsidR="004E2BE1" w14:paraId="493EA220" w14:textId="77777777">
        <w:tc>
          <w:tcPr>
            <w:tcW w:w="0" w:type="auto"/>
            <w:vMerge/>
            <w:tcBorders>
              <w:bottom w:val="single" w:sz="8" w:space="0" w:color="000000"/>
              <w:right w:val="single" w:sz="3" w:space="0" w:color="000000"/>
            </w:tcBorders>
            <w:vAlign w:val="center"/>
            <w:hideMark/>
          </w:tcPr>
          <w:p w14:paraId="0EBF0F9E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2C6E7BB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•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3B4C7C7" w14:textId="77777777" w:rsidR="00A77B3E" w:rsidRDefault="0010218A">
            <w:pPr>
              <w:pStyle w:val="18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independently acquiring further professional knowledge, skills and competences based primarily on practical experience and its evaluation, as well as through </w:t>
            </w:r>
            <w:r>
              <w:rPr>
                <w:sz w:val="20"/>
              </w:rPr>
              <w:lastRenderedPageBreak/>
              <w:t>independent study of theoretical knowledge in the discipline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  <w:hideMark/>
          </w:tcPr>
          <w:p w14:paraId="3960E4C6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  <w:hideMark/>
          </w:tcPr>
          <w:p w14:paraId="553564B5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  <w:hideMark/>
          </w:tcPr>
          <w:p w14:paraId="7C65595A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8" w:space="0" w:color="000000"/>
            </w:tcBorders>
            <w:vAlign w:val="center"/>
            <w:hideMark/>
          </w:tcPr>
          <w:p w14:paraId="5721DD96" w14:textId="77777777" w:rsidR="00A77B3E" w:rsidRDefault="00A77B3E">
            <w:pPr>
              <w:overflowPunct w:val="0"/>
              <w:rPr>
                <w:sz w:val="20"/>
                <w:szCs w:val="20"/>
              </w:rPr>
            </w:pPr>
          </w:p>
        </w:tc>
      </w:tr>
    </w:tbl>
    <w:p w14:paraId="02DE8F47" w14:textId="77777777" w:rsidR="00A77B3E" w:rsidRDefault="00A77B3E">
      <w:pPr>
        <w:pStyle w:val="18"/>
      </w:pPr>
    </w:p>
    <w:p w14:paraId="2F2B4E9E" w14:textId="77777777" w:rsidR="00A77B3E" w:rsidRDefault="0010218A">
      <w:pPr>
        <w:pStyle w:val="9"/>
      </w:pPr>
      <w:r>
        <w:rPr>
          <w:i/>
        </w:rPr>
        <w:t>Explanatory Notes to Abbreviations in the Table</w:t>
      </w:r>
    </w:p>
    <w:p w14:paraId="2B73C33E" w14:textId="77777777" w:rsidR="00A77B3E" w:rsidRDefault="0010218A">
      <w:pPr>
        <w:pStyle w:val="19"/>
      </w:pPr>
      <w:r>
        <w:rPr>
          <w:b/>
          <w:i/>
        </w:rPr>
        <w:t>EQF –</w:t>
      </w:r>
      <w:r>
        <w:rPr>
          <w:i/>
        </w:rPr>
        <w:t xml:space="preserve"> European Qualifications Framework for lifelong learning</w:t>
      </w:r>
    </w:p>
    <w:p w14:paraId="1315E2B7" w14:textId="77777777" w:rsidR="00A77B3E" w:rsidRDefault="0010218A">
      <w:pPr>
        <w:pStyle w:val="20"/>
      </w:pPr>
      <w:r>
        <w:rPr>
          <w:b/>
          <w:i/>
        </w:rPr>
        <w:t>QF-EHEA –</w:t>
      </w:r>
      <w:r>
        <w:rPr>
          <w:i/>
        </w:rPr>
        <w:t xml:space="preserve"> Qualifications Framework for the European Higher Education Area</w:t>
      </w:r>
    </w:p>
    <w:p w14:paraId="49A73B01" w14:textId="77777777" w:rsidR="00A77B3E" w:rsidRDefault="0010218A">
      <w:pPr>
        <w:pStyle w:val="21"/>
      </w:pPr>
      <w:r>
        <w:rPr>
          <w:b/>
          <w:i/>
        </w:rPr>
        <w:t>ECTS –</w:t>
      </w:r>
      <w:r>
        <w:rPr>
          <w:i/>
        </w:rPr>
        <w:t xml:space="preserve"> European Credit Transfer and Accumulation System</w:t>
      </w:r>
    </w:p>
    <w:sectPr w:rsidR="00A77B3E">
      <w:headerReference w:type="even" r:id="rId6"/>
      <w:headerReference w:type="default" r:id="rId7"/>
      <w:headerReference w:type="first" r:id="rId8"/>
      <w:pgSz w:w="15840" w:h="12240" w:orient="landscape"/>
      <w:pgMar w:top="1417" w:right="1417" w:bottom="1417" w:left="1417" w:header="4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BD1E5" w14:textId="77777777" w:rsidR="006F4FCC" w:rsidRDefault="006F4FCC">
      <w:r>
        <w:separator/>
      </w:r>
    </w:p>
  </w:endnote>
  <w:endnote w:type="continuationSeparator" w:id="0">
    <w:p w14:paraId="18FCAC3C" w14:textId="77777777" w:rsidR="006F4FCC" w:rsidRDefault="006F4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48F60" w14:textId="77777777" w:rsidR="006F4FCC" w:rsidRDefault="006F4FCC">
      <w:r>
        <w:separator/>
      </w:r>
    </w:p>
  </w:footnote>
  <w:footnote w:type="continuationSeparator" w:id="0">
    <w:p w14:paraId="40FD1A26" w14:textId="77777777" w:rsidR="006F4FCC" w:rsidRDefault="006F4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2601"/>
      <w:gridCol w:w="3902"/>
      <w:gridCol w:w="3902"/>
      <w:gridCol w:w="2601"/>
    </w:tblGrid>
    <w:tr w:rsidR="004E2BE1" w14:paraId="1F6FBC72" w14:textId="77777777">
      <w:tc>
        <w:tcPr>
          <w:tcW w:w="0" w:type="auto"/>
          <w:gridSpan w:val="4"/>
          <w:vAlign w:val="center"/>
          <w:hideMark/>
        </w:tcPr>
        <w:p w14:paraId="02D0CDB1" w14:textId="77777777" w:rsidR="004E2BE1" w:rsidRDefault="004E2BE1">
          <w:pPr>
            <w:pStyle w:val="HlavickaZlutyText"/>
          </w:pPr>
        </w:p>
      </w:tc>
    </w:tr>
    <w:tr w:rsidR="004E2BE1" w14:paraId="3550D733" w14:textId="77777777">
      <w:tblPrEx>
        <w:tblBorders>
          <w:bottom w:val="single" w:sz="12" w:space="0" w:color="000000"/>
        </w:tblBorders>
      </w:tblPrEx>
      <w:tc>
        <w:tcPr>
          <w:tcW w:w="1000" w:type="pct"/>
          <w:vAlign w:val="center"/>
          <w:hideMark/>
        </w:tcPr>
        <w:p w14:paraId="1C9D1D49" w14:textId="77777777" w:rsidR="004E2BE1" w:rsidRDefault="0010218A">
          <w:pPr>
            <w:pStyle w:val="Hlavicka"/>
          </w:pPr>
          <w: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  <w:tc>
        <w:tcPr>
          <w:tcW w:w="3000" w:type="pct"/>
          <w:gridSpan w:val="2"/>
          <w:vAlign w:val="center"/>
          <w:hideMark/>
        </w:tcPr>
        <w:p w14:paraId="52794905" w14:textId="77777777" w:rsidR="004E2BE1" w:rsidRDefault="004E2BE1">
          <w:pPr>
            <w:pStyle w:val="Hlavicka"/>
            <w:jc w:val="center"/>
          </w:pPr>
        </w:p>
      </w:tc>
      <w:tc>
        <w:tcPr>
          <w:tcW w:w="1000" w:type="pct"/>
          <w:vAlign w:val="center"/>
          <w:hideMark/>
        </w:tcPr>
        <w:p w14:paraId="11F313F2" w14:textId="77777777" w:rsidR="004E2BE1" w:rsidRDefault="004E2BE1">
          <w:pPr>
            <w:pStyle w:val="Hlavicka"/>
            <w:jc w:val="right"/>
          </w:pPr>
        </w:p>
      </w:tc>
    </w:tr>
    <w:tr w:rsidR="004E2BE1" w14:paraId="4E4DA029" w14:textId="77777777">
      <w:tc>
        <w:tcPr>
          <w:tcW w:w="2500" w:type="pct"/>
          <w:gridSpan w:val="2"/>
          <w:vAlign w:val="center"/>
          <w:hideMark/>
        </w:tcPr>
        <w:p w14:paraId="795C8069" w14:textId="77777777" w:rsidR="004E2BE1" w:rsidRDefault="004E2BE1">
          <w:pPr>
            <w:pStyle w:val="Hlavicka"/>
          </w:pPr>
        </w:p>
      </w:tc>
      <w:tc>
        <w:tcPr>
          <w:tcW w:w="2500" w:type="pct"/>
          <w:gridSpan w:val="2"/>
          <w:vAlign w:val="center"/>
          <w:hideMark/>
        </w:tcPr>
        <w:p w14:paraId="6CB747E2" w14:textId="77777777" w:rsidR="004E2BE1" w:rsidRDefault="004E2BE1">
          <w:pPr>
            <w:pStyle w:val="Hlavicka"/>
            <w:jc w:val="right"/>
          </w:pPr>
        </w:p>
      </w:tc>
    </w:tr>
  </w:tbl>
  <w:p w14:paraId="130636DD" w14:textId="77777777" w:rsidR="004E2BE1" w:rsidRDefault="004E2BE1">
    <w:pPr>
      <w:pStyle w:val="Hlavic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2601"/>
      <w:gridCol w:w="3902"/>
      <w:gridCol w:w="3902"/>
      <w:gridCol w:w="2601"/>
    </w:tblGrid>
    <w:tr w:rsidR="004E2BE1" w14:paraId="483F96A3" w14:textId="77777777">
      <w:tc>
        <w:tcPr>
          <w:tcW w:w="2500" w:type="pct"/>
          <w:gridSpan w:val="4"/>
          <w:vAlign w:val="center"/>
          <w:hideMark/>
        </w:tcPr>
        <w:p w14:paraId="1928AB48" w14:textId="77777777" w:rsidR="004E2BE1" w:rsidRDefault="004E2BE1">
          <w:pPr>
            <w:pStyle w:val="HlavickaZlutyText"/>
            <w:jc w:val="right"/>
          </w:pPr>
        </w:p>
      </w:tc>
    </w:tr>
    <w:tr w:rsidR="004E2BE1" w14:paraId="37450F70" w14:textId="77777777">
      <w:tblPrEx>
        <w:tblBorders>
          <w:bottom w:val="single" w:sz="12" w:space="0" w:color="000000"/>
        </w:tblBorders>
      </w:tblPrEx>
      <w:tc>
        <w:tcPr>
          <w:tcW w:w="1000" w:type="pct"/>
          <w:vAlign w:val="center"/>
          <w:hideMark/>
        </w:tcPr>
        <w:p w14:paraId="4A82CEDF" w14:textId="77777777" w:rsidR="004E2BE1" w:rsidRDefault="004E2BE1">
          <w:pPr>
            <w:pStyle w:val="Hlavicka"/>
          </w:pPr>
        </w:p>
      </w:tc>
      <w:tc>
        <w:tcPr>
          <w:tcW w:w="3000" w:type="pct"/>
          <w:gridSpan w:val="2"/>
          <w:vAlign w:val="center"/>
          <w:hideMark/>
        </w:tcPr>
        <w:p w14:paraId="17470AD2" w14:textId="77777777" w:rsidR="004E2BE1" w:rsidRDefault="004E2BE1">
          <w:pPr>
            <w:pStyle w:val="Hlavicka"/>
            <w:jc w:val="center"/>
          </w:pPr>
        </w:p>
      </w:tc>
      <w:tc>
        <w:tcPr>
          <w:tcW w:w="1000" w:type="pct"/>
          <w:vAlign w:val="center"/>
          <w:hideMark/>
        </w:tcPr>
        <w:p w14:paraId="1B76CA8C" w14:textId="77777777" w:rsidR="004E2BE1" w:rsidRDefault="0010218A">
          <w:pPr>
            <w:pStyle w:val="Hlavicka"/>
            <w:jc w:val="right"/>
          </w:pPr>
          <w: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  <w:tr w:rsidR="004E2BE1" w14:paraId="3697FAEC" w14:textId="77777777">
      <w:tc>
        <w:tcPr>
          <w:tcW w:w="2500" w:type="pct"/>
          <w:gridSpan w:val="2"/>
          <w:vAlign w:val="center"/>
          <w:hideMark/>
        </w:tcPr>
        <w:p w14:paraId="6F6E0677" w14:textId="77777777" w:rsidR="004E2BE1" w:rsidRDefault="004E2BE1">
          <w:pPr>
            <w:pStyle w:val="Hlavicka"/>
          </w:pPr>
        </w:p>
      </w:tc>
      <w:tc>
        <w:tcPr>
          <w:tcW w:w="2500" w:type="pct"/>
          <w:gridSpan w:val="2"/>
          <w:vAlign w:val="center"/>
          <w:hideMark/>
        </w:tcPr>
        <w:p w14:paraId="6AFAE7B5" w14:textId="77777777" w:rsidR="004E2BE1" w:rsidRDefault="004E2BE1">
          <w:pPr>
            <w:pStyle w:val="Hlavicka"/>
            <w:jc w:val="right"/>
          </w:pPr>
        </w:p>
      </w:tc>
    </w:tr>
  </w:tbl>
  <w:p w14:paraId="7F82066C" w14:textId="77777777" w:rsidR="004E2BE1" w:rsidRDefault="004E2BE1">
    <w:pPr>
      <w:pStyle w:val="Hlavic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13006"/>
    </w:tblGrid>
    <w:tr w:rsidR="004E2BE1" w14:paraId="28D61AF5" w14:textId="77777777">
      <w:tc>
        <w:tcPr>
          <w:tcW w:w="0" w:type="auto"/>
          <w:vAlign w:val="center"/>
          <w:hideMark/>
        </w:tcPr>
        <w:p w14:paraId="601F38E2" w14:textId="77777777" w:rsidR="004E2BE1" w:rsidRDefault="004E2BE1">
          <w:pPr>
            <w:pStyle w:val="HlavickaZlutyText"/>
            <w:jc w:val="right"/>
          </w:pPr>
        </w:p>
      </w:tc>
    </w:tr>
    <w:tr w:rsidR="004E2BE1" w14:paraId="5BE9CC06" w14:textId="77777777">
      <w:tc>
        <w:tcPr>
          <w:tcW w:w="0" w:type="auto"/>
          <w:vAlign w:val="center"/>
          <w:hideMark/>
        </w:tcPr>
        <w:p w14:paraId="38D4EF36" w14:textId="77777777" w:rsidR="004E2BE1" w:rsidRDefault="004E2BE1">
          <w:pPr>
            <w:pStyle w:val="Hlavicka"/>
            <w:jc w:val="right"/>
          </w:pPr>
        </w:p>
      </w:tc>
    </w:tr>
  </w:tbl>
  <w:p w14:paraId="3344E11D" w14:textId="77777777" w:rsidR="004E2BE1" w:rsidRDefault="004E2BE1">
    <w:pPr>
      <w:pStyle w:val="Hlavic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10218A"/>
    <w:rsid w:val="00257052"/>
    <w:rsid w:val="004E2BE1"/>
    <w:rsid w:val="004E767F"/>
    <w:rsid w:val="0058133F"/>
    <w:rsid w:val="00596282"/>
    <w:rsid w:val="00615BFC"/>
    <w:rsid w:val="006F4FCC"/>
    <w:rsid w:val="00964D28"/>
    <w:rsid w:val="00A5326F"/>
    <w:rsid w:val="00A77B3E"/>
    <w:rsid w:val="00C5649D"/>
    <w:rsid w:val="00CA2A55"/>
    <w:rsid w:val="00CD0DAA"/>
    <w:rsid w:val="00D0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E06D1"/>
  <w15:docId w15:val="{CBB8B1DC-A0C7-44AE-B97A-2306CA1D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vicka">
    <w:name w:val="Hlavicka"/>
    <w:rPr>
      <w:i/>
    </w:rPr>
  </w:style>
  <w:style w:type="paragraph" w:customStyle="1" w:styleId="HlavickaZlutyText">
    <w:name w:val="HlavickaZlutyText"/>
    <w:rPr>
      <w:sz w:val="18"/>
    </w:rPr>
  </w:style>
  <w:style w:type="paragraph" w:customStyle="1" w:styleId="Variantastart">
    <w:name w:val="Varianta_start"/>
    <w:pPr>
      <w:pBdr>
        <w:top w:val="single" w:sz="8" w:space="0" w:color="800080"/>
      </w:pBdr>
      <w:spacing w:after="100"/>
    </w:pPr>
    <w:rPr>
      <w:b/>
      <w:i/>
      <w:color w:val="800080"/>
    </w:rPr>
  </w:style>
  <w:style w:type="paragraph" w:customStyle="1" w:styleId="Variantakonec">
    <w:name w:val="Varianta_konec"/>
    <w:pPr>
      <w:pBdr>
        <w:bottom w:val="single" w:sz="8" w:space="0" w:color="800080"/>
      </w:pBdr>
      <w:spacing w:after="100"/>
    </w:pPr>
    <w:rPr>
      <w:b/>
      <w:i/>
      <w:color w:val="800080"/>
    </w:rPr>
  </w:style>
  <w:style w:type="paragraph" w:customStyle="1" w:styleId="Ucinnoststart">
    <w:name w:val="Ucinnost_start"/>
    <w:pPr>
      <w:pBdr>
        <w:top w:val="single" w:sz="8" w:space="0" w:color="8B0000"/>
      </w:pBdr>
      <w:spacing w:after="100"/>
    </w:pPr>
    <w:rPr>
      <w:b/>
      <w:i/>
      <w:color w:val="8B0000"/>
    </w:rPr>
  </w:style>
  <w:style w:type="paragraph" w:customStyle="1" w:styleId="Ucinnostkonec">
    <w:name w:val="Ucinnost_konec"/>
    <w:pPr>
      <w:pBdr>
        <w:bottom w:val="single" w:sz="8" w:space="0" w:color="8B0000"/>
      </w:pBdr>
      <w:spacing w:after="100"/>
    </w:pPr>
    <w:rPr>
      <w:b/>
      <w:i/>
      <w:color w:val="8B0000"/>
    </w:rPr>
  </w:style>
  <w:style w:type="paragraph" w:customStyle="1" w:styleId="Celex">
    <w:name w:val="Celex"/>
    <w:pPr>
      <w:spacing w:before="120" w:after="120"/>
    </w:pPr>
    <w:rPr>
      <w:i/>
    </w:rPr>
  </w:style>
  <w:style w:type="paragraph" w:customStyle="1" w:styleId="Pripominkystart">
    <w:name w:val="Pripominky_start"/>
    <w:pPr>
      <w:pBdr>
        <w:top w:val="single" w:sz="8" w:space="0" w:color="87CEFA"/>
      </w:pBdr>
      <w:spacing w:after="100"/>
      <w:jc w:val="right"/>
    </w:pPr>
    <w:rPr>
      <w:b/>
      <w:i/>
      <w:color w:val="87CEFA"/>
    </w:rPr>
  </w:style>
  <w:style w:type="paragraph" w:customStyle="1" w:styleId="1">
    <w:name w:val="1"/>
    <w:pPr>
      <w:spacing w:before="11"/>
    </w:pPr>
    <w:rPr>
      <w:sz w:val="0"/>
    </w:rPr>
  </w:style>
  <w:style w:type="paragraph" w:customStyle="1" w:styleId="2">
    <w:name w:val="2"/>
    <w:pPr>
      <w:spacing w:before="57" w:after="227"/>
      <w:jc w:val="center"/>
    </w:pPr>
    <w:rPr>
      <w:b/>
      <w:sz w:val="32"/>
    </w:rPr>
  </w:style>
  <w:style w:type="paragraph" w:customStyle="1" w:styleId="3">
    <w:name w:val="3"/>
    <w:pPr>
      <w:ind w:left="680" w:right="680"/>
      <w:jc w:val="center"/>
    </w:pPr>
    <w:rPr>
      <w:b/>
      <w:caps/>
      <w:sz w:val="32"/>
    </w:rPr>
  </w:style>
  <w:style w:type="paragraph" w:customStyle="1" w:styleId="4">
    <w:name w:val="4"/>
    <w:pPr>
      <w:spacing w:after="170"/>
      <w:ind w:left="850" w:right="850"/>
      <w:jc w:val="center"/>
    </w:pPr>
    <w:rPr>
      <w:b/>
      <w:sz w:val="28"/>
    </w:rPr>
  </w:style>
  <w:style w:type="paragraph" w:customStyle="1" w:styleId="5">
    <w:name w:val="5"/>
    <w:pPr>
      <w:spacing w:before="340" w:after="113"/>
      <w:ind w:left="850" w:right="850"/>
      <w:jc w:val="center"/>
    </w:pPr>
    <w:rPr>
      <w:b/>
      <w:sz w:val="34"/>
    </w:rPr>
  </w:style>
  <w:style w:type="paragraph" w:customStyle="1" w:styleId="6">
    <w:name w:val="6"/>
    <w:pPr>
      <w:spacing w:before="283" w:after="340"/>
    </w:pPr>
    <w:rPr>
      <w:sz w:val="30"/>
    </w:rPr>
  </w:style>
  <w:style w:type="paragraph" w:customStyle="1" w:styleId="7">
    <w:name w:val="7"/>
    <w:pPr>
      <w:spacing w:before="227" w:after="113"/>
      <w:jc w:val="center"/>
    </w:pPr>
    <w:rPr>
      <w:sz w:val="28"/>
    </w:rPr>
  </w:style>
  <w:style w:type="paragraph" w:customStyle="1" w:styleId="8">
    <w:name w:val="8"/>
    <w:pPr>
      <w:spacing w:after="57"/>
      <w:ind w:left="850" w:right="850"/>
      <w:jc w:val="center"/>
    </w:pPr>
    <w:rPr>
      <w:b/>
      <w:sz w:val="28"/>
    </w:rPr>
  </w:style>
  <w:style w:type="paragraph" w:customStyle="1" w:styleId="9">
    <w:name w:val="9"/>
    <w:pPr>
      <w:spacing w:after="57"/>
      <w:jc w:val="both"/>
    </w:pPr>
    <w:rPr>
      <w:sz w:val="24"/>
    </w:rPr>
  </w:style>
  <w:style w:type="paragraph" w:customStyle="1" w:styleId="10">
    <w:name w:val="10"/>
    <w:pPr>
      <w:spacing w:before="227" w:after="113"/>
      <w:jc w:val="center"/>
    </w:pPr>
    <w:rPr>
      <w:sz w:val="28"/>
    </w:rPr>
  </w:style>
  <w:style w:type="paragraph" w:customStyle="1" w:styleId="11">
    <w:name w:val="11"/>
    <w:pPr>
      <w:spacing w:before="11"/>
    </w:pPr>
    <w:rPr>
      <w:sz w:val="0"/>
    </w:rPr>
  </w:style>
  <w:style w:type="paragraph" w:customStyle="1" w:styleId="12">
    <w:name w:val="12"/>
    <w:pPr>
      <w:spacing w:after="57"/>
      <w:jc w:val="both"/>
    </w:pPr>
    <w:rPr>
      <w:sz w:val="24"/>
    </w:rPr>
  </w:style>
  <w:style w:type="paragraph" w:customStyle="1" w:styleId="13">
    <w:name w:val="13"/>
    <w:pPr>
      <w:spacing w:before="57" w:after="57"/>
      <w:jc w:val="center"/>
    </w:pPr>
    <w:rPr>
      <w:sz w:val="24"/>
    </w:rPr>
  </w:style>
  <w:style w:type="paragraph" w:customStyle="1" w:styleId="14">
    <w:name w:val="14"/>
    <w:pPr>
      <w:spacing w:before="57"/>
      <w:jc w:val="center"/>
    </w:pPr>
    <w:rPr>
      <w:sz w:val="24"/>
    </w:rPr>
  </w:style>
  <w:style w:type="paragraph" w:customStyle="1" w:styleId="15">
    <w:name w:val="15"/>
    <w:pPr>
      <w:spacing w:before="737" w:after="57"/>
      <w:jc w:val="right"/>
    </w:pPr>
    <w:rPr>
      <w:b/>
      <w:sz w:val="26"/>
    </w:rPr>
  </w:style>
  <w:style w:type="paragraph" w:customStyle="1" w:styleId="16">
    <w:name w:val="16"/>
    <w:pPr>
      <w:spacing w:after="113"/>
      <w:ind w:left="850" w:right="850"/>
      <w:jc w:val="center"/>
    </w:pPr>
    <w:rPr>
      <w:b/>
      <w:sz w:val="28"/>
    </w:rPr>
  </w:style>
  <w:style w:type="paragraph" w:customStyle="1" w:styleId="17">
    <w:name w:val="17"/>
    <w:pPr>
      <w:spacing w:after="113"/>
      <w:jc w:val="both"/>
    </w:pPr>
    <w:rPr>
      <w:sz w:val="24"/>
    </w:rPr>
  </w:style>
  <w:style w:type="table" w:customStyle="1" w:styleId="data-tisk-na-sirkuPouzeNaPrvniStranezahlavi">
    <w:name w:val="data-tisk-na-sirku PouzeNaPrvniStrane_zahlavi"/>
    <w:basedOn w:val="Normlntabulka"/>
    <w:tblPr/>
  </w:style>
  <w:style w:type="paragraph" w:customStyle="1" w:styleId="18">
    <w:name w:val="18"/>
    <w:pPr>
      <w:spacing w:before="113" w:after="57"/>
      <w:jc w:val="both"/>
    </w:pPr>
    <w:rPr>
      <w:sz w:val="24"/>
    </w:rPr>
  </w:style>
  <w:style w:type="table" w:customStyle="1" w:styleId="TABLEXPouzeNaPrvniStranezahlavi">
    <w:name w:val="TABLEX PouzeNaPrvniStrane_zahlavi"/>
    <w:basedOn w:val="Normlntabulka"/>
    <w:tblPr/>
  </w:style>
  <w:style w:type="paragraph" w:customStyle="1" w:styleId="19">
    <w:name w:val="19"/>
    <w:pPr>
      <w:spacing w:after="113"/>
      <w:jc w:val="both"/>
    </w:pPr>
    <w:rPr>
      <w:sz w:val="24"/>
    </w:rPr>
  </w:style>
  <w:style w:type="paragraph" w:customStyle="1" w:styleId="20">
    <w:name w:val="20"/>
    <w:pPr>
      <w:spacing w:before="113" w:after="113"/>
      <w:jc w:val="both"/>
    </w:pPr>
    <w:rPr>
      <w:sz w:val="24"/>
    </w:rPr>
  </w:style>
  <w:style w:type="paragraph" w:customStyle="1" w:styleId="21">
    <w:name w:val="21"/>
    <w:pPr>
      <w:spacing w:before="113" w:after="5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1000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Solak</dc:creator>
  <cp:lastModifiedBy>Johánek Jiří</cp:lastModifiedBy>
  <cp:revision>2</cp:revision>
  <dcterms:created xsi:type="dcterms:W3CDTF">2026-08-11T15:48:00Z</dcterms:created>
  <dcterms:modified xsi:type="dcterms:W3CDTF">2026-08-11T15:48:00Z</dcterms:modified>
</cp:coreProperties>
</file>