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83E8E" w:rsidRPr="00C818D0" w:rsidRDefault="00000000">
      <w:pPr>
        <w:jc w:val="center"/>
        <w:rPr>
          <w:rFonts w:ascii="Arial" w:eastAsia="Cambria" w:hAnsi="Arial" w:cs="Arial"/>
          <w:sz w:val="36"/>
          <w:szCs w:val="36"/>
        </w:rPr>
      </w:pPr>
      <w:r w:rsidRPr="00C818D0">
        <w:rPr>
          <w:rFonts w:ascii="Arial" w:eastAsia="Cambria" w:hAnsi="Arial" w:cs="Arial"/>
          <w:sz w:val="36"/>
          <w:szCs w:val="36"/>
        </w:rPr>
        <w:t>UČEBNÍ OSNOVY (SYLABUS)</w:t>
      </w:r>
    </w:p>
    <w:p w14:paraId="00000002" w14:textId="77777777" w:rsidR="00583E8E" w:rsidRPr="00C818D0" w:rsidRDefault="00000000">
      <w:pPr>
        <w:jc w:val="center"/>
        <w:rPr>
          <w:rFonts w:ascii="Arial" w:eastAsia="Cambria" w:hAnsi="Arial" w:cs="Arial"/>
          <w:b/>
          <w:sz w:val="36"/>
          <w:szCs w:val="36"/>
        </w:rPr>
      </w:pPr>
      <w:r w:rsidRPr="00C818D0">
        <w:rPr>
          <w:rFonts w:ascii="Arial" w:eastAsia="Cambria" w:hAnsi="Arial" w:cs="Arial"/>
          <w:b/>
          <w:sz w:val="36"/>
          <w:szCs w:val="36"/>
        </w:rPr>
        <w:t>Technicko-metodické pokyny</w:t>
      </w:r>
    </w:p>
    <w:p w14:paraId="00000003" w14:textId="77777777" w:rsidR="00583E8E" w:rsidRPr="00C818D0" w:rsidRDefault="00583E8E">
      <w:pPr>
        <w:jc w:val="both"/>
        <w:rPr>
          <w:rFonts w:ascii="Arial" w:eastAsia="Cambria" w:hAnsi="Arial" w:cs="Arial"/>
          <w:sz w:val="24"/>
          <w:szCs w:val="24"/>
        </w:rPr>
      </w:pPr>
    </w:p>
    <w:p w14:paraId="00000004" w14:textId="70845B28"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Učební osnovy (Sylabus) v podobě tabulky v Excelu slouží ke zpracování obsahu kurzu. Je dostatečně flexibilní, ale zároveň svým formátem napomáhá vzdělávacímu zařízení k vysoké kvalitě zpracování. Na jedné straně umožňuje vzdělávacímu zařízení naplnit kurz takovým obsahem, jaký uzná sama za vhodný. Na straně druhé nutí vzdělávací zařízení neustále myslet na provázanost se Společným referenčním rámcem pro jazyky (SERRJ), vědomě formulovat získané znalosti, výstupy z učení </w:t>
      </w:r>
      <w:r w:rsidR="00667BEA">
        <w:rPr>
          <w:rFonts w:ascii="Arial" w:eastAsia="Cambria" w:hAnsi="Arial" w:cs="Arial"/>
          <w:sz w:val="24"/>
          <w:szCs w:val="24"/>
        </w:rPr>
        <w:br/>
      </w:r>
      <w:r w:rsidRPr="00C818D0">
        <w:rPr>
          <w:rFonts w:ascii="Arial" w:eastAsia="Cambria" w:hAnsi="Arial" w:cs="Arial"/>
          <w:sz w:val="24"/>
          <w:szCs w:val="24"/>
        </w:rPr>
        <w:t xml:space="preserve">a předkládat materiál, s nímž bude v průběhu kurzu pracovat. </w:t>
      </w:r>
    </w:p>
    <w:p w14:paraId="00000005" w14:textId="20AA0F3C"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Učební osnovy (Sylabus) se odkazují na dodatek SERRJ z roku 2020, který možné najít </w:t>
      </w:r>
      <w:hyperlink r:id="rId6">
        <w:r w:rsidR="00583E8E" w:rsidRPr="00C818D0">
          <w:rPr>
            <w:rFonts w:ascii="Arial" w:eastAsia="Cambria" w:hAnsi="Arial" w:cs="Arial"/>
            <w:color w:val="467886"/>
            <w:sz w:val="24"/>
            <w:szCs w:val="24"/>
            <w:u w:val="single"/>
          </w:rPr>
          <w:t>zde</w:t>
        </w:r>
      </w:hyperlink>
      <w:r w:rsidRPr="00C818D0">
        <w:rPr>
          <w:rFonts w:ascii="Arial" w:eastAsia="Cambria" w:hAnsi="Arial" w:cs="Arial"/>
          <w:sz w:val="24"/>
          <w:szCs w:val="24"/>
        </w:rPr>
        <w:t xml:space="preserve">. Klíčovou myšlenkou tabulky je </w:t>
      </w:r>
      <w:r w:rsidRPr="00C818D0">
        <w:rPr>
          <w:rFonts w:ascii="Arial" w:eastAsia="Cambria" w:hAnsi="Arial" w:cs="Arial"/>
          <w:b/>
          <w:sz w:val="24"/>
          <w:szCs w:val="24"/>
        </w:rPr>
        <w:t>rozvoj kompetencí</w:t>
      </w:r>
      <w:r w:rsidRPr="00C818D0">
        <w:rPr>
          <w:rFonts w:ascii="Arial" w:eastAsia="Cambria" w:hAnsi="Arial" w:cs="Arial"/>
          <w:sz w:val="24"/>
          <w:szCs w:val="24"/>
        </w:rPr>
        <w:t xml:space="preserve">, které určuje </w:t>
      </w:r>
      <w:r w:rsidR="00667BEA">
        <w:rPr>
          <w:rFonts w:ascii="Arial" w:eastAsia="Cambria" w:hAnsi="Arial" w:cs="Arial"/>
          <w:sz w:val="24"/>
          <w:szCs w:val="24"/>
        </w:rPr>
        <w:br/>
      </w:r>
      <w:r w:rsidRPr="00C818D0">
        <w:rPr>
          <w:rFonts w:ascii="Arial" w:eastAsia="Cambria" w:hAnsi="Arial" w:cs="Arial"/>
          <w:sz w:val="24"/>
          <w:szCs w:val="24"/>
        </w:rPr>
        <w:t xml:space="preserve">a předepisuje rámec, </w:t>
      </w:r>
      <w:r w:rsidRPr="00C818D0">
        <w:rPr>
          <w:rFonts w:ascii="Arial" w:eastAsia="Cambria" w:hAnsi="Arial" w:cs="Arial"/>
          <w:b/>
          <w:sz w:val="24"/>
          <w:szCs w:val="24"/>
        </w:rPr>
        <w:t>v tématech, který si zvolí vzdělávací zařízení</w:t>
      </w:r>
      <w:r w:rsidRPr="00C818D0">
        <w:rPr>
          <w:rFonts w:ascii="Arial" w:eastAsia="Cambria" w:hAnsi="Arial" w:cs="Arial"/>
          <w:sz w:val="24"/>
          <w:szCs w:val="24"/>
        </w:rPr>
        <w:t xml:space="preserve">.  </w:t>
      </w:r>
    </w:p>
    <w:p w14:paraId="00000006"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Následující pokyny slouží k tomu, aby vzdělávací zařízení s Učebními osnovami (Sylabem) pracovalo správně jak po </w:t>
      </w:r>
      <w:r w:rsidRPr="00C818D0">
        <w:rPr>
          <w:rFonts w:ascii="Arial" w:eastAsia="Cambria" w:hAnsi="Arial" w:cs="Arial"/>
          <w:sz w:val="24"/>
          <w:szCs w:val="24"/>
          <w:u w:val="single"/>
        </w:rPr>
        <w:t>technické</w:t>
      </w:r>
      <w:r w:rsidRPr="00C818D0">
        <w:rPr>
          <w:rFonts w:ascii="Arial" w:eastAsia="Cambria" w:hAnsi="Arial" w:cs="Arial"/>
          <w:sz w:val="24"/>
          <w:szCs w:val="24"/>
        </w:rPr>
        <w:t xml:space="preserve">, tak </w:t>
      </w:r>
      <w:r w:rsidRPr="00C818D0">
        <w:rPr>
          <w:rFonts w:ascii="Arial" w:eastAsia="Cambria" w:hAnsi="Arial" w:cs="Arial"/>
          <w:sz w:val="24"/>
          <w:szCs w:val="24"/>
          <w:u w:val="single"/>
        </w:rPr>
        <w:t>obsahové</w:t>
      </w:r>
      <w:r w:rsidRPr="00C818D0">
        <w:rPr>
          <w:rFonts w:ascii="Arial" w:eastAsia="Cambria" w:hAnsi="Arial" w:cs="Arial"/>
          <w:sz w:val="24"/>
          <w:szCs w:val="24"/>
        </w:rPr>
        <w:t xml:space="preserve"> stránce. </w:t>
      </w:r>
    </w:p>
    <w:p w14:paraId="00000007"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Na začátku je zcela zásadní vzít v potaz, že tabulka obsahuje </w:t>
      </w:r>
      <w:r w:rsidRPr="00C818D0">
        <w:rPr>
          <w:rFonts w:ascii="Arial" w:eastAsia="Cambria" w:hAnsi="Arial" w:cs="Arial"/>
          <w:b/>
          <w:sz w:val="24"/>
          <w:szCs w:val="24"/>
        </w:rPr>
        <w:t xml:space="preserve">vzorce </w:t>
      </w:r>
      <w:r w:rsidRPr="00C818D0">
        <w:rPr>
          <w:rFonts w:ascii="Arial" w:eastAsia="Cambria" w:hAnsi="Arial" w:cs="Arial"/>
          <w:sz w:val="24"/>
          <w:szCs w:val="24"/>
        </w:rPr>
        <w:t>a</w:t>
      </w:r>
      <w:r w:rsidRPr="00C818D0">
        <w:rPr>
          <w:rFonts w:ascii="Arial" w:eastAsia="Cambria" w:hAnsi="Arial" w:cs="Arial"/>
          <w:b/>
          <w:sz w:val="24"/>
          <w:szCs w:val="24"/>
        </w:rPr>
        <w:t xml:space="preserve"> makra</w:t>
      </w:r>
      <w:r w:rsidRPr="00C818D0">
        <w:rPr>
          <w:rFonts w:ascii="Arial" w:eastAsia="Cambria" w:hAnsi="Arial" w:cs="Arial"/>
          <w:sz w:val="24"/>
          <w:szCs w:val="24"/>
        </w:rPr>
        <w:t xml:space="preserve">. Z toho plyne, že jakékoliv změny se musí dít v souladu s těmito pokyny. V opačném případě hrozí, že tabulka nebude fungovat správně. </w:t>
      </w:r>
    </w:p>
    <w:p w14:paraId="00000008"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Po stažení a otevření dokumentu se může objevit dialogové okno či jiná hláška, jako například </w:t>
      </w:r>
      <w:r w:rsidRPr="00C818D0">
        <w:rPr>
          <w:rFonts w:ascii="Arial" w:eastAsia="Cambria" w:hAnsi="Arial" w:cs="Arial"/>
          <w:i/>
          <w:sz w:val="24"/>
          <w:szCs w:val="24"/>
        </w:rPr>
        <w:t xml:space="preserve">povolit obsah </w:t>
      </w:r>
      <w:r w:rsidRPr="00C818D0">
        <w:rPr>
          <w:rFonts w:ascii="Arial" w:eastAsia="Cambria" w:hAnsi="Arial" w:cs="Arial"/>
          <w:sz w:val="24"/>
          <w:szCs w:val="24"/>
        </w:rPr>
        <w:t xml:space="preserve">nebo </w:t>
      </w:r>
      <w:r w:rsidRPr="00C818D0">
        <w:rPr>
          <w:rFonts w:ascii="Arial" w:eastAsia="Cambria" w:hAnsi="Arial" w:cs="Arial"/>
          <w:i/>
          <w:sz w:val="24"/>
          <w:szCs w:val="24"/>
        </w:rPr>
        <w:t xml:space="preserve">povolit makra. </w:t>
      </w:r>
      <w:r w:rsidRPr="00C818D0">
        <w:rPr>
          <w:rFonts w:ascii="Arial" w:eastAsia="Cambria" w:hAnsi="Arial" w:cs="Arial"/>
          <w:sz w:val="24"/>
          <w:szCs w:val="24"/>
        </w:rPr>
        <w:t xml:space="preserve">Je nutné toto odsouhlasit, aby vše správně fungovalo. </w:t>
      </w:r>
    </w:p>
    <w:p w14:paraId="00000009"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Tabulka obsahuje následující listy:</w:t>
      </w:r>
    </w:p>
    <w:p w14:paraId="0000000A" w14:textId="77777777" w:rsidR="00583E8E" w:rsidRPr="00C818D0" w:rsidRDefault="00000000">
      <w:pPr>
        <w:numPr>
          <w:ilvl w:val="0"/>
          <w:numId w:val="1"/>
        </w:numPr>
        <w:pBdr>
          <w:top w:val="nil"/>
          <w:left w:val="nil"/>
          <w:bottom w:val="nil"/>
          <w:right w:val="nil"/>
          <w:between w:val="nil"/>
        </w:pBdr>
        <w:spacing w:after="0"/>
        <w:jc w:val="both"/>
        <w:rPr>
          <w:rFonts w:ascii="Arial" w:eastAsia="Cambria" w:hAnsi="Arial" w:cs="Arial"/>
          <w:color w:val="000000"/>
          <w:sz w:val="24"/>
          <w:szCs w:val="24"/>
        </w:rPr>
      </w:pPr>
      <w:r w:rsidRPr="00C818D0">
        <w:rPr>
          <w:rFonts w:ascii="Arial" w:eastAsia="Cambria" w:hAnsi="Arial" w:cs="Arial"/>
          <w:color w:val="000000"/>
          <w:sz w:val="24"/>
          <w:szCs w:val="24"/>
        </w:rPr>
        <w:t xml:space="preserve">List – TÉMA1, TÉMA2, TÉMA3…. </w:t>
      </w:r>
    </w:p>
    <w:p w14:paraId="0000000B" w14:textId="77777777" w:rsidR="00583E8E" w:rsidRPr="00C818D0" w:rsidRDefault="00000000">
      <w:pPr>
        <w:numPr>
          <w:ilvl w:val="0"/>
          <w:numId w:val="1"/>
        </w:numPr>
        <w:pBdr>
          <w:top w:val="nil"/>
          <w:left w:val="nil"/>
          <w:bottom w:val="nil"/>
          <w:right w:val="nil"/>
          <w:between w:val="nil"/>
        </w:pBdr>
        <w:spacing w:after="0"/>
        <w:jc w:val="both"/>
        <w:rPr>
          <w:rFonts w:ascii="Arial" w:eastAsia="Cambria" w:hAnsi="Arial" w:cs="Arial"/>
          <w:color w:val="000000"/>
          <w:sz w:val="24"/>
          <w:szCs w:val="24"/>
        </w:rPr>
      </w:pPr>
      <w:r w:rsidRPr="00C818D0">
        <w:rPr>
          <w:rFonts w:ascii="Arial" w:eastAsia="Cambria" w:hAnsi="Arial" w:cs="Arial"/>
          <w:color w:val="000000"/>
          <w:sz w:val="24"/>
          <w:szCs w:val="24"/>
        </w:rPr>
        <w:t>List – SOUČTY</w:t>
      </w:r>
    </w:p>
    <w:p w14:paraId="0000000C" w14:textId="77777777" w:rsidR="00583E8E" w:rsidRPr="00C818D0" w:rsidRDefault="00000000">
      <w:pPr>
        <w:numPr>
          <w:ilvl w:val="0"/>
          <w:numId w:val="1"/>
        </w:numPr>
        <w:pBdr>
          <w:top w:val="nil"/>
          <w:left w:val="nil"/>
          <w:bottom w:val="nil"/>
          <w:right w:val="nil"/>
          <w:between w:val="nil"/>
        </w:pBdr>
        <w:spacing w:after="0"/>
        <w:jc w:val="both"/>
        <w:rPr>
          <w:rFonts w:ascii="Arial" w:eastAsia="Cambria" w:hAnsi="Arial" w:cs="Arial"/>
          <w:color w:val="000000"/>
          <w:sz w:val="24"/>
          <w:szCs w:val="24"/>
        </w:rPr>
      </w:pPr>
      <w:r w:rsidRPr="00C818D0">
        <w:rPr>
          <w:rFonts w:ascii="Arial" w:eastAsia="Cambria" w:hAnsi="Arial" w:cs="Arial"/>
          <w:color w:val="000000"/>
          <w:sz w:val="24"/>
          <w:szCs w:val="24"/>
        </w:rPr>
        <w:t>List – SEZNAM KOMPETENCÍ</w:t>
      </w:r>
    </w:p>
    <w:p w14:paraId="0000000D" w14:textId="77777777" w:rsidR="00583E8E" w:rsidRPr="00C818D0" w:rsidRDefault="00000000">
      <w:pPr>
        <w:numPr>
          <w:ilvl w:val="0"/>
          <w:numId w:val="1"/>
        </w:numPr>
        <w:pBdr>
          <w:top w:val="nil"/>
          <w:left w:val="nil"/>
          <w:bottom w:val="nil"/>
          <w:right w:val="nil"/>
          <w:between w:val="nil"/>
        </w:pBdr>
        <w:spacing w:after="0"/>
        <w:jc w:val="both"/>
        <w:rPr>
          <w:rFonts w:ascii="Arial" w:eastAsia="Cambria" w:hAnsi="Arial" w:cs="Arial"/>
          <w:color w:val="000000"/>
          <w:sz w:val="24"/>
          <w:szCs w:val="24"/>
        </w:rPr>
      </w:pPr>
      <w:r w:rsidRPr="00C818D0">
        <w:rPr>
          <w:rFonts w:ascii="Arial" w:eastAsia="Cambria" w:hAnsi="Arial" w:cs="Arial"/>
          <w:color w:val="000000"/>
          <w:sz w:val="24"/>
          <w:szCs w:val="24"/>
        </w:rPr>
        <w:t>List – Učební plán (Komp</w:t>
      </w:r>
      <w:r w:rsidRPr="00C818D0">
        <w:rPr>
          <w:rFonts w:ascii="Arial" w:eastAsia="Cambria" w:hAnsi="Arial" w:cs="Arial"/>
          <w:sz w:val="24"/>
          <w:szCs w:val="24"/>
        </w:rPr>
        <w:t>etenční</w:t>
      </w:r>
      <w:r w:rsidRPr="00C818D0">
        <w:rPr>
          <w:rFonts w:ascii="Arial" w:eastAsia="Cambria" w:hAnsi="Arial" w:cs="Arial"/>
          <w:color w:val="000000"/>
          <w:sz w:val="24"/>
          <w:szCs w:val="24"/>
        </w:rPr>
        <w:t xml:space="preserve"> oblasti)</w:t>
      </w:r>
    </w:p>
    <w:p w14:paraId="0000000E" w14:textId="77777777" w:rsidR="00583E8E" w:rsidRPr="00C818D0" w:rsidRDefault="00583E8E">
      <w:pPr>
        <w:pBdr>
          <w:top w:val="nil"/>
          <w:left w:val="nil"/>
          <w:bottom w:val="nil"/>
          <w:right w:val="nil"/>
          <w:between w:val="nil"/>
        </w:pBdr>
        <w:ind w:left="720"/>
        <w:jc w:val="both"/>
        <w:rPr>
          <w:rFonts w:ascii="Arial" w:eastAsia="Cambria" w:hAnsi="Arial" w:cs="Arial"/>
          <w:color w:val="000000"/>
          <w:sz w:val="24"/>
          <w:szCs w:val="24"/>
        </w:rPr>
      </w:pPr>
    </w:p>
    <w:p w14:paraId="0000000F" w14:textId="77777777" w:rsidR="00583E8E" w:rsidRPr="00C818D0" w:rsidRDefault="00000000">
      <w:pPr>
        <w:jc w:val="both"/>
        <w:rPr>
          <w:rFonts w:ascii="Arial" w:eastAsia="Cambria" w:hAnsi="Arial" w:cs="Arial"/>
          <w:b/>
          <w:bCs/>
          <w:sz w:val="24"/>
          <w:szCs w:val="24"/>
        </w:rPr>
      </w:pPr>
      <w:r w:rsidRPr="00C818D0">
        <w:rPr>
          <w:rFonts w:ascii="Arial" w:eastAsia="Cambria" w:hAnsi="Arial" w:cs="Arial"/>
          <w:b/>
          <w:bCs/>
          <w:sz w:val="24"/>
          <w:szCs w:val="24"/>
        </w:rPr>
        <w:t>1) List TÉMA</w:t>
      </w:r>
    </w:p>
    <w:p w14:paraId="00000010"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List obsahuje sloupce A až F. Každý sloupec je nutné naplnit obsahem. </w:t>
      </w:r>
    </w:p>
    <w:p w14:paraId="00000011"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List TÉMA1 je zamčený, obsahuje BOZP. Pokračujte s dalšími listy od tématu 2 dále. </w:t>
      </w:r>
    </w:p>
    <w:p w14:paraId="00000012"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Listy můžete přidávat, ale vždy se musí jmenovat „TÉMA“ a obsahovat za posledním písmenem číslo, a to bez mezery; např. TÉMA7, TÉMA8, TÉMA450… apod.</w:t>
      </w:r>
    </w:p>
    <w:p w14:paraId="00000013"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Sloupec A – </w:t>
      </w:r>
      <w:r w:rsidRPr="00C818D0">
        <w:rPr>
          <w:rFonts w:ascii="Arial" w:eastAsia="Cambria" w:hAnsi="Arial" w:cs="Arial"/>
          <w:b/>
          <w:sz w:val="24"/>
          <w:szCs w:val="24"/>
        </w:rPr>
        <w:t>Téma</w:t>
      </w:r>
      <w:r w:rsidRPr="00C818D0">
        <w:rPr>
          <w:rFonts w:ascii="Arial" w:eastAsia="Cambria" w:hAnsi="Arial" w:cs="Arial"/>
          <w:sz w:val="24"/>
          <w:szCs w:val="24"/>
        </w:rPr>
        <w:t xml:space="preserve"> – zde napíšete téma, kterému se chcete věnovat; například </w:t>
      </w:r>
      <w:r w:rsidRPr="00C818D0">
        <w:rPr>
          <w:rFonts w:ascii="Arial" w:eastAsia="Cambria" w:hAnsi="Arial" w:cs="Arial"/>
          <w:i/>
          <w:sz w:val="24"/>
          <w:szCs w:val="24"/>
        </w:rPr>
        <w:t xml:space="preserve">Výchova včera a dnes. </w:t>
      </w:r>
      <w:r w:rsidRPr="00C818D0">
        <w:rPr>
          <w:rFonts w:ascii="Arial" w:eastAsia="Cambria" w:hAnsi="Arial" w:cs="Arial"/>
          <w:sz w:val="24"/>
          <w:szCs w:val="24"/>
        </w:rPr>
        <w:t xml:space="preserve">Případně můžete do dalších řádků rozepsat další dílčí témata, respektive podrobněji popsat tematický blok. Následující sloupce popisují to, jak s tématem naložíte didakticky. Pro jedno téma je možné použít právě jeden list. Nepište více témat do jednoho listu, nebude pak jasné, kolik hodin tématu věnujete.  </w:t>
      </w:r>
    </w:p>
    <w:p w14:paraId="00000014"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lastRenderedPageBreak/>
        <w:t xml:space="preserve">Sloupec B – </w:t>
      </w:r>
      <w:r w:rsidRPr="00C818D0">
        <w:rPr>
          <w:rFonts w:ascii="Arial" w:eastAsia="Cambria" w:hAnsi="Arial" w:cs="Arial"/>
          <w:b/>
          <w:sz w:val="24"/>
          <w:szCs w:val="24"/>
        </w:rPr>
        <w:t>Kompetence</w:t>
      </w:r>
      <w:r w:rsidRPr="00C818D0">
        <w:rPr>
          <w:rFonts w:ascii="Arial" w:eastAsia="Cambria" w:hAnsi="Arial" w:cs="Arial"/>
          <w:sz w:val="24"/>
          <w:szCs w:val="24"/>
        </w:rPr>
        <w:t xml:space="preserve"> – obsahuje rolovací buňky. V buňce jsou na výběr kompetence pojmenované podle SERRJ. V tomto sloupci vyberete ty kompetence, které chcete během zvoleného tématu rozvíjet. Není možné rozvíjet všechny kompetence v rámci jednoho tématu. Pro komplexní rozvoj kompetencí je nutné zvolit dostatečné množství témat. Jakmile zvolíte kompetenci, její výskyt se počítá v listu SOUČTY, a to </w:t>
      </w:r>
      <w:r w:rsidRPr="00C818D0">
        <w:rPr>
          <w:rFonts w:ascii="Arial" w:eastAsia="Cambria" w:hAnsi="Arial" w:cs="Arial"/>
          <w:sz w:val="24"/>
          <w:szCs w:val="24"/>
          <w:u w:val="single"/>
        </w:rPr>
        <w:t>po stisknutí tlačítka SPOČÍTEJ VÝSKYTY KOMPETENCÍ</w:t>
      </w:r>
      <w:r w:rsidRPr="00C818D0">
        <w:rPr>
          <w:rFonts w:ascii="Arial" w:eastAsia="Cambria" w:hAnsi="Arial" w:cs="Arial"/>
          <w:sz w:val="24"/>
          <w:szCs w:val="24"/>
        </w:rPr>
        <w:t xml:space="preserve">. </w:t>
      </w:r>
    </w:p>
    <w:p w14:paraId="00000015" w14:textId="1044472C"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Jednotlivé kompetence se dále sčítají pro jednotlivé kompetenční oblasti. Například kompetence </w:t>
      </w:r>
      <w:r w:rsidRPr="00C818D0">
        <w:rPr>
          <w:rFonts w:ascii="Arial" w:eastAsia="Cambria" w:hAnsi="Arial" w:cs="Arial"/>
          <w:i/>
          <w:sz w:val="24"/>
          <w:szCs w:val="24"/>
        </w:rPr>
        <w:t xml:space="preserve">Čtení korespondence, Orientační čtení, Čtení s cílem získat informace </w:t>
      </w:r>
      <w:r w:rsidR="00667BEA">
        <w:rPr>
          <w:rFonts w:ascii="Arial" w:eastAsia="Cambria" w:hAnsi="Arial" w:cs="Arial"/>
          <w:i/>
          <w:sz w:val="24"/>
          <w:szCs w:val="24"/>
        </w:rPr>
        <w:br/>
      </w:r>
      <w:r w:rsidRPr="00C818D0">
        <w:rPr>
          <w:rFonts w:ascii="Arial" w:eastAsia="Cambria" w:hAnsi="Arial" w:cs="Arial"/>
          <w:i/>
          <w:sz w:val="24"/>
          <w:szCs w:val="24"/>
        </w:rPr>
        <w:t>a argumenty, Čtení instrukcí</w:t>
      </w:r>
      <w:r w:rsidRPr="00C818D0">
        <w:rPr>
          <w:rFonts w:ascii="Arial" w:eastAsia="Cambria" w:hAnsi="Arial" w:cs="Arial"/>
          <w:sz w:val="24"/>
          <w:szCs w:val="24"/>
        </w:rPr>
        <w:t xml:space="preserve"> se počítají v listu SOUČTY jako jednotlivé kompetence, ale dále v listu Učební plán (Kompetenční oblasti) budou všechny jejich výskyty sečteny pod kompetenční oblastí </w:t>
      </w:r>
      <w:r w:rsidRPr="00C818D0">
        <w:rPr>
          <w:rFonts w:ascii="Arial" w:eastAsia="Cambria" w:hAnsi="Arial" w:cs="Arial"/>
          <w:i/>
          <w:sz w:val="24"/>
          <w:szCs w:val="24"/>
        </w:rPr>
        <w:t>Všeobecné porozumění čtenému</w:t>
      </w:r>
      <w:r w:rsidRPr="00C818D0">
        <w:rPr>
          <w:rFonts w:ascii="Arial" w:eastAsia="Cambria" w:hAnsi="Arial" w:cs="Arial"/>
          <w:sz w:val="24"/>
          <w:szCs w:val="24"/>
        </w:rPr>
        <w:t xml:space="preserve">. Proč tomu tak je? Je tomu tak proto, abyste vy sami měli kontrolu nad tím, zda jednotlivé kompetence </w:t>
      </w:r>
      <w:r w:rsidR="00667BEA">
        <w:rPr>
          <w:rFonts w:ascii="Arial" w:eastAsia="Cambria" w:hAnsi="Arial" w:cs="Arial"/>
          <w:sz w:val="24"/>
          <w:szCs w:val="24"/>
        </w:rPr>
        <w:br/>
      </w:r>
      <w:r w:rsidRPr="00C818D0">
        <w:rPr>
          <w:rFonts w:ascii="Arial" w:eastAsia="Cambria" w:hAnsi="Arial" w:cs="Arial"/>
          <w:sz w:val="24"/>
          <w:szCs w:val="24"/>
        </w:rPr>
        <w:t xml:space="preserve">i kompetenční oblasti rozvíjíte rovnoměrně nebo tak, jak si sami představujete. Do jisté míry tyto výskyty korespondují s počtem hodin. </w:t>
      </w:r>
    </w:p>
    <w:p w14:paraId="00000016" w14:textId="266B0E38"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Sloupec C – </w:t>
      </w:r>
      <w:r w:rsidRPr="00C818D0">
        <w:rPr>
          <w:rFonts w:ascii="Arial" w:eastAsia="Cambria" w:hAnsi="Arial" w:cs="Arial"/>
          <w:b/>
          <w:sz w:val="24"/>
          <w:szCs w:val="24"/>
        </w:rPr>
        <w:t>Výstupy učení: Student umí…</w:t>
      </w:r>
      <w:r w:rsidRPr="00C818D0">
        <w:rPr>
          <w:rFonts w:ascii="Arial" w:eastAsia="Cambria" w:hAnsi="Arial" w:cs="Arial"/>
          <w:sz w:val="24"/>
          <w:szCs w:val="24"/>
        </w:rPr>
        <w:t xml:space="preserve"> – zde píšete to, co na konci tohoto tematického celku student umí nebo dokáže. Formuluje se aktivně. Například: „dokáže odlišit prostředky spisovného a nespisovného jazyka“, „umí interpretovat graf </w:t>
      </w:r>
      <w:r w:rsidR="00667BEA">
        <w:rPr>
          <w:rFonts w:ascii="Arial" w:eastAsia="Cambria" w:hAnsi="Arial" w:cs="Arial"/>
          <w:sz w:val="24"/>
          <w:szCs w:val="24"/>
        </w:rPr>
        <w:br/>
      </w:r>
      <w:r w:rsidRPr="00C818D0">
        <w:rPr>
          <w:rFonts w:ascii="Arial" w:eastAsia="Cambria" w:hAnsi="Arial" w:cs="Arial"/>
          <w:sz w:val="24"/>
          <w:szCs w:val="24"/>
        </w:rPr>
        <w:t xml:space="preserve">a souvisle promluvit o jeho obsahu“. Strukturujte každý výstup do vlastního řádku pro větší přehlednost. </w:t>
      </w:r>
    </w:p>
    <w:p w14:paraId="00000017"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Sloupec D – </w:t>
      </w:r>
      <w:r w:rsidRPr="00C818D0">
        <w:rPr>
          <w:rFonts w:ascii="Arial" w:eastAsia="Cambria" w:hAnsi="Arial" w:cs="Arial"/>
          <w:b/>
          <w:sz w:val="24"/>
          <w:szCs w:val="24"/>
        </w:rPr>
        <w:t xml:space="preserve">Znalosti </w:t>
      </w:r>
      <w:r w:rsidRPr="00C818D0">
        <w:rPr>
          <w:rFonts w:ascii="Arial" w:eastAsia="Cambria" w:hAnsi="Arial" w:cs="Arial"/>
          <w:sz w:val="24"/>
          <w:szCs w:val="24"/>
        </w:rPr>
        <w:t xml:space="preserve">– zde píšete, jaké znalosti student v tomto tematickém celku získá. Například: „slovní zásoba týkající se tématu výchova, dativ plurálu zájmen“ apod. Strukturujte každou znalost do vlastního řádku pro větší přehlednost. </w:t>
      </w:r>
    </w:p>
    <w:p w14:paraId="00000018" w14:textId="740D4CC3"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Sloupec E – </w:t>
      </w:r>
      <w:r w:rsidRPr="00C818D0">
        <w:rPr>
          <w:rFonts w:ascii="Arial" w:eastAsia="Cambria" w:hAnsi="Arial" w:cs="Arial"/>
          <w:b/>
          <w:sz w:val="24"/>
          <w:szCs w:val="24"/>
        </w:rPr>
        <w:t>Materiály / Zdroje</w:t>
      </w:r>
      <w:r w:rsidRPr="00C818D0">
        <w:rPr>
          <w:rFonts w:ascii="Arial" w:eastAsia="Cambria" w:hAnsi="Arial" w:cs="Arial"/>
          <w:sz w:val="24"/>
          <w:szCs w:val="24"/>
        </w:rPr>
        <w:t xml:space="preserve"> – zde píšete, jaké KONKRÉTNÍ materiály pro toto téma použijete. Může se jednat o učebnici, autentický materiál (časopis, web, film, podcast, kniha…), váš vlastní materiál, nebo cokoliv jiného. Pokud je využíván vlastní studijní materiál, je nutné přiložit alespoň jednu vzorovou kapitolu studijního materiálu </w:t>
      </w:r>
      <w:r w:rsidR="00667BEA">
        <w:rPr>
          <w:rFonts w:ascii="Arial" w:eastAsia="Cambria" w:hAnsi="Arial" w:cs="Arial"/>
          <w:sz w:val="24"/>
          <w:szCs w:val="24"/>
        </w:rPr>
        <w:br/>
      </w:r>
      <w:r w:rsidRPr="00C818D0">
        <w:rPr>
          <w:rFonts w:ascii="Arial" w:eastAsia="Cambria" w:hAnsi="Arial" w:cs="Arial"/>
          <w:sz w:val="24"/>
          <w:szCs w:val="24"/>
        </w:rPr>
        <w:t>k nahlédnutí.</w:t>
      </w:r>
    </w:p>
    <w:p w14:paraId="00000019"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Sloupec F – </w:t>
      </w:r>
      <w:r w:rsidRPr="00C818D0">
        <w:rPr>
          <w:rFonts w:ascii="Arial" w:eastAsia="Cambria" w:hAnsi="Arial" w:cs="Arial"/>
          <w:b/>
          <w:sz w:val="24"/>
          <w:szCs w:val="24"/>
        </w:rPr>
        <w:t>Časová dotace ve vyučovacích hodinách</w:t>
      </w:r>
      <w:r w:rsidRPr="00C818D0">
        <w:rPr>
          <w:rFonts w:ascii="Arial" w:eastAsia="Cambria" w:hAnsi="Arial" w:cs="Arial"/>
          <w:sz w:val="24"/>
          <w:szCs w:val="24"/>
        </w:rPr>
        <w:t xml:space="preserve"> – zde napíšete pouze celkový čas, který chcete s tímto jedním tématem strávit. Uvádí se celé vyučovací hodiny (45 minut). Tedy 2x45 minut uvedete v jako 2. Pokud tématu věnujete 2x45 čtyřikrát v týdnu, tak je to dohromady 8x45, do tohoto sloupce napíšete 8. Nic víc. Toto číslo se pak </w:t>
      </w:r>
      <w:r w:rsidRPr="00C818D0">
        <w:rPr>
          <w:rFonts w:ascii="Arial" w:eastAsia="Cambria" w:hAnsi="Arial" w:cs="Arial"/>
          <w:sz w:val="24"/>
          <w:szCs w:val="24"/>
          <w:u w:val="single"/>
        </w:rPr>
        <w:t>automaticky</w:t>
      </w:r>
      <w:r w:rsidRPr="00C818D0">
        <w:rPr>
          <w:rFonts w:ascii="Arial" w:eastAsia="Cambria" w:hAnsi="Arial" w:cs="Arial"/>
          <w:sz w:val="24"/>
          <w:szCs w:val="24"/>
        </w:rPr>
        <w:t xml:space="preserve"> sčítá v listu SOUČTY. Vy tak máte kontrolu nad tím, zda váš kurz má tolik hodin, kolik potřebujete.</w:t>
      </w:r>
    </w:p>
    <w:p w14:paraId="0000001A" w14:textId="77777777" w:rsidR="00583E8E" w:rsidRPr="00C818D0" w:rsidRDefault="00000000">
      <w:pPr>
        <w:jc w:val="both"/>
        <w:rPr>
          <w:rFonts w:ascii="Arial" w:eastAsia="Cambria" w:hAnsi="Arial" w:cs="Arial"/>
          <w:sz w:val="24"/>
          <w:szCs w:val="24"/>
        </w:rPr>
      </w:pPr>
      <w:r w:rsidRPr="00C818D0">
        <w:rPr>
          <w:rFonts w:ascii="Arial" w:eastAsia="Cambria" w:hAnsi="Arial" w:cs="Arial"/>
          <w:b/>
          <w:bCs/>
          <w:sz w:val="24"/>
          <w:szCs w:val="24"/>
        </w:rPr>
        <w:t>2) Listy SOUČTY a SEZNAM KOMPETENCÍ</w:t>
      </w:r>
      <w:r w:rsidRPr="00C818D0">
        <w:rPr>
          <w:rFonts w:ascii="Arial" w:eastAsia="Cambria" w:hAnsi="Arial" w:cs="Arial"/>
          <w:sz w:val="24"/>
          <w:szCs w:val="24"/>
        </w:rPr>
        <w:t xml:space="preserve"> jsou tu z technických důvodů. Do nich nic nevpisujete. V listu SOUČTY kontrolujete počty hodin a počty výskytů jednotlivých kompetencí. List seznam kompetencí je pouze proto, že Excel si z tohoto listu bere data pro rolovací tabulku. </w:t>
      </w:r>
    </w:p>
    <w:p w14:paraId="0000001B"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Kontrola výskytů kompetencí proběhne tak, že kliknete na šedé tlačítko Spočítej výskyty kompetencí. Jakmile toto uděláte, dojde také k přepočtu výskytů v listu Učební plán (Kompetenční oblasti). </w:t>
      </w:r>
    </w:p>
    <w:p w14:paraId="0000001C" w14:textId="77777777" w:rsidR="00583E8E" w:rsidRDefault="00583E8E">
      <w:pPr>
        <w:jc w:val="both"/>
        <w:rPr>
          <w:rFonts w:ascii="Arial" w:eastAsia="Cambria" w:hAnsi="Arial" w:cs="Arial"/>
          <w:sz w:val="24"/>
          <w:szCs w:val="24"/>
        </w:rPr>
      </w:pPr>
    </w:p>
    <w:p w14:paraId="4EEE2C2D" w14:textId="77777777" w:rsidR="00C818D0" w:rsidRPr="00C818D0" w:rsidRDefault="00C818D0">
      <w:pPr>
        <w:jc w:val="both"/>
        <w:rPr>
          <w:rFonts w:ascii="Arial" w:eastAsia="Cambria" w:hAnsi="Arial" w:cs="Arial"/>
          <w:sz w:val="24"/>
          <w:szCs w:val="24"/>
        </w:rPr>
      </w:pPr>
    </w:p>
    <w:p w14:paraId="0000001D" w14:textId="77777777" w:rsidR="00583E8E" w:rsidRPr="00C818D0" w:rsidRDefault="00000000">
      <w:pPr>
        <w:jc w:val="both"/>
        <w:rPr>
          <w:rFonts w:ascii="Arial" w:eastAsia="Cambria" w:hAnsi="Arial" w:cs="Arial"/>
          <w:b/>
          <w:bCs/>
          <w:sz w:val="24"/>
          <w:szCs w:val="24"/>
        </w:rPr>
      </w:pPr>
      <w:r w:rsidRPr="00C818D0">
        <w:rPr>
          <w:rFonts w:ascii="Arial" w:eastAsia="Cambria" w:hAnsi="Arial" w:cs="Arial"/>
          <w:b/>
          <w:bCs/>
          <w:sz w:val="24"/>
          <w:szCs w:val="24"/>
        </w:rPr>
        <w:lastRenderedPageBreak/>
        <w:t>3) List – Učební plán (Kompetenční oblasti)</w:t>
      </w:r>
    </w:p>
    <w:p w14:paraId="0000001E"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 xml:space="preserve">Sloupce A–C jsou totožné s tím, co je součástí osvědčení o absolvování kurzu. </w:t>
      </w:r>
    </w:p>
    <w:p w14:paraId="0000001F"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t>Sloupec A se zde jmenuje Kompetenční oblast a je totožný se sloupcem v ostatních dokumentech, kde se nazývá Učební plán, Název tematického celku, Kompetenční oblast.</w:t>
      </w:r>
    </w:p>
    <w:p w14:paraId="00000020"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u w:val="single"/>
        </w:rPr>
        <w:t>Sloupec D</w:t>
      </w:r>
      <w:r w:rsidRPr="00C818D0">
        <w:rPr>
          <w:rFonts w:ascii="Arial" w:eastAsia="Cambria" w:hAnsi="Arial" w:cs="Arial"/>
          <w:sz w:val="24"/>
          <w:szCs w:val="24"/>
        </w:rPr>
        <w:t xml:space="preserve"> (Počet výskytů konkrétních kompetencí) </w:t>
      </w:r>
      <w:r w:rsidRPr="00C818D0">
        <w:rPr>
          <w:rFonts w:ascii="Arial" w:eastAsia="Cambria" w:hAnsi="Arial" w:cs="Arial"/>
          <w:b/>
          <w:sz w:val="24"/>
          <w:szCs w:val="24"/>
        </w:rPr>
        <w:t>automaticky</w:t>
      </w:r>
      <w:r w:rsidRPr="00C818D0">
        <w:rPr>
          <w:rFonts w:ascii="Arial" w:eastAsia="Cambria" w:hAnsi="Arial" w:cs="Arial"/>
          <w:sz w:val="24"/>
          <w:szCs w:val="24"/>
        </w:rPr>
        <w:t xml:space="preserve"> počítá to, co vy sami do Učebních osnov (Sylabu) vpisujete, tedy počet kolikrát jste uvedenou kompetenci doplnili k jednotlivým tématům. Nicméně se jedná pouze o vaši kontrolu. </w:t>
      </w:r>
    </w:p>
    <w:p w14:paraId="00000021"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u w:val="single"/>
        </w:rPr>
        <w:t>Sloupec C</w:t>
      </w:r>
      <w:r w:rsidRPr="00C818D0">
        <w:rPr>
          <w:rFonts w:ascii="Arial" w:eastAsia="Cambria" w:hAnsi="Arial" w:cs="Arial"/>
          <w:sz w:val="24"/>
          <w:szCs w:val="24"/>
        </w:rPr>
        <w:t xml:space="preserve"> vyplňujete </w:t>
      </w:r>
      <w:r w:rsidRPr="00C818D0">
        <w:rPr>
          <w:rFonts w:ascii="Arial" w:eastAsia="Cambria" w:hAnsi="Arial" w:cs="Arial"/>
          <w:b/>
          <w:sz w:val="24"/>
          <w:szCs w:val="24"/>
        </w:rPr>
        <w:t>ručně</w:t>
      </w:r>
      <w:r w:rsidRPr="00C818D0">
        <w:rPr>
          <w:rFonts w:ascii="Arial" w:eastAsia="Cambria" w:hAnsi="Arial" w:cs="Arial"/>
          <w:sz w:val="24"/>
          <w:szCs w:val="24"/>
        </w:rPr>
        <w:t xml:space="preserve"> vy.  Hodiny pro každou kompetenční oblast doplňujete dle svého uvážení. Dole se vám hodiny sčítají. Kontrolou pro rovnoměrné, nebo vámi navržené rozvržení jsou počty výskytů (sloupec D) jednotlivých kompetencí sdružených do kompetenčních oblastí. Počet výskytů a počty hodin spolu nelze nijak numericky provázat. Jedná se pouze o pomocný ukazatel. Jedná se, jak bylo řečeno, o kontrolu, neboť celý dokument je příliš komplexní na to, abychom vše sami drželi v paměti. </w:t>
      </w:r>
    </w:p>
    <w:p w14:paraId="00000022" w14:textId="77777777" w:rsidR="00583E8E" w:rsidRPr="00C818D0" w:rsidRDefault="00000000">
      <w:pPr>
        <w:jc w:val="both"/>
        <w:rPr>
          <w:rFonts w:ascii="Arial" w:eastAsia="Cambria" w:hAnsi="Arial" w:cs="Arial"/>
          <w:sz w:val="24"/>
          <w:szCs w:val="24"/>
        </w:rPr>
      </w:pPr>
      <w:r w:rsidRPr="00C818D0">
        <w:rPr>
          <w:rFonts w:ascii="Arial" w:eastAsia="Cambria" w:hAnsi="Arial" w:cs="Arial"/>
          <w:sz w:val="24"/>
          <w:szCs w:val="24"/>
        </w:rPr>
        <w:br/>
        <w:t xml:space="preserve"> </w:t>
      </w:r>
    </w:p>
    <w:p w14:paraId="00000023" w14:textId="77777777" w:rsidR="00583E8E" w:rsidRPr="00C818D0" w:rsidRDefault="00583E8E">
      <w:pPr>
        <w:jc w:val="both"/>
        <w:rPr>
          <w:rFonts w:ascii="Arial" w:eastAsia="Cambria" w:hAnsi="Arial" w:cs="Arial"/>
          <w:sz w:val="24"/>
          <w:szCs w:val="24"/>
        </w:rPr>
      </w:pPr>
    </w:p>
    <w:p w14:paraId="00000024" w14:textId="77777777" w:rsidR="00583E8E" w:rsidRPr="00C818D0" w:rsidRDefault="00583E8E">
      <w:pPr>
        <w:jc w:val="both"/>
        <w:rPr>
          <w:rFonts w:ascii="Arial" w:eastAsia="Cambria" w:hAnsi="Arial" w:cs="Arial"/>
          <w:sz w:val="24"/>
          <w:szCs w:val="24"/>
        </w:rPr>
      </w:pPr>
    </w:p>
    <w:sectPr w:rsidR="00583E8E" w:rsidRPr="00C818D0">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0DA1A62-14D2-4C26-9D32-3ADCF5196B3F}"/>
    <w:embedBold r:id="rId2" w:fontKey="{5AD6CD81-D23D-4E6C-A5C5-F58E97BDCDB4}"/>
    <w:embedItalic r:id="rId3" w:fontKey="{C944EB4F-8310-45D6-A95C-200ADE618645}"/>
  </w:font>
  <w:font w:name="Play">
    <w:charset w:val="00"/>
    <w:family w:val="auto"/>
    <w:pitch w:val="default"/>
    <w:embedRegular r:id="rId4" w:fontKey="{5E8284F0-8B77-4FA1-B9EB-A47DDC64C937}"/>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0063ED13-C651-44D1-9E84-955F53B06AE8}"/>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9790F449-F25B-4355-A4B7-89849DB342F3}"/>
    <w:embedBold r:id="rId7" w:fontKey="{20FBA480-7446-4484-990C-F9D167D0247F}"/>
    <w:embedItalic r:id="rId8" w:fontKey="{D81C761F-EE70-4A48-A71B-4F09305C51A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7389A"/>
    <w:multiLevelType w:val="multilevel"/>
    <w:tmpl w:val="C8701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984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E8E"/>
    <w:rsid w:val="00583E8E"/>
    <w:rsid w:val="00667BEA"/>
    <w:rsid w:val="006A5057"/>
    <w:rsid w:val="00AC2536"/>
    <w:rsid w:val="00C818D0"/>
    <w:rsid w:val="00E26D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D9E7"/>
  <w15:docId w15:val="{FF508C39-9AD6-4293-B587-F24AF34D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
    <w:next w:val="Normln"/>
    <w:uiPriority w:val="9"/>
    <w:semiHidden/>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after="0"/>
      <w:outlineLvl w:val="5"/>
    </w:pPr>
    <w:rPr>
      <w:i/>
      <w:color w:val="595959"/>
    </w:rPr>
  </w:style>
  <w:style w:type="paragraph" w:styleId="Nadpis7">
    <w:name w:val="heading 7"/>
    <w:link w:val="Nadpis7Char"/>
    <w:uiPriority w:val="9"/>
    <w:semiHidden/>
    <w:unhideWhenUsed/>
    <w:qFormat/>
    <w:rsid w:val="00EC784F"/>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EC784F"/>
    <w:pPr>
      <w:keepNext/>
      <w:keepLines/>
      <w:spacing w:after="0"/>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EC784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Nadpis1Char">
    <w:name w:val="Nadpis 1 Char"/>
    <w:basedOn w:val="Standardnpsmoodstavce"/>
    <w:uiPriority w:val="9"/>
    <w:rsid w:val="00EC784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semiHidden/>
    <w:rsid w:val="00EC784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EC784F"/>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EC784F"/>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EC784F"/>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EC784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C784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C784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C784F"/>
    <w:rPr>
      <w:rFonts w:eastAsiaTheme="majorEastAsia" w:cstheme="majorBidi"/>
      <w:color w:val="272727" w:themeColor="text1" w:themeTint="D8"/>
    </w:rPr>
  </w:style>
  <w:style w:type="character" w:customStyle="1" w:styleId="NzevChar">
    <w:name w:val="Název Char"/>
    <w:basedOn w:val="Standardnpsmoodstavce"/>
    <w:uiPriority w:val="10"/>
    <w:rsid w:val="00EC784F"/>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EC784F"/>
    <w:rPr>
      <w:rFonts w:eastAsiaTheme="majorEastAsia" w:cstheme="majorBidi"/>
      <w:color w:val="595959" w:themeColor="text1" w:themeTint="A6"/>
      <w:spacing w:val="15"/>
      <w:sz w:val="28"/>
      <w:szCs w:val="28"/>
    </w:rPr>
  </w:style>
  <w:style w:type="paragraph" w:styleId="Citt">
    <w:name w:val="Quote"/>
    <w:link w:val="CittChar"/>
    <w:uiPriority w:val="29"/>
    <w:qFormat/>
    <w:rsid w:val="00EC784F"/>
    <w:pPr>
      <w:spacing w:before="160"/>
      <w:jc w:val="center"/>
    </w:pPr>
    <w:rPr>
      <w:i/>
      <w:iCs/>
      <w:color w:val="404040" w:themeColor="text1" w:themeTint="BF"/>
    </w:rPr>
  </w:style>
  <w:style w:type="character" w:customStyle="1" w:styleId="CittChar">
    <w:name w:val="Citát Char"/>
    <w:basedOn w:val="Standardnpsmoodstavce"/>
    <w:link w:val="Citt"/>
    <w:uiPriority w:val="29"/>
    <w:rsid w:val="00EC784F"/>
    <w:rPr>
      <w:i/>
      <w:iCs/>
      <w:color w:val="404040" w:themeColor="text1" w:themeTint="BF"/>
    </w:rPr>
  </w:style>
  <w:style w:type="paragraph" w:styleId="Odstavecseseznamem">
    <w:name w:val="List Paragraph"/>
    <w:uiPriority w:val="34"/>
    <w:qFormat/>
    <w:rsid w:val="00EC784F"/>
    <w:pPr>
      <w:ind w:left="720"/>
      <w:contextualSpacing/>
    </w:pPr>
  </w:style>
  <w:style w:type="character" w:styleId="Zdraznnintenzivn">
    <w:name w:val="Intense Emphasis"/>
    <w:basedOn w:val="Standardnpsmoodstavce"/>
    <w:uiPriority w:val="21"/>
    <w:qFormat/>
    <w:rsid w:val="00EC784F"/>
    <w:rPr>
      <w:i/>
      <w:iCs/>
      <w:color w:val="0F4761" w:themeColor="accent1" w:themeShade="BF"/>
    </w:rPr>
  </w:style>
  <w:style w:type="paragraph" w:styleId="Vrazncitt">
    <w:name w:val="Intense Quote"/>
    <w:link w:val="VrazncittChar"/>
    <w:uiPriority w:val="30"/>
    <w:qFormat/>
    <w:rsid w:val="00EC7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C784F"/>
    <w:rPr>
      <w:i/>
      <w:iCs/>
      <w:color w:val="0F4761" w:themeColor="accent1" w:themeShade="BF"/>
    </w:rPr>
  </w:style>
  <w:style w:type="character" w:styleId="Odkazintenzivn">
    <w:name w:val="Intense Reference"/>
    <w:basedOn w:val="Standardnpsmoodstavce"/>
    <w:uiPriority w:val="32"/>
    <w:qFormat/>
    <w:rsid w:val="00EC784F"/>
    <w:rPr>
      <w:b/>
      <w:bCs/>
      <w:smallCaps/>
      <w:color w:val="0F4761" w:themeColor="accent1" w:themeShade="BF"/>
      <w:spacing w:val="5"/>
    </w:rPr>
  </w:style>
  <w:style w:type="character" w:styleId="Hypertextovodkaz">
    <w:name w:val="Hyperlink"/>
    <w:basedOn w:val="Standardnpsmoodstavce"/>
    <w:uiPriority w:val="99"/>
    <w:unhideWhenUsed/>
    <w:rsid w:val="009A141C"/>
    <w:rPr>
      <w:color w:val="467886" w:themeColor="hyperlink"/>
      <w:u w:val="single"/>
    </w:rPr>
  </w:style>
  <w:style w:type="character" w:styleId="Nevyeenzmnka">
    <w:name w:val="Unresolved Mention"/>
    <w:basedOn w:val="Standardnpsmoodstavce"/>
    <w:uiPriority w:val="99"/>
    <w:semiHidden/>
    <w:unhideWhenUsed/>
    <w:rsid w:val="009A141C"/>
    <w:rPr>
      <w:color w:val="605E5C"/>
      <w:shd w:val="clear" w:color="auto" w:fill="E1DFDD"/>
    </w:rPr>
  </w:style>
  <w:style w:type="character" w:styleId="Odkaznakoment">
    <w:name w:val="annotation reference"/>
    <w:basedOn w:val="Standardnpsmoodstavce"/>
    <w:uiPriority w:val="99"/>
    <w:semiHidden/>
    <w:unhideWhenUsed/>
    <w:rsid w:val="00D13DC5"/>
    <w:rPr>
      <w:sz w:val="16"/>
      <w:szCs w:val="16"/>
    </w:rPr>
  </w:style>
  <w:style w:type="paragraph" w:styleId="Textkomente">
    <w:name w:val="annotation text"/>
    <w:link w:val="TextkomenteChar"/>
    <w:uiPriority w:val="99"/>
    <w:unhideWhenUsed/>
    <w:rsid w:val="00D13DC5"/>
    <w:pPr>
      <w:spacing w:line="240" w:lineRule="auto"/>
    </w:pPr>
    <w:rPr>
      <w:sz w:val="20"/>
      <w:szCs w:val="20"/>
    </w:rPr>
  </w:style>
  <w:style w:type="character" w:customStyle="1" w:styleId="TextkomenteChar">
    <w:name w:val="Text komentáře Char"/>
    <w:basedOn w:val="Standardnpsmoodstavce"/>
    <w:link w:val="Textkomente"/>
    <w:uiPriority w:val="99"/>
    <w:rsid w:val="00D13DC5"/>
    <w:rPr>
      <w:sz w:val="20"/>
      <w:szCs w:val="20"/>
    </w:rPr>
  </w:style>
  <w:style w:type="paragraph" w:styleId="Pedmtkomente">
    <w:name w:val="annotation subject"/>
    <w:basedOn w:val="Textkomente"/>
    <w:next w:val="Textkomente"/>
    <w:link w:val="PedmtkomenteChar"/>
    <w:uiPriority w:val="99"/>
    <w:semiHidden/>
    <w:unhideWhenUsed/>
    <w:rsid w:val="00D13DC5"/>
    <w:rPr>
      <w:b/>
      <w:bCs/>
    </w:rPr>
  </w:style>
  <w:style w:type="character" w:customStyle="1" w:styleId="PedmtkomenteChar">
    <w:name w:val="Předmět komentáře Char"/>
    <w:basedOn w:val="TextkomenteChar"/>
    <w:link w:val="Pedmtkomente"/>
    <w:uiPriority w:val="99"/>
    <w:semiHidden/>
    <w:rsid w:val="00D13DC5"/>
    <w:rPr>
      <w:b/>
      <w:bCs/>
      <w:sz w:val="20"/>
      <w:szCs w:val="20"/>
    </w:rPr>
  </w:style>
  <w:style w:type="paragraph" w:styleId="Podnadpis">
    <w:name w:val="Subtitle"/>
    <w:basedOn w:val="Normln"/>
    <w:next w:val="Normln"/>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jv.muni.cz/o-nas/o-centru/cz-preklad-referencni-ramec"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Xx/PWHrXTdvQlummCfKrrfWGhg==">CgMxLjA4AHIhMVZXYURGbEVKa0U3UndJeU1nUUc3cWppY29rcHdTWTNJ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5375</Characters>
  <Application>Microsoft Office Word</Application>
  <DocSecurity>0</DocSecurity>
  <Lines>44</Lines>
  <Paragraphs>12</Paragraphs>
  <ScaleCrop>false</ScaleCrop>
  <Company>MSMT</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 Ošmera</dc:creator>
  <cp:lastModifiedBy>Mužíková Lenka</cp:lastModifiedBy>
  <cp:revision>4</cp:revision>
  <dcterms:created xsi:type="dcterms:W3CDTF">2026-04-28T11:09:00Z</dcterms:created>
  <dcterms:modified xsi:type="dcterms:W3CDTF">2026-04-28T14:09:00Z</dcterms:modified>
</cp:coreProperties>
</file>