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3C83F" w14:textId="24BAC3EF" w:rsidR="00BB11BE" w:rsidRPr="00326F7E" w:rsidRDefault="00BB11BE" w:rsidP="00BB11BE">
      <w:pPr>
        <w:pStyle w:val="Nadpis1"/>
        <w:jc w:val="center"/>
        <w:rPr>
          <w:rFonts w:asciiTheme="minorHAnsi" w:hAnsiTheme="minorHAnsi" w:cstheme="minorHAnsi"/>
          <w:b/>
          <w:bCs/>
        </w:rPr>
      </w:pPr>
      <w:r w:rsidRPr="00326F7E">
        <w:rPr>
          <w:rFonts w:asciiTheme="minorHAnsi" w:hAnsiTheme="minorHAnsi" w:cstheme="minorHAnsi"/>
          <w:b/>
          <w:bCs/>
        </w:rPr>
        <w:t>Čestné prohlášení o způsobilosti uchazeče k řešení projektu programu ERC CZ</w:t>
      </w:r>
    </w:p>
    <w:p w14:paraId="67740D6A" w14:textId="77777777" w:rsidR="00BB11BE" w:rsidRPr="00BB11BE" w:rsidRDefault="00BB11BE" w:rsidP="00BB11BE">
      <w:pPr>
        <w:rPr>
          <w:rFonts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BB11BE" w:rsidRPr="00BB11BE" w14:paraId="38B6724C" w14:textId="77777777" w:rsidTr="00BB11BE">
        <w:tc>
          <w:tcPr>
            <w:tcW w:w="1696" w:type="dxa"/>
          </w:tcPr>
          <w:p w14:paraId="3C520D0B" w14:textId="283D3E28" w:rsidR="00BB11BE" w:rsidRPr="004C6A5F" w:rsidRDefault="00BB11BE" w:rsidP="00BB11BE">
            <w:pPr>
              <w:rPr>
                <w:rFonts w:cstheme="minorHAnsi"/>
                <w:b/>
                <w:bCs/>
              </w:rPr>
            </w:pPr>
            <w:r w:rsidRPr="004C6A5F">
              <w:rPr>
                <w:rFonts w:cstheme="minorHAnsi"/>
                <w:b/>
                <w:bCs/>
              </w:rPr>
              <w:t>Uchazeč</w:t>
            </w:r>
          </w:p>
        </w:tc>
        <w:tc>
          <w:tcPr>
            <w:tcW w:w="7366" w:type="dxa"/>
          </w:tcPr>
          <w:p w14:paraId="32CB34D4" w14:textId="77777777" w:rsidR="00BB11BE" w:rsidRPr="004C6A5F" w:rsidRDefault="00BB11BE" w:rsidP="00BB11BE">
            <w:pPr>
              <w:rPr>
                <w:rFonts w:cstheme="minorHAnsi"/>
                <w:b/>
                <w:bCs/>
              </w:rPr>
            </w:pPr>
          </w:p>
        </w:tc>
      </w:tr>
      <w:tr w:rsidR="00BB11BE" w:rsidRPr="00BB11BE" w14:paraId="4D98A511" w14:textId="77777777" w:rsidTr="00BB11BE">
        <w:tc>
          <w:tcPr>
            <w:tcW w:w="1696" w:type="dxa"/>
          </w:tcPr>
          <w:p w14:paraId="4A4B99D0" w14:textId="52C43F26" w:rsidR="00BB11BE" w:rsidRPr="004C6A5F" w:rsidRDefault="00BB11BE" w:rsidP="00BB11BE">
            <w:pPr>
              <w:rPr>
                <w:rFonts w:cstheme="minorHAnsi"/>
                <w:b/>
                <w:bCs/>
              </w:rPr>
            </w:pPr>
            <w:r w:rsidRPr="004C6A5F">
              <w:rPr>
                <w:rFonts w:cstheme="minorHAnsi"/>
                <w:b/>
                <w:bCs/>
              </w:rPr>
              <w:t>Sídlo</w:t>
            </w:r>
          </w:p>
        </w:tc>
        <w:tc>
          <w:tcPr>
            <w:tcW w:w="7366" w:type="dxa"/>
          </w:tcPr>
          <w:p w14:paraId="51588FFC" w14:textId="77777777" w:rsidR="00BB11BE" w:rsidRPr="004C6A5F" w:rsidRDefault="00BB11BE" w:rsidP="00BB11BE">
            <w:pPr>
              <w:rPr>
                <w:rFonts w:cstheme="minorHAnsi"/>
                <w:b/>
                <w:bCs/>
              </w:rPr>
            </w:pPr>
          </w:p>
        </w:tc>
      </w:tr>
      <w:tr w:rsidR="00BB11BE" w:rsidRPr="00BB11BE" w14:paraId="3ED4DD93" w14:textId="77777777" w:rsidTr="00BB11BE">
        <w:tc>
          <w:tcPr>
            <w:tcW w:w="1696" w:type="dxa"/>
          </w:tcPr>
          <w:p w14:paraId="740153F1" w14:textId="7430F9F3" w:rsidR="00BB11BE" w:rsidRPr="004C6A5F" w:rsidRDefault="00BB11BE" w:rsidP="00BB11BE">
            <w:pPr>
              <w:rPr>
                <w:rFonts w:cstheme="minorHAnsi"/>
                <w:b/>
                <w:bCs/>
              </w:rPr>
            </w:pPr>
            <w:r w:rsidRPr="004C6A5F">
              <w:rPr>
                <w:rFonts w:cstheme="minorHAnsi"/>
                <w:b/>
                <w:bCs/>
              </w:rPr>
              <w:t>IČO</w:t>
            </w:r>
          </w:p>
        </w:tc>
        <w:tc>
          <w:tcPr>
            <w:tcW w:w="7366" w:type="dxa"/>
          </w:tcPr>
          <w:p w14:paraId="71FE2B6D" w14:textId="77777777" w:rsidR="00BB11BE" w:rsidRPr="004C6A5F" w:rsidRDefault="00BB11BE" w:rsidP="00BB11BE">
            <w:pPr>
              <w:rPr>
                <w:rFonts w:cstheme="minorHAnsi"/>
                <w:b/>
                <w:bCs/>
              </w:rPr>
            </w:pPr>
          </w:p>
        </w:tc>
      </w:tr>
    </w:tbl>
    <w:p w14:paraId="07312105" w14:textId="77777777" w:rsidR="00BB11BE" w:rsidRPr="00BB11BE" w:rsidRDefault="00BB11BE" w:rsidP="00BB11BE">
      <w:pPr>
        <w:jc w:val="both"/>
        <w:rPr>
          <w:rFonts w:cstheme="minorHAnsi"/>
        </w:rPr>
      </w:pPr>
    </w:p>
    <w:p w14:paraId="4C53844A" w14:textId="44870EBA" w:rsidR="00BB11BE" w:rsidRDefault="00BB11BE" w:rsidP="004208C9">
      <w:pPr>
        <w:pStyle w:val="Nadpis1"/>
        <w:jc w:val="center"/>
        <w:rPr>
          <w:rFonts w:asciiTheme="minorHAnsi" w:hAnsiTheme="minorHAnsi" w:cstheme="minorHAnsi"/>
          <w:sz w:val="24"/>
          <w:szCs w:val="24"/>
        </w:rPr>
      </w:pPr>
      <w:r w:rsidRPr="00326F7E">
        <w:rPr>
          <w:rFonts w:asciiTheme="minorHAnsi" w:hAnsiTheme="minorHAnsi" w:cstheme="minorHAnsi"/>
          <w:sz w:val="24"/>
          <w:szCs w:val="24"/>
        </w:rPr>
        <w:t>Statutární zástupce výše uvedeného subjektu (uchazeče) prohlašuje, že:</w:t>
      </w:r>
    </w:p>
    <w:p w14:paraId="7A8CB780" w14:textId="77777777" w:rsidR="00326F7E" w:rsidRPr="00326F7E" w:rsidRDefault="00326F7E" w:rsidP="00326F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2"/>
        <w:gridCol w:w="1020"/>
      </w:tblGrid>
      <w:tr w:rsidR="00BB11BE" w:rsidRPr="00BB11BE" w14:paraId="144D4A31" w14:textId="77777777" w:rsidTr="00BC773C">
        <w:tc>
          <w:tcPr>
            <w:tcW w:w="9062" w:type="dxa"/>
            <w:gridSpan w:val="2"/>
            <w:shd w:val="clear" w:color="auto" w:fill="D9D9D9"/>
          </w:tcPr>
          <w:p w14:paraId="3B06F0B6" w14:textId="77777777" w:rsidR="00BB11BE" w:rsidRPr="00BB11BE" w:rsidRDefault="00BB11BE" w:rsidP="00BB11BE">
            <w:pPr>
              <w:numPr>
                <w:ilvl w:val="0"/>
                <w:numId w:val="6"/>
              </w:numPr>
              <w:spacing w:after="40" w:line="240" w:lineRule="auto"/>
              <w:ind w:left="284" w:hanging="284"/>
              <w:rPr>
                <w:rFonts w:eastAsia="Symbol" w:cstheme="minorHAnsi"/>
                <w:lang w:eastAsia="cs-CZ"/>
              </w:rPr>
            </w:pPr>
            <w:r w:rsidRPr="00BB11BE">
              <w:rPr>
                <w:rFonts w:cstheme="minorHAnsi"/>
              </w:rPr>
              <w:t>subjekt splňuje definici podniku</w:t>
            </w:r>
            <w:r w:rsidRPr="00BB11BE">
              <w:rPr>
                <w:rFonts w:cstheme="minorHAnsi"/>
                <w:vertAlign w:val="superscript"/>
              </w:rPr>
              <w:footnoteReference w:id="1"/>
            </w:r>
            <w:r w:rsidRPr="00BB11BE">
              <w:rPr>
                <w:rFonts w:cstheme="minorHAnsi"/>
              </w:rPr>
              <w:t xml:space="preserve"> </w:t>
            </w:r>
          </w:p>
        </w:tc>
      </w:tr>
      <w:tr w:rsidR="00BB11BE" w:rsidRPr="00BB11BE" w14:paraId="072213C7" w14:textId="77777777" w:rsidTr="00BC773C">
        <w:tc>
          <w:tcPr>
            <w:tcW w:w="8042" w:type="dxa"/>
            <w:shd w:val="clear" w:color="auto" w:fill="F2F2F2"/>
          </w:tcPr>
          <w:p w14:paraId="7423E5A2" w14:textId="1630505E" w:rsidR="00BB11BE" w:rsidRPr="00BB11BE" w:rsidRDefault="00BB11BE" w:rsidP="00BB11BE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left="567" w:firstLine="0"/>
              <w:rPr>
                <w:rFonts w:eastAsia="Times New Roman" w:cstheme="minorHAnsi"/>
                <w:b/>
                <w:bCs/>
                <w:lang w:eastAsia="cs-CZ"/>
              </w:rPr>
            </w:pPr>
            <w:r w:rsidRPr="00BB11BE">
              <w:rPr>
                <w:rFonts w:cstheme="minorHAnsi"/>
                <w:bCs/>
              </w:rPr>
              <w:t>a patří do kategorie malých podniků</w:t>
            </w:r>
          </w:p>
        </w:tc>
        <w:tc>
          <w:tcPr>
            <w:tcW w:w="1020" w:type="dxa"/>
          </w:tcPr>
          <w:p w14:paraId="202D5BA9" w14:textId="77777777" w:rsidR="00BB11BE" w:rsidRPr="00BB11BE" w:rsidRDefault="00BB11BE" w:rsidP="008F6D6E">
            <w:pPr>
              <w:spacing w:after="40" w:line="240" w:lineRule="auto"/>
              <w:jc w:val="center"/>
              <w:rPr>
                <w:rFonts w:eastAsia="Symbol" w:cstheme="minorHAnsi"/>
                <w:lang w:eastAsia="cs-CZ"/>
              </w:rPr>
            </w:pPr>
            <w:r w:rsidRPr="00BB11BE">
              <w:rPr>
                <w:rFonts w:eastAsia="Times New Roman" w:cstheme="minorHAnsi"/>
                <w:i/>
                <w:lang w:eastAsia="cs-CZ"/>
              </w:rPr>
              <w:t>ANO/NE</w:t>
            </w:r>
          </w:p>
        </w:tc>
      </w:tr>
      <w:tr w:rsidR="00BB11BE" w:rsidRPr="00BB11BE" w14:paraId="39621B47" w14:textId="77777777" w:rsidTr="00BC773C">
        <w:tc>
          <w:tcPr>
            <w:tcW w:w="8042" w:type="dxa"/>
            <w:shd w:val="clear" w:color="auto" w:fill="F2F2F2"/>
          </w:tcPr>
          <w:p w14:paraId="415D614E" w14:textId="695C54DB" w:rsidR="00BB11BE" w:rsidRPr="00BB11BE" w:rsidRDefault="00BB11BE" w:rsidP="00BB11BE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left="567" w:firstLine="0"/>
              <w:rPr>
                <w:rFonts w:cstheme="minorHAnsi"/>
                <w:bCs/>
              </w:rPr>
            </w:pPr>
            <w:r w:rsidRPr="00BB11BE">
              <w:rPr>
                <w:rFonts w:cstheme="minorHAnsi"/>
                <w:bCs/>
              </w:rPr>
              <w:t>a patří do kategorie středních podniků</w:t>
            </w:r>
          </w:p>
        </w:tc>
        <w:tc>
          <w:tcPr>
            <w:tcW w:w="1020" w:type="dxa"/>
          </w:tcPr>
          <w:p w14:paraId="366AC707" w14:textId="77777777" w:rsidR="00BB11BE" w:rsidRPr="00BB11BE" w:rsidRDefault="00BB11BE" w:rsidP="008F6D6E">
            <w:pPr>
              <w:spacing w:after="40" w:line="240" w:lineRule="auto"/>
              <w:jc w:val="center"/>
              <w:rPr>
                <w:rFonts w:eastAsia="Symbol" w:cstheme="minorHAnsi"/>
                <w:lang w:eastAsia="cs-CZ"/>
              </w:rPr>
            </w:pPr>
            <w:r w:rsidRPr="00BB11BE">
              <w:rPr>
                <w:rFonts w:eastAsia="Times New Roman" w:cstheme="minorHAnsi"/>
                <w:i/>
                <w:lang w:eastAsia="cs-CZ"/>
              </w:rPr>
              <w:t>ANO/NE</w:t>
            </w:r>
          </w:p>
        </w:tc>
      </w:tr>
      <w:tr w:rsidR="00BB11BE" w:rsidRPr="00BB11BE" w14:paraId="2A8256B3" w14:textId="77777777" w:rsidTr="00BC773C">
        <w:tc>
          <w:tcPr>
            <w:tcW w:w="8042" w:type="dxa"/>
            <w:shd w:val="clear" w:color="auto" w:fill="D9D9D9"/>
          </w:tcPr>
          <w:p w14:paraId="03BD546E" w14:textId="1AE478B9" w:rsidR="00BB11BE" w:rsidRPr="00BB11BE" w:rsidRDefault="00BB11BE" w:rsidP="00BB11BE">
            <w:pPr>
              <w:numPr>
                <w:ilvl w:val="0"/>
                <w:numId w:val="6"/>
              </w:numPr>
              <w:tabs>
                <w:tab w:val="left" w:pos="284"/>
              </w:tabs>
              <w:spacing w:after="40" w:line="240" w:lineRule="auto"/>
              <w:ind w:left="284" w:hanging="284"/>
              <w:jc w:val="both"/>
              <w:rPr>
                <w:rFonts w:cstheme="minorHAnsi"/>
                <w:bCs/>
              </w:rPr>
            </w:pPr>
            <w:r w:rsidRPr="00BB11BE">
              <w:rPr>
                <w:rFonts w:cstheme="minorHAnsi"/>
              </w:rPr>
              <w:t>subjekt</w:t>
            </w:r>
            <w:r w:rsidRPr="00BB11BE">
              <w:rPr>
                <w:rFonts w:cstheme="minorHAnsi"/>
                <w:bCs/>
              </w:rPr>
              <w:t xml:space="preserve"> splňuje definici výzkumné organizace</w:t>
            </w:r>
          </w:p>
        </w:tc>
        <w:tc>
          <w:tcPr>
            <w:tcW w:w="1020" w:type="dxa"/>
          </w:tcPr>
          <w:p w14:paraId="115CA714" w14:textId="77777777" w:rsidR="00BB11BE" w:rsidRPr="00BB11BE" w:rsidRDefault="00BB11BE" w:rsidP="008F6D6E">
            <w:pPr>
              <w:spacing w:after="40" w:line="240" w:lineRule="auto"/>
              <w:jc w:val="center"/>
              <w:rPr>
                <w:rFonts w:eastAsia="Symbol" w:cstheme="minorHAnsi"/>
                <w:lang w:eastAsia="cs-CZ"/>
              </w:rPr>
            </w:pPr>
            <w:r w:rsidRPr="00BB11BE">
              <w:rPr>
                <w:rFonts w:eastAsia="Times New Roman" w:cstheme="minorHAnsi"/>
                <w:i/>
                <w:lang w:eastAsia="cs-CZ"/>
              </w:rPr>
              <w:t>ANO/NE</w:t>
            </w:r>
          </w:p>
        </w:tc>
      </w:tr>
      <w:tr w:rsidR="00BB11BE" w:rsidRPr="00BB11BE" w14:paraId="798A0D3F" w14:textId="77777777" w:rsidTr="00BC773C">
        <w:tc>
          <w:tcPr>
            <w:tcW w:w="8042" w:type="dxa"/>
            <w:shd w:val="clear" w:color="auto" w:fill="D9D9D9"/>
          </w:tcPr>
          <w:p w14:paraId="6544DFDA" w14:textId="49F812C5" w:rsidR="00BB11BE" w:rsidRPr="00BB11BE" w:rsidRDefault="00BB11BE" w:rsidP="00BB11BE">
            <w:pPr>
              <w:numPr>
                <w:ilvl w:val="0"/>
                <w:numId w:val="6"/>
              </w:numPr>
              <w:tabs>
                <w:tab w:val="left" w:pos="284"/>
              </w:tabs>
              <w:spacing w:after="40" w:line="240" w:lineRule="auto"/>
              <w:ind w:left="284" w:hanging="284"/>
              <w:jc w:val="both"/>
              <w:rPr>
                <w:rFonts w:cstheme="minorHAnsi"/>
              </w:rPr>
            </w:pPr>
            <w:r w:rsidRPr="00BB11BE">
              <w:rPr>
                <w:rFonts w:cstheme="minorHAnsi"/>
              </w:rPr>
              <w:t xml:space="preserve">pokud subjekt prohlašující, že splňuje definici výzkumné organizace dle výše uvedeného, vykonává jak </w:t>
            </w:r>
            <w:proofErr w:type="spellStart"/>
            <w:r w:rsidRPr="00BB11BE">
              <w:rPr>
                <w:rFonts w:cstheme="minorHAnsi"/>
              </w:rPr>
              <w:t>nehospodářské</w:t>
            </w:r>
            <w:proofErr w:type="spellEnd"/>
            <w:r w:rsidRPr="00BB11BE">
              <w:rPr>
                <w:rFonts w:cstheme="minorHAnsi"/>
              </w:rPr>
              <w:t>, tak i hospodářské činnosti, pak o obou těchto kategorií činností účtuje v účetní evidenci odděleně</w:t>
            </w:r>
          </w:p>
        </w:tc>
        <w:tc>
          <w:tcPr>
            <w:tcW w:w="1020" w:type="dxa"/>
          </w:tcPr>
          <w:p w14:paraId="1E4C8B55" w14:textId="77777777" w:rsidR="00BB11BE" w:rsidRPr="00BB11BE" w:rsidRDefault="00BB11BE" w:rsidP="008F6D6E">
            <w:pPr>
              <w:jc w:val="center"/>
              <w:rPr>
                <w:rFonts w:eastAsia="Symbol" w:cstheme="minorHAnsi"/>
                <w:lang w:eastAsia="cs-CZ"/>
              </w:rPr>
            </w:pPr>
            <w:r w:rsidRPr="00BB11BE">
              <w:rPr>
                <w:rFonts w:eastAsia="Times New Roman" w:cstheme="minorHAnsi"/>
                <w:i/>
                <w:lang w:eastAsia="cs-CZ"/>
              </w:rPr>
              <w:t>ANO/NE</w:t>
            </w:r>
          </w:p>
        </w:tc>
      </w:tr>
      <w:tr w:rsidR="00BB11BE" w:rsidRPr="00BB11BE" w14:paraId="28D2E127" w14:textId="77777777" w:rsidTr="00BC773C">
        <w:tc>
          <w:tcPr>
            <w:tcW w:w="8042" w:type="dxa"/>
            <w:shd w:val="clear" w:color="auto" w:fill="D9D9D9"/>
          </w:tcPr>
          <w:p w14:paraId="402B3421" w14:textId="4CF4E6EF" w:rsidR="00BB11BE" w:rsidRPr="00BB11BE" w:rsidRDefault="00BB11BE" w:rsidP="00BB11BE">
            <w:pPr>
              <w:numPr>
                <w:ilvl w:val="0"/>
                <w:numId w:val="6"/>
              </w:numPr>
              <w:tabs>
                <w:tab w:val="left" w:pos="284"/>
              </w:tabs>
              <w:spacing w:after="40" w:line="240" w:lineRule="auto"/>
              <w:ind w:left="284" w:hanging="284"/>
              <w:jc w:val="both"/>
              <w:rPr>
                <w:rFonts w:cstheme="minorHAnsi"/>
              </w:rPr>
            </w:pPr>
            <w:r w:rsidRPr="00BB11BE">
              <w:rPr>
                <w:rFonts w:cstheme="minorHAnsi"/>
              </w:rPr>
              <w:t>subjekt nevykonává žádné „čistě vedlejší hospodářské činnosti“</w:t>
            </w:r>
            <w:r w:rsidRPr="00BB11BE">
              <w:rPr>
                <w:rFonts w:cstheme="minorHAnsi"/>
                <w:vertAlign w:val="superscript"/>
              </w:rPr>
              <w:footnoteReference w:id="2"/>
            </w:r>
            <w:r w:rsidRPr="00BB11BE">
              <w:rPr>
                <w:rFonts w:cstheme="minorHAnsi"/>
              </w:rPr>
              <w:t xml:space="preserve"> ve smyslu kap 2., odd. 2.1, čl. 2.1.1, odst. 20 Sdělení Komise (2014/C 198/01), Rámce pro státní podporu výzkumu, vývoje a inovací, nebo tyto vykonává, avšak kapacita subjektu přidělená tomuto typu hospodářských činností nepřekročí 20% celkové kapacity subjektu za rok a tuto skutečnost je subjekt schopen každoročně po dobu řešení projektu jednoznačně prokázat</w:t>
            </w:r>
          </w:p>
        </w:tc>
        <w:tc>
          <w:tcPr>
            <w:tcW w:w="1020" w:type="dxa"/>
          </w:tcPr>
          <w:p w14:paraId="547BB4C6" w14:textId="77777777" w:rsidR="00BB11BE" w:rsidRPr="00BB11BE" w:rsidRDefault="00BB11BE" w:rsidP="008F6D6E">
            <w:pPr>
              <w:jc w:val="center"/>
              <w:rPr>
                <w:rFonts w:eastAsia="Symbol" w:cstheme="minorHAnsi"/>
                <w:lang w:eastAsia="cs-CZ"/>
              </w:rPr>
            </w:pPr>
            <w:r w:rsidRPr="00BB11BE">
              <w:rPr>
                <w:rFonts w:eastAsia="Times New Roman" w:cstheme="minorHAnsi"/>
                <w:i/>
                <w:lang w:eastAsia="cs-CZ"/>
              </w:rPr>
              <w:t>ANO/NE</w:t>
            </w:r>
          </w:p>
        </w:tc>
      </w:tr>
      <w:tr w:rsidR="00BB11BE" w:rsidRPr="00BB11BE" w14:paraId="5704AD21" w14:textId="77777777" w:rsidTr="00BC773C">
        <w:tc>
          <w:tcPr>
            <w:tcW w:w="8042" w:type="dxa"/>
            <w:tcBorders>
              <w:bottom w:val="single" w:sz="4" w:space="0" w:color="auto"/>
            </w:tcBorders>
            <w:shd w:val="clear" w:color="auto" w:fill="D9D9D9"/>
          </w:tcPr>
          <w:p w14:paraId="3D146B1C" w14:textId="6A4C30B8" w:rsidR="00BB11BE" w:rsidRPr="00BB11BE" w:rsidRDefault="00BB11BE" w:rsidP="00BB11BE">
            <w:pPr>
              <w:numPr>
                <w:ilvl w:val="0"/>
                <w:numId w:val="6"/>
              </w:numPr>
              <w:tabs>
                <w:tab w:val="left" w:pos="284"/>
              </w:tabs>
              <w:spacing w:after="40" w:line="240" w:lineRule="auto"/>
              <w:ind w:left="284" w:hanging="284"/>
              <w:jc w:val="both"/>
              <w:rPr>
                <w:rFonts w:cstheme="minorHAnsi"/>
                <w:lang w:eastAsia="cs-CZ"/>
              </w:rPr>
            </w:pPr>
            <w:r w:rsidRPr="00BB11BE">
              <w:rPr>
                <w:rFonts w:cstheme="minorHAnsi"/>
              </w:rPr>
              <w:t>podíl hospodářských činností subjektu na celkové kapacitě subjektu za rok činí v (%)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535DF81F" w14:textId="77777777" w:rsidR="00BB11BE" w:rsidRPr="00BB11BE" w:rsidRDefault="00BB11BE" w:rsidP="008F6D6E">
            <w:pPr>
              <w:pStyle w:val="Nzev"/>
              <w:spacing w:before="0" w:after="0"/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cs-CZ" w:eastAsia="cs-CZ"/>
              </w:rPr>
            </w:pPr>
            <w:r w:rsidRPr="00BB11BE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cs-CZ" w:eastAsia="cs-CZ"/>
              </w:rPr>
              <w:t>Hodnota v %</w:t>
            </w:r>
          </w:p>
        </w:tc>
      </w:tr>
      <w:tr w:rsidR="00BB11BE" w:rsidRPr="00BB11BE" w14:paraId="2B629AB9" w14:textId="77777777" w:rsidTr="00BC773C">
        <w:tc>
          <w:tcPr>
            <w:tcW w:w="9062" w:type="dxa"/>
            <w:gridSpan w:val="2"/>
          </w:tcPr>
          <w:p w14:paraId="6972AC18" w14:textId="77777777" w:rsidR="00BB11BE" w:rsidRPr="00BB11BE" w:rsidRDefault="00BB11BE" w:rsidP="008F6D6E">
            <w:pPr>
              <w:rPr>
                <w:rFonts w:cstheme="minorHAnsi"/>
                <w:b/>
                <w:i/>
                <w:color w:val="000000"/>
                <w:lang w:eastAsia="cs-CZ"/>
              </w:rPr>
            </w:pPr>
            <w:r w:rsidRPr="00BB11BE">
              <w:rPr>
                <w:rFonts w:cstheme="minorHAnsi"/>
                <w:b/>
                <w:i/>
                <w:color w:val="000000"/>
                <w:lang w:eastAsia="cs-CZ"/>
              </w:rPr>
              <w:t>Uveďte stručně parametry způsobu stanovení celkové roční kapacity subjektu:</w:t>
            </w:r>
          </w:p>
          <w:p w14:paraId="6F40FE24" w14:textId="77777777" w:rsidR="00BB11BE" w:rsidRPr="00BB11BE" w:rsidRDefault="00BB11BE" w:rsidP="008F6D6E">
            <w:pPr>
              <w:rPr>
                <w:rFonts w:cstheme="minorHAnsi"/>
                <w:b/>
                <w:i/>
                <w:color w:val="000000"/>
                <w:lang w:eastAsia="cs-CZ"/>
              </w:rPr>
            </w:pPr>
          </w:p>
        </w:tc>
      </w:tr>
      <w:tr w:rsidR="00BB11BE" w:rsidRPr="00BB11BE" w14:paraId="3EB5864F" w14:textId="77777777" w:rsidTr="00BC773C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00D67790" w14:textId="4897F229" w:rsidR="00BB11BE" w:rsidRPr="00BB11BE" w:rsidRDefault="00BB11BE" w:rsidP="00BB11BE">
            <w:pPr>
              <w:numPr>
                <w:ilvl w:val="0"/>
                <w:numId w:val="6"/>
              </w:numPr>
              <w:tabs>
                <w:tab w:val="left" w:pos="284"/>
              </w:tabs>
              <w:spacing w:after="40" w:line="240" w:lineRule="auto"/>
              <w:ind w:left="284" w:hanging="284"/>
              <w:jc w:val="both"/>
              <w:rPr>
                <w:rFonts w:cstheme="minorHAnsi"/>
              </w:rPr>
            </w:pPr>
            <w:r w:rsidRPr="00BB11BE">
              <w:rPr>
                <w:rFonts w:cstheme="minorHAnsi"/>
              </w:rPr>
              <w:t xml:space="preserve">subjekt v souladu s § 8 odst. 1 zákona č. 130/2002 Sb., o podpoře výzkumu, experimentálního vývoje a inovací z veřejných prostředků a o změně některých souvisejících zákonů, ve znění pozdějších předpisů (zákon o podpoře výzkumu, experimentálního vývoje a inovací, dále jen „zákon“), který je účetní jednotkou, vede v rámci účetnictví podle zákona č. 563/1991 Sb., </w:t>
            </w:r>
            <w:r w:rsidRPr="00BB11BE">
              <w:rPr>
                <w:rFonts w:cstheme="minorHAnsi"/>
              </w:rPr>
              <w:lastRenderedPageBreak/>
              <w:t>o</w:t>
            </w:r>
            <w:r w:rsidR="00D603DB">
              <w:rPr>
                <w:rFonts w:cstheme="minorHAnsi"/>
              </w:rPr>
              <w:t> </w:t>
            </w:r>
            <w:r w:rsidRPr="00BB11BE">
              <w:rPr>
                <w:rFonts w:cstheme="minorHAnsi"/>
              </w:rPr>
              <w:t>účetnictví, ve znění pozdějších předpisů a v souladu s rozpočtovými pravidly, pro projekt oddělenou evidenci o vynaložených výdajích nebo nákladech a v rámci této evidence sleduje výdaje nebo náklady hrazené z podpory</w:t>
            </w:r>
          </w:p>
        </w:tc>
      </w:tr>
      <w:tr w:rsidR="00BB11BE" w:rsidRPr="00BB11BE" w14:paraId="28002F3A" w14:textId="77777777" w:rsidTr="00BC773C">
        <w:tc>
          <w:tcPr>
            <w:tcW w:w="8045" w:type="dxa"/>
            <w:tcBorders>
              <w:right w:val="nil"/>
            </w:tcBorders>
            <w:shd w:val="clear" w:color="auto" w:fill="D9D9D9"/>
          </w:tcPr>
          <w:p w14:paraId="598ADBCD" w14:textId="77777777" w:rsidR="00BB11BE" w:rsidRPr="00BB11BE" w:rsidRDefault="00BB11BE" w:rsidP="00BB11BE">
            <w:pPr>
              <w:numPr>
                <w:ilvl w:val="0"/>
                <w:numId w:val="6"/>
              </w:numPr>
              <w:tabs>
                <w:tab w:val="left" w:pos="284"/>
              </w:tabs>
              <w:spacing w:after="40" w:line="240" w:lineRule="auto"/>
              <w:ind w:left="284" w:hanging="284"/>
              <w:jc w:val="both"/>
              <w:rPr>
                <w:rFonts w:eastAsia="Symbol" w:cstheme="minorHAnsi"/>
                <w:color w:val="000000"/>
                <w:lang w:eastAsia="cs-CZ"/>
              </w:rPr>
            </w:pPr>
            <w:r w:rsidRPr="00BB11BE">
              <w:rPr>
                <w:rFonts w:eastAsia="Symbol" w:cstheme="minorHAnsi"/>
                <w:color w:val="000000"/>
                <w:lang w:eastAsia="cs-CZ"/>
              </w:rPr>
              <w:lastRenderedPageBreak/>
              <w:t>subjekt splňuje požadavky</w:t>
            </w:r>
            <w:r w:rsidRPr="00BB11BE">
              <w:rPr>
                <w:rFonts w:cstheme="minorHAnsi"/>
              </w:rPr>
              <w:t xml:space="preserve"> způsobilosti k řešení navrhovaného projektu podle ustanovení § 18 odst. 2 písm. b) až d) zákona, tj. že</w:t>
            </w:r>
          </w:p>
        </w:tc>
        <w:tc>
          <w:tcPr>
            <w:tcW w:w="1017" w:type="dxa"/>
            <w:tcBorders>
              <w:left w:val="nil"/>
            </w:tcBorders>
            <w:shd w:val="clear" w:color="auto" w:fill="D9D9D9"/>
          </w:tcPr>
          <w:p w14:paraId="3F1F1F4A" w14:textId="77777777" w:rsidR="00BB11BE" w:rsidRPr="00BB11BE" w:rsidRDefault="00BB11BE" w:rsidP="008F6D6E">
            <w:pPr>
              <w:spacing w:after="40" w:line="240" w:lineRule="auto"/>
              <w:rPr>
                <w:rFonts w:eastAsia="Symbol" w:cstheme="minorHAnsi"/>
                <w:color w:val="000000"/>
                <w:lang w:eastAsia="cs-CZ"/>
              </w:rPr>
            </w:pPr>
          </w:p>
        </w:tc>
      </w:tr>
      <w:tr w:rsidR="00BB11BE" w:rsidRPr="00BB11BE" w14:paraId="4E2EFA0C" w14:textId="77777777" w:rsidTr="00BC773C">
        <w:tc>
          <w:tcPr>
            <w:tcW w:w="8045" w:type="dxa"/>
            <w:shd w:val="clear" w:color="auto" w:fill="F2F2F2"/>
          </w:tcPr>
          <w:p w14:paraId="2A2099A4" w14:textId="4473F16D" w:rsidR="00BB11BE" w:rsidRPr="00BB11BE" w:rsidRDefault="00BB11BE" w:rsidP="00BB11BE">
            <w:pPr>
              <w:numPr>
                <w:ilvl w:val="0"/>
                <w:numId w:val="5"/>
              </w:numPr>
              <w:tabs>
                <w:tab w:val="left" w:pos="851"/>
              </w:tabs>
              <w:spacing w:after="0" w:line="240" w:lineRule="auto"/>
              <w:ind w:left="851" w:hanging="284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BB11BE">
              <w:rPr>
                <w:rFonts w:eastAsia="Symbol" w:cstheme="minorHAnsi"/>
                <w:color w:val="000000"/>
                <w:shd w:val="clear" w:color="auto" w:fill="F2F2F2"/>
                <w:lang w:eastAsia="cs-CZ"/>
              </w:rPr>
              <w:t>zvláštním právním předpisem</w:t>
            </w:r>
            <w:r w:rsidRPr="00BB11BE">
              <w:rPr>
                <w:rStyle w:val="Znakapoznpodarou"/>
                <w:rFonts w:eastAsia="Symbol" w:cstheme="minorHAnsi"/>
                <w:color w:val="000000"/>
                <w:shd w:val="clear" w:color="auto" w:fill="F2F2F2"/>
                <w:lang w:eastAsia="cs-CZ"/>
              </w:rPr>
              <w:footnoteReference w:id="3"/>
            </w:r>
            <w:r w:rsidRPr="00BB11BE">
              <w:rPr>
                <w:rFonts w:eastAsia="Symbol" w:cstheme="minorHAnsi"/>
                <w:color w:val="000000"/>
                <w:shd w:val="clear" w:color="auto" w:fill="F2F2F2"/>
                <w:lang w:eastAsia="cs-CZ"/>
              </w:rPr>
              <w:t xml:space="preserve"> je</w:t>
            </w:r>
            <w:r w:rsidRPr="00BB11BE">
              <w:rPr>
                <w:rFonts w:eastAsia="Symbol" w:cstheme="minorHAnsi"/>
                <w:b/>
                <w:color w:val="000000"/>
                <w:shd w:val="clear" w:color="auto" w:fill="F2F2F2"/>
                <w:lang w:eastAsia="cs-CZ"/>
              </w:rPr>
              <w:t xml:space="preserve"> </w:t>
            </w:r>
            <w:r w:rsidRPr="00BB11BE">
              <w:rPr>
                <w:rFonts w:eastAsia="Symbol" w:cstheme="minorHAnsi"/>
                <w:color w:val="000000"/>
                <w:shd w:val="clear" w:color="auto" w:fill="F2F2F2"/>
                <w:lang w:eastAsia="cs-CZ"/>
              </w:rPr>
              <w:t>vyžadováno oprávnění k činnosti, která je předmětem řešení projektu, a příslušné</w:t>
            </w:r>
            <w:r w:rsidRPr="00BB11BE">
              <w:rPr>
                <w:rFonts w:eastAsia="Symbol" w:cstheme="minorHAnsi"/>
                <w:color w:val="000000"/>
                <w:lang w:eastAsia="cs-CZ"/>
              </w:rPr>
              <w:t xml:space="preserve"> oprávnění přikládá v příloze</w:t>
            </w:r>
          </w:p>
        </w:tc>
        <w:tc>
          <w:tcPr>
            <w:tcW w:w="1017" w:type="dxa"/>
          </w:tcPr>
          <w:p w14:paraId="3FB2ECB0" w14:textId="77777777" w:rsidR="00BB11BE" w:rsidRPr="00BB11BE" w:rsidRDefault="00BB11BE" w:rsidP="008F6D6E">
            <w:pPr>
              <w:spacing w:after="40" w:line="240" w:lineRule="auto"/>
              <w:rPr>
                <w:rFonts w:eastAsia="Symbol" w:cstheme="minorHAnsi"/>
                <w:color w:val="000000"/>
                <w:lang w:eastAsia="cs-CZ"/>
              </w:rPr>
            </w:pPr>
            <w:r w:rsidRPr="00BB11BE">
              <w:rPr>
                <w:rFonts w:eastAsia="Times New Roman" w:cstheme="minorHAnsi"/>
                <w:i/>
                <w:color w:val="000000"/>
                <w:lang w:eastAsia="cs-CZ"/>
              </w:rPr>
              <w:t>ANO/NE</w:t>
            </w:r>
          </w:p>
        </w:tc>
      </w:tr>
      <w:tr w:rsidR="00BB11BE" w:rsidRPr="00BB11BE" w14:paraId="344E04E4" w14:textId="77777777" w:rsidTr="00BC773C">
        <w:tc>
          <w:tcPr>
            <w:tcW w:w="9062" w:type="dxa"/>
            <w:gridSpan w:val="2"/>
            <w:shd w:val="clear" w:color="auto" w:fill="F2F2F2"/>
          </w:tcPr>
          <w:p w14:paraId="7B3B7D97" w14:textId="2F01CA60" w:rsidR="00BB11BE" w:rsidRPr="00BB11BE" w:rsidRDefault="00BB11BE" w:rsidP="00BB11BE">
            <w:pPr>
              <w:numPr>
                <w:ilvl w:val="0"/>
                <w:numId w:val="5"/>
              </w:numPr>
              <w:spacing w:after="40" w:line="240" w:lineRule="auto"/>
              <w:ind w:left="851" w:hanging="284"/>
              <w:jc w:val="both"/>
              <w:rPr>
                <w:rFonts w:eastAsia="Symbol" w:cstheme="minorHAnsi"/>
                <w:color w:val="000000"/>
                <w:lang w:eastAsia="cs-CZ"/>
              </w:rPr>
            </w:pPr>
            <w:r w:rsidRPr="00BB11BE">
              <w:rPr>
                <w:rFonts w:eastAsia="Symbol" w:cstheme="minorHAnsi"/>
                <w:color w:val="000000"/>
                <w:lang w:eastAsia="cs-CZ"/>
              </w:rPr>
              <w:t>není v likvidaci a jeho úpadek nebo hrozící úpadek není řešen v insolvenčním řízení</w:t>
            </w:r>
            <w:r w:rsidRPr="00BB11BE">
              <w:rPr>
                <w:rStyle w:val="Znakapoznpodarou"/>
                <w:rFonts w:eastAsia="Symbol" w:cstheme="minorHAnsi"/>
                <w:color w:val="000000"/>
                <w:lang w:eastAsia="cs-CZ"/>
              </w:rPr>
              <w:footnoteReference w:id="4"/>
            </w:r>
          </w:p>
        </w:tc>
      </w:tr>
      <w:tr w:rsidR="00BB11BE" w:rsidRPr="00BB11BE" w14:paraId="17C3BAF1" w14:textId="77777777" w:rsidTr="00BC773C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301E5C32" w14:textId="72BD99C4" w:rsidR="00BB11BE" w:rsidRPr="00BB11BE" w:rsidRDefault="00BB11BE" w:rsidP="00BB11BE">
            <w:pPr>
              <w:numPr>
                <w:ilvl w:val="0"/>
                <w:numId w:val="5"/>
              </w:numPr>
              <w:spacing w:after="40" w:line="240" w:lineRule="auto"/>
              <w:ind w:left="851" w:hanging="284"/>
              <w:jc w:val="both"/>
              <w:rPr>
                <w:rFonts w:eastAsia="Symbol" w:cstheme="minorHAnsi"/>
                <w:color w:val="000000"/>
                <w:lang w:eastAsia="cs-CZ"/>
              </w:rPr>
            </w:pPr>
            <w:r w:rsidRPr="00BB11BE">
              <w:rPr>
                <w:rFonts w:eastAsia="Symbol" w:cstheme="minorHAnsi"/>
                <w:color w:val="000000"/>
                <w:lang w:eastAsia="cs-CZ"/>
              </w:rPr>
              <w:t>má vypořádány splatné závazky ve vztahu ke státnímu rozpočtu nebo rozpočtu územního samosprávného celku a další splatné závazky vůči státu, státnímu fondu, zdravotní pojišťovně nebo k České správě sociálního zabezpečení</w:t>
            </w:r>
          </w:p>
        </w:tc>
      </w:tr>
      <w:tr w:rsidR="00BB11BE" w:rsidRPr="00BB11BE" w14:paraId="28B521E4" w14:textId="77777777" w:rsidTr="00BC773C">
        <w:tc>
          <w:tcPr>
            <w:tcW w:w="9062" w:type="dxa"/>
            <w:gridSpan w:val="2"/>
            <w:shd w:val="clear" w:color="auto" w:fill="D9D9D9"/>
          </w:tcPr>
          <w:p w14:paraId="4AE75BAF" w14:textId="6EC0ECAF" w:rsidR="00BB11BE" w:rsidRPr="00BB11BE" w:rsidRDefault="00BB11BE" w:rsidP="00BB11BE">
            <w:pPr>
              <w:numPr>
                <w:ilvl w:val="0"/>
                <w:numId w:val="6"/>
              </w:numPr>
              <w:spacing w:after="40" w:line="240" w:lineRule="auto"/>
              <w:ind w:left="284" w:hanging="284"/>
              <w:jc w:val="both"/>
              <w:rPr>
                <w:rFonts w:eastAsia="Symbol" w:cstheme="minorHAnsi"/>
                <w:color w:val="000000"/>
                <w:lang w:eastAsia="cs-CZ"/>
              </w:rPr>
            </w:pPr>
            <w:r w:rsidRPr="00BB11BE">
              <w:rPr>
                <w:rFonts w:eastAsia="Symbol" w:cstheme="minorHAnsi"/>
                <w:color w:val="000000"/>
                <w:lang w:eastAsia="cs-CZ"/>
              </w:rPr>
              <w:t>v návaznosti na rozhodnutí Evropské Komise nebyl na subjekt vystaven inkasní příkaz, jímž byla podpora vyplacená v jeho prospěch prohlášena za protiprávní a neslučitelnou s vnitřním trhem</w:t>
            </w:r>
          </w:p>
        </w:tc>
      </w:tr>
      <w:tr w:rsidR="00BB11BE" w:rsidRPr="00BB11BE" w14:paraId="419DEEDE" w14:textId="77777777" w:rsidTr="00BC773C">
        <w:tc>
          <w:tcPr>
            <w:tcW w:w="9062" w:type="dxa"/>
            <w:gridSpan w:val="2"/>
            <w:shd w:val="clear" w:color="auto" w:fill="D9D9D9"/>
          </w:tcPr>
          <w:p w14:paraId="47E1EF16" w14:textId="7A44F8C5" w:rsidR="00BB11BE" w:rsidRPr="00BB11BE" w:rsidRDefault="00BB11BE" w:rsidP="00BB11BE">
            <w:pPr>
              <w:numPr>
                <w:ilvl w:val="0"/>
                <w:numId w:val="6"/>
              </w:numPr>
              <w:spacing w:after="40" w:line="240" w:lineRule="auto"/>
              <w:ind w:left="284" w:hanging="284"/>
              <w:jc w:val="both"/>
              <w:rPr>
                <w:rFonts w:eastAsia="Symbol" w:cstheme="minorHAnsi"/>
                <w:color w:val="000000"/>
                <w:lang w:eastAsia="cs-CZ"/>
              </w:rPr>
            </w:pPr>
            <w:r w:rsidRPr="00BB11BE">
              <w:rPr>
                <w:rFonts w:eastAsia="Symbol" w:cstheme="minorHAnsi"/>
                <w:color w:val="000000"/>
                <w:lang w:eastAsia="cs-CZ"/>
              </w:rPr>
              <w:t>subjekt nesplňuje definici podniku v obtížích</w:t>
            </w:r>
          </w:p>
        </w:tc>
      </w:tr>
      <w:tr w:rsidR="00BB11BE" w:rsidRPr="00BB11BE" w14:paraId="00E829A8" w14:textId="77777777" w:rsidTr="00BC773C">
        <w:tc>
          <w:tcPr>
            <w:tcW w:w="9062" w:type="dxa"/>
            <w:gridSpan w:val="2"/>
            <w:shd w:val="clear" w:color="auto" w:fill="D9D9D9"/>
          </w:tcPr>
          <w:p w14:paraId="62E18640" w14:textId="3CE9DCB1" w:rsidR="00BB11BE" w:rsidRPr="00BB11BE" w:rsidRDefault="00BB11BE" w:rsidP="00BB11BE">
            <w:pPr>
              <w:numPr>
                <w:ilvl w:val="0"/>
                <w:numId w:val="6"/>
              </w:numPr>
              <w:spacing w:after="40" w:line="240" w:lineRule="auto"/>
              <w:ind w:left="284" w:hanging="284"/>
              <w:jc w:val="both"/>
              <w:rPr>
                <w:rFonts w:eastAsia="Symbol" w:cstheme="minorHAnsi"/>
                <w:color w:val="000000"/>
                <w:lang w:eastAsia="cs-CZ"/>
              </w:rPr>
            </w:pPr>
            <w:r w:rsidRPr="00BB11BE">
              <w:rPr>
                <w:rFonts w:eastAsia="Symbol" w:cstheme="minorHAnsi"/>
                <w:color w:val="000000"/>
                <w:lang w:eastAsia="cs-CZ"/>
              </w:rPr>
              <w:t>subjekt splňuje podmínky způsobilosti k řešení navrhovaného dokumentu dle zadávací dokumentace veřejné soutěže</w:t>
            </w:r>
          </w:p>
        </w:tc>
      </w:tr>
      <w:tr w:rsidR="00BB11BE" w:rsidRPr="00BB11BE" w14:paraId="4CFA4384" w14:textId="77777777" w:rsidTr="00BC773C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592D4CA" w14:textId="72C4525B" w:rsidR="00BB11BE" w:rsidRPr="00BB11BE" w:rsidRDefault="00BB11BE" w:rsidP="00BB11BE">
            <w:pPr>
              <w:numPr>
                <w:ilvl w:val="0"/>
                <w:numId w:val="6"/>
              </w:numPr>
              <w:spacing w:after="40" w:line="240" w:lineRule="auto"/>
              <w:ind w:left="284" w:hanging="284"/>
              <w:jc w:val="both"/>
              <w:rPr>
                <w:rFonts w:eastAsia="Symbol" w:cstheme="minorHAnsi"/>
                <w:color w:val="000000"/>
                <w:lang w:eastAsia="cs-CZ"/>
              </w:rPr>
            </w:pPr>
            <w:r w:rsidRPr="00BB11BE">
              <w:rPr>
                <w:rFonts w:eastAsia="Symbol" w:cstheme="minorHAnsi"/>
                <w:color w:val="000000"/>
                <w:lang w:eastAsia="cs-CZ"/>
              </w:rPr>
              <w:t>subjekt nebyl pravomocně odsouzen pro trestný čin, jehož skutková podstata souvisí s předmětem podnikání (činnosti) uchazeče nebo pro trestný čin hospodářský nebo trestný čin proti majetku nebo se na něj tak podle zákona hledí</w:t>
            </w:r>
          </w:p>
        </w:tc>
      </w:tr>
      <w:tr w:rsidR="00BB11BE" w:rsidRPr="00BB11BE" w14:paraId="01065CB9" w14:textId="77777777" w:rsidTr="00BC773C">
        <w:tc>
          <w:tcPr>
            <w:tcW w:w="9062" w:type="dxa"/>
            <w:gridSpan w:val="2"/>
            <w:shd w:val="clear" w:color="auto" w:fill="D9D9D9"/>
          </w:tcPr>
          <w:p w14:paraId="37FD071B" w14:textId="77777777" w:rsidR="00BB11BE" w:rsidRPr="00BB11BE" w:rsidRDefault="00BB11BE" w:rsidP="00BB11BE">
            <w:pPr>
              <w:numPr>
                <w:ilvl w:val="0"/>
                <w:numId w:val="6"/>
              </w:numPr>
              <w:spacing w:after="40" w:line="240" w:lineRule="auto"/>
              <w:ind w:left="284" w:hanging="284"/>
              <w:jc w:val="both"/>
              <w:rPr>
                <w:rFonts w:eastAsia="Symbol" w:cstheme="minorHAnsi"/>
                <w:color w:val="000000"/>
                <w:lang w:eastAsia="cs-CZ"/>
              </w:rPr>
            </w:pPr>
            <w:r w:rsidRPr="00BB11BE">
              <w:rPr>
                <w:rFonts w:eastAsia="Times New Roman" w:cstheme="minorHAnsi"/>
                <w:color w:val="000000"/>
                <w:lang w:eastAsia="cs-CZ"/>
              </w:rPr>
              <w:t>každý, kdo vykonává funkci statutárního orgánu uchazeče nebo jeho člena podle § 18 odst. 2 pod písm. e) a f) Zákona splňuje následující podmínky (s výjimkou osob, u kterých jsou pro výkon funkce statutárního orgánu nebo jeho člena stanoveny zvláštním právním předpisem</w:t>
            </w:r>
            <w:r w:rsidRPr="00BB11BE">
              <w:rPr>
                <w:rFonts w:eastAsia="Times New Roman" w:cstheme="minorHAnsi"/>
                <w:vertAlign w:val="superscript"/>
                <w:lang w:eastAsia="cs-CZ"/>
              </w:rPr>
              <w:footnoteReference w:id="5"/>
            </w:r>
            <w:r w:rsidRPr="00BB11BE">
              <w:rPr>
                <w:rFonts w:eastAsia="Times New Roman" w:cstheme="minorHAnsi"/>
                <w:color w:val="000000"/>
                <w:lang w:eastAsia="cs-CZ"/>
              </w:rPr>
              <w:t>):</w:t>
            </w:r>
          </w:p>
        </w:tc>
      </w:tr>
      <w:tr w:rsidR="00BB11BE" w:rsidRPr="00BB11BE" w14:paraId="19BD864C" w14:textId="77777777" w:rsidTr="00BC773C">
        <w:tc>
          <w:tcPr>
            <w:tcW w:w="9062" w:type="dxa"/>
            <w:gridSpan w:val="2"/>
            <w:shd w:val="clear" w:color="auto" w:fill="F2F2F2"/>
          </w:tcPr>
          <w:p w14:paraId="6C1FC460" w14:textId="70986803" w:rsidR="00BB11BE" w:rsidRPr="00BB11BE" w:rsidRDefault="00BB11BE" w:rsidP="00BB11BE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eastAsia="Symbol" w:cstheme="minorHAnsi"/>
                <w:color w:val="000000"/>
                <w:lang w:eastAsia="cs-CZ"/>
              </w:rPr>
            </w:pPr>
            <w:r w:rsidRPr="00BB11BE">
              <w:rPr>
                <w:rFonts w:eastAsia="Symbol" w:cstheme="minorHAnsi"/>
                <w:color w:val="000000"/>
                <w:lang w:eastAsia="cs-CZ"/>
              </w:rPr>
              <w:t>nebyl pravomocně odsouzen pro trestný čin, jehož skutková podstata souvisí s předmětem podnikání (činnosti) uchazeče nebo pro trestný čin hospodářský nebo trestný čin proti majetku, nebo se na něj tak podle zákona hledí</w:t>
            </w:r>
          </w:p>
        </w:tc>
      </w:tr>
      <w:tr w:rsidR="00BB11BE" w:rsidRPr="00BB11BE" w14:paraId="2446D406" w14:textId="77777777" w:rsidTr="00BC773C">
        <w:tc>
          <w:tcPr>
            <w:tcW w:w="9062" w:type="dxa"/>
            <w:gridSpan w:val="2"/>
            <w:shd w:val="clear" w:color="auto" w:fill="F2F2F2"/>
          </w:tcPr>
          <w:p w14:paraId="16D5D486" w14:textId="21DB3E24" w:rsidR="00BB11BE" w:rsidRPr="00BB11BE" w:rsidRDefault="00BB11BE" w:rsidP="00BB11BE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eastAsia="Symbol" w:cstheme="minorHAnsi"/>
                <w:color w:val="000000"/>
                <w:lang w:eastAsia="cs-CZ"/>
              </w:rPr>
            </w:pPr>
            <w:r w:rsidRPr="00BB11BE">
              <w:rPr>
                <w:rFonts w:eastAsia="Symbol" w:cstheme="minorHAnsi"/>
                <w:color w:val="000000"/>
                <w:lang w:eastAsia="cs-CZ"/>
              </w:rPr>
              <w:t>nebyl v posledních třech letech disciplinárně potrestán podle zvláštních právních předpisů upravujících výkon odborné činnosti</w:t>
            </w:r>
            <w:r w:rsidRPr="00BB11BE">
              <w:rPr>
                <w:rFonts w:eastAsia="Symbol" w:cstheme="minorHAnsi"/>
                <w:color w:val="000000"/>
                <w:vertAlign w:val="superscript"/>
                <w:lang w:eastAsia="cs-CZ"/>
              </w:rPr>
              <w:footnoteReference w:id="6"/>
            </w:r>
            <w:r w:rsidRPr="00BB11BE">
              <w:rPr>
                <w:rFonts w:eastAsia="Symbol" w:cstheme="minorHAnsi"/>
                <w:color w:val="000000"/>
                <w:lang w:eastAsia="cs-CZ"/>
              </w:rPr>
              <w:t>, pokud tato činnost souvisí s předmětem veřejné soutěže Programu</w:t>
            </w:r>
          </w:p>
        </w:tc>
      </w:tr>
      <w:tr w:rsidR="00BB11BE" w:rsidRPr="00BB11BE" w14:paraId="6ADDCECC" w14:textId="77777777" w:rsidTr="00BC773C">
        <w:tc>
          <w:tcPr>
            <w:tcW w:w="9062" w:type="dxa"/>
            <w:gridSpan w:val="2"/>
            <w:shd w:val="clear" w:color="auto" w:fill="D9D9D9"/>
          </w:tcPr>
          <w:p w14:paraId="4C40BEA0" w14:textId="5828117A" w:rsidR="00BB11BE" w:rsidRPr="00BB11BE" w:rsidRDefault="00BB11BE" w:rsidP="00BB11BE">
            <w:pPr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eastAsia="Symbol" w:cstheme="minorHAnsi"/>
                <w:color w:val="000000"/>
                <w:lang w:eastAsia="cs-CZ"/>
              </w:rPr>
            </w:pPr>
            <w:r w:rsidRPr="00BB11BE">
              <w:rPr>
                <w:rFonts w:eastAsia="Times New Roman" w:cstheme="minorHAnsi"/>
                <w:color w:val="000000"/>
                <w:lang w:eastAsia="cs-CZ"/>
              </w:rPr>
              <w:t xml:space="preserve">každý, kdo vykonává funkci statutárního orgánu uchazeče nebo jeho člena, </w:t>
            </w:r>
            <w:r w:rsidRPr="00BB11BE">
              <w:rPr>
                <w:rFonts w:eastAsia="Symbol" w:cstheme="minorHAnsi"/>
                <w:color w:val="000000"/>
                <w:lang w:eastAsia="cs-CZ"/>
              </w:rPr>
              <w:t>souhlasí se zpracováním svých osobních údajů uvedených v návrhu projektu</w:t>
            </w:r>
            <w:r w:rsidRPr="00BB11BE">
              <w:rPr>
                <w:rFonts w:eastAsia="Symbol" w:cstheme="minorHAnsi"/>
                <w:color w:val="000000"/>
                <w:vertAlign w:val="superscript"/>
                <w:lang w:eastAsia="cs-CZ"/>
              </w:rPr>
              <w:footnoteReference w:id="7"/>
            </w:r>
            <w:r w:rsidRPr="00BB11BE">
              <w:rPr>
                <w:rFonts w:eastAsia="Symbol" w:cstheme="minorHAnsi"/>
                <w:color w:val="000000"/>
                <w:lang w:eastAsia="cs-CZ"/>
              </w:rPr>
              <w:t xml:space="preserve"> pro účely veřejné soutěže programu ERC CZ</w:t>
            </w:r>
          </w:p>
        </w:tc>
      </w:tr>
      <w:tr w:rsidR="00BB11BE" w:rsidRPr="00BB11BE" w14:paraId="4B3D692C" w14:textId="77777777" w:rsidTr="00BC773C">
        <w:tc>
          <w:tcPr>
            <w:tcW w:w="9062" w:type="dxa"/>
            <w:gridSpan w:val="2"/>
            <w:shd w:val="clear" w:color="auto" w:fill="D9D9D9"/>
          </w:tcPr>
          <w:p w14:paraId="5A535DAC" w14:textId="2911CB65" w:rsidR="00BB11BE" w:rsidRPr="00BB11BE" w:rsidRDefault="00BB11BE" w:rsidP="00BB11BE">
            <w:pPr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BB11BE">
              <w:rPr>
                <w:rFonts w:eastAsia="Times New Roman" w:cstheme="minorHAnsi"/>
                <w:color w:val="000000"/>
                <w:lang w:eastAsia="cs-CZ"/>
              </w:rPr>
              <w:lastRenderedPageBreak/>
              <w:t xml:space="preserve">subjekt souhlasí se zveřejněním smlouvy o poskytnutí podpory, bude-li mu po provedení veřejné soutěže ve </w:t>
            </w:r>
            <w:proofErr w:type="spellStart"/>
            <w:r w:rsidRPr="00BB11BE">
              <w:rPr>
                <w:rFonts w:eastAsia="Times New Roman" w:cstheme="minorHAnsi"/>
                <w:color w:val="000000"/>
                <w:lang w:eastAsia="cs-CZ"/>
              </w:rPr>
              <w:t>VaVaI</w:t>
            </w:r>
            <w:proofErr w:type="spellEnd"/>
            <w:r w:rsidRPr="00BB11BE">
              <w:rPr>
                <w:rFonts w:eastAsia="Times New Roman" w:cstheme="minorHAnsi"/>
                <w:color w:val="000000"/>
                <w:lang w:eastAsia="cs-CZ"/>
              </w:rPr>
              <w:t xml:space="preserve"> na řešení projektu poskytovatelem přiznána, a současně se zveřejněním údajů o projektu v IS </w:t>
            </w:r>
            <w:proofErr w:type="spellStart"/>
            <w:r w:rsidRPr="00BB11BE">
              <w:rPr>
                <w:rFonts w:eastAsia="Times New Roman" w:cstheme="minorHAnsi"/>
                <w:color w:val="000000"/>
                <w:lang w:eastAsia="cs-CZ"/>
              </w:rPr>
              <w:t>VaVaI</w:t>
            </w:r>
            <w:proofErr w:type="spellEnd"/>
            <w:r w:rsidRPr="00BB11BE">
              <w:rPr>
                <w:rFonts w:eastAsia="Times New Roman" w:cstheme="minorHAnsi"/>
                <w:color w:val="000000"/>
                <w:lang w:eastAsia="cs-CZ"/>
              </w:rPr>
              <w:t xml:space="preserve"> v rozsahu stanoveném zákonem</w:t>
            </w:r>
            <w:r w:rsidR="004208C9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</w:tbl>
    <w:p w14:paraId="757981D0" w14:textId="6EE2B00B" w:rsidR="00BB11BE" w:rsidRDefault="00BB11BE" w:rsidP="00BB11BE">
      <w:pPr>
        <w:pStyle w:val="Nzev"/>
        <w:jc w:val="both"/>
        <w:rPr>
          <w:rFonts w:asciiTheme="minorHAnsi" w:hAnsiTheme="minorHAnsi" w:cstheme="minorHAnsi"/>
          <w:b w:val="0"/>
          <w:color w:val="000000"/>
          <w:sz w:val="22"/>
          <w:szCs w:val="22"/>
          <w:lang w:eastAsia="cs-CZ"/>
        </w:rPr>
      </w:pPr>
      <w:r w:rsidRPr="00847183">
        <w:rPr>
          <w:rFonts w:asciiTheme="minorHAnsi" w:hAnsiTheme="minorHAnsi" w:cstheme="minorHAnsi"/>
          <w:b w:val="0"/>
          <w:color w:val="000000"/>
          <w:sz w:val="22"/>
          <w:szCs w:val="22"/>
          <w:lang w:eastAsia="cs-CZ"/>
        </w:rPr>
        <w:t xml:space="preserve">V případě, že uchazečem, tj. subjektem žádajícím o podporu, </w:t>
      </w:r>
      <w:r w:rsidRPr="00847183">
        <w:rPr>
          <w:rFonts w:asciiTheme="minorHAnsi" w:hAnsiTheme="minorHAnsi" w:cstheme="minorHAnsi"/>
          <w:color w:val="000000"/>
          <w:sz w:val="22"/>
          <w:szCs w:val="22"/>
          <w:lang w:eastAsia="cs-CZ"/>
        </w:rPr>
        <w:t>není</w:t>
      </w:r>
      <w:r w:rsidRPr="00847183">
        <w:rPr>
          <w:rFonts w:asciiTheme="minorHAnsi" w:hAnsiTheme="minorHAnsi" w:cstheme="minorHAnsi"/>
          <w:b w:val="0"/>
          <w:color w:val="000000"/>
          <w:sz w:val="22"/>
          <w:szCs w:val="22"/>
          <w:lang w:eastAsia="cs-CZ"/>
        </w:rPr>
        <w:t xml:space="preserve"> veřejná vysoká škola ve smyslu zák</w:t>
      </w:r>
      <w:r w:rsidR="00823D34">
        <w:rPr>
          <w:rFonts w:asciiTheme="minorHAnsi" w:hAnsiTheme="minorHAnsi" w:cstheme="minorHAnsi"/>
          <w:b w:val="0"/>
          <w:color w:val="000000"/>
          <w:sz w:val="22"/>
          <w:szCs w:val="22"/>
          <w:lang w:val="cs-CZ" w:eastAsia="cs-CZ"/>
        </w:rPr>
        <w:t>ona</w:t>
      </w:r>
      <w:r w:rsidRPr="00847183">
        <w:rPr>
          <w:rFonts w:asciiTheme="minorHAnsi" w:hAnsiTheme="minorHAnsi" w:cstheme="minorHAnsi"/>
          <w:b w:val="0"/>
          <w:color w:val="000000"/>
          <w:sz w:val="22"/>
          <w:szCs w:val="22"/>
          <w:lang w:eastAsia="cs-CZ"/>
        </w:rPr>
        <w:t xml:space="preserve"> č. 111/1998, o vysokých školách, ve znění pozdějších předpisů, nebo veřejná výzkumná instituce ve smyslu zák</w:t>
      </w:r>
      <w:r w:rsidR="00823D34">
        <w:rPr>
          <w:rFonts w:asciiTheme="minorHAnsi" w:hAnsiTheme="minorHAnsi" w:cstheme="minorHAnsi"/>
          <w:b w:val="0"/>
          <w:color w:val="000000"/>
          <w:sz w:val="22"/>
          <w:szCs w:val="22"/>
          <w:lang w:val="cs-CZ" w:eastAsia="cs-CZ"/>
        </w:rPr>
        <w:t>ona</w:t>
      </w:r>
      <w:r w:rsidRPr="00847183">
        <w:rPr>
          <w:rFonts w:asciiTheme="minorHAnsi" w:hAnsiTheme="minorHAnsi" w:cstheme="minorHAnsi"/>
          <w:b w:val="0"/>
          <w:color w:val="000000"/>
          <w:sz w:val="22"/>
          <w:szCs w:val="22"/>
          <w:lang w:eastAsia="cs-CZ"/>
        </w:rPr>
        <w:t xml:space="preserve"> č. 341/2005 Sb., o veřejných výzkumných institucích, ve znění pozdějších předpisů, </w:t>
      </w:r>
      <w:r w:rsidRPr="00847183">
        <w:rPr>
          <w:rFonts w:asciiTheme="minorHAnsi" w:hAnsiTheme="minorHAnsi" w:cstheme="minorHAnsi"/>
          <w:color w:val="000000"/>
          <w:sz w:val="22"/>
          <w:szCs w:val="22"/>
          <w:lang w:eastAsia="cs-CZ"/>
        </w:rPr>
        <w:t>je nezbytné</w:t>
      </w:r>
      <w:r w:rsidRPr="00847183">
        <w:rPr>
          <w:rFonts w:asciiTheme="minorHAnsi" w:hAnsiTheme="minorHAnsi" w:cstheme="minorHAnsi"/>
          <w:b w:val="0"/>
          <w:color w:val="000000"/>
          <w:sz w:val="22"/>
          <w:szCs w:val="22"/>
          <w:lang w:eastAsia="cs-CZ"/>
        </w:rPr>
        <w:t xml:space="preserve"> poskytnout pro posouzení velikosti subjektu a slučitelnosti podpory podle evropských předpisů též následující údaje o hospodaření podle výročních finančních zpráv Vaší organizace z</w:t>
      </w:r>
      <w:r w:rsidR="00847183">
        <w:rPr>
          <w:rFonts w:asciiTheme="minorHAnsi" w:hAnsiTheme="minorHAnsi" w:cstheme="minorHAnsi"/>
          <w:b w:val="0"/>
          <w:color w:val="000000"/>
          <w:sz w:val="22"/>
          <w:szCs w:val="22"/>
          <w:lang w:val="cs-CZ" w:eastAsia="cs-CZ"/>
        </w:rPr>
        <w:t> </w:t>
      </w:r>
      <w:r w:rsidRPr="00847183">
        <w:rPr>
          <w:rFonts w:asciiTheme="minorHAnsi" w:hAnsiTheme="minorHAnsi" w:cstheme="minorHAnsi"/>
          <w:b w:val="0"/>
          <w:color w:val="000000"/>
          <w:sz w:val="22"/>
          <w:szCs w:val="22"/>
          <w:lang w:eastAsia="cs-CZ"/>
        </w:rPr>
        <w:t>tabulek Rozvaha (roční bilance) a Výkaz zisku a ztrát (v tis. Kč) a poměrné ukazatele z těchto údajů za poslední 2 účetní období do tabulky a dále vybrat Váš obor podnikání podle evropského číselníku NACE, který bude projektem podpořen, a to takto:</w:t>
      </w:r>
    </w:p>
    <w:p w14:paraId="4F6EE0C6" w14:textId="77777777" w:rsidR="00847183" w:rsidRPr="00847183" w:rsidRDefault="00847183" w:rsidP="00BB11BE">
      <w:pPr>
        <w:pStyle w:val="Nzev"/>
        <w:jc w:val="both"/>
        <w:rPr>
          <w:rFonts w:asciiTheme="minorHAnsi" w:hAnsiTheme="minorHAnsi" w:cstheme="minorHAnsi"/>
          <w:b w:val="0"/>
          <w:color w:val="000000"/>
          <w:sz w:val="22"/>
          <w:szCs w:val="22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9"/>
        <w:gridCol w:w="1409"/>
        <w:gridCol w:w="1286"/>
      </w:tblGrid>
      <w:tr w:rsidR="00BB11BE" w:rsidRPr="00BB11BE" w14:paraId="372CE51B" w14:textId="77777777" w:rsidTr="00847183">
        <w:trPr>
          <w:trHeight w:val="359"/>
        </w:trPr>
        <w:tc>
          <w:tcPr>
            <w:tcW w:w="8954" w:type="dxa"/>
            <w:gridSpan w:val="3"/>
          </w:tcPr>
          <w:p w14:paraId="517601B9" w14:textId="77777777" w:rsidR="00BB11BE" w:rsidRPr="00847183" w:rsidRDefault="00BB11BE" w:rsidP="00C23724">
            <w:pPr>
              <w:pStyle w:val="Nzev"/>
              <w:spacing w:before="0" w:after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Číselný kód odvětví/oboru podnikání uchazeče podle NACE (viz číselník na adrese</w:t>
            </w: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shd w:val="clear" w:color="auto" w:fill="F2F2F2"/>
                <w:lang w:val="cs-CZ" w:eastAsia="cs-CZ"/>
              </w:rPr>
              <w:t xml:space="preserve"> </w:t>
            </w:r>
            <w:hyperlink r:id="rId8" w:history="1">
              <w:r w:rsidRPr="00847183">
                <w:rPr>
                  <w:rStyle w:val="Hypertextovodkaz"/>
                  <w:rFonts w:asciiTheme="minorHAnsi" w:hAnsiTheme="minorHAnsi" w:cstheme="minorHAnsi"/>
                  <w:sz w:val="22"/>
                  <w:szCs w:val="22"/>
                  <w:lang w:val="cs-CZ"/>
                </w:rPr>
                <w:t>http://ec.europa.eu/competition/mergers/cases/index/nace_all.html</w:t>
              </w:r>
            </w:hyperlink>
            <w:r w:rsidRPr="0084718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)</w:t>
            </w: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, na který bude podpora čerpána:</w:t>
            </w:r>
          </w:p>
        </w:tc>
      </w:tr>
      <w:tr w:rsidR="00BB11BE" w:rsidRPr="00BB11BE" w14:paraId="205E48A0" w14:textId="77777777" w:rsidTr="00C23724">
        <w:trPr>
          <w:trHeight w:val="276"/>
        </w:trPr>
        <w:tc>
          <w:tcPr>
            <w:tcW w:w="6259" w:type="dxa"/>
          </w:tcPr>
          <w:p w14:paraId="505E20EA" w14:textId="77777777" w:rsidR="00BB11BE" w:rsidRPr="00847183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Položka/rok</w:t>
            </w:r>
          </w:p>
        </w:tc>
        <w:tc>
          <w:tcPr>
            <w:tcW w:w="1409" w:type="dxa"/>
          </w:tcPr>
          <w:p w14:paraId="46217E42" w14:textId="77777777" w:rsidR="00BB11BE" w:rsidRPr="00BB11BE" w:rsidRDefault="00BB11BE" w:rsidP="008F6D6E">
            <w:pPr>
              <w:pStyle w:val="Nzev"/>
              <w:spacing w:before="0" w:after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86" w:type="dxa"/>
          </w:tcPr>
          <w:p w14:paraId="0DF58E3C" w14:textId="77777777" w:rsidR="00BB11BE" w:rsidRPr="00BB11BE" w:rsidRDefault="00BB11BE" w:rsidP="008F6D6E">
            <w:pPr>
              <w:pStyle w:val="Nzev"/>
              <w:spacing w:before="0" w:after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BB11BE" w:rsidRPr="00BB11BE" w14:paraId="0F08CD7E" w14:textId="77777777" w:rsidTr="00C23724">
        <w:trPr>
          <w:trHeight w:val="276"/>
        </w:trPr>
        <w:tc>
          <w:tcPr>
            <w:tcW w:w="6259" w:type="dxa"/>
          </w:tcPr>
          <w:p w14:paraId="5C14D7C6" w14:textId="77777777" w:rsidR="00BB11BE" w:rsidRPr="00847183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Aktiva celkem (tis. Kč)</w:t>
            </w:r>
          </w:p>
        </w:tc>
        <w:tc>
          <w:tcPr>
            <w:tcW w:w="1409" w:type="dxa"/>
          </w:tcPr>
          <w:p w14:paraId="26A6A2DE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86" w:type="dxa"/>
          </w:tcPr>
          <w:p w14:paraId="61C2F39E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BB11BE" w:rsidRPr="00BB11BE" w14:paraId="4D56CFCF" w14:textId="77777777" w:rsidTr="00C23724">
        <w:trPr>
          <w:trHeight w:val="276"/>
        </w:trPr>
        <w:tc>
          <w:tcPr>
            <w:tcW w:w="6259" w:type="dxa"/>
          </w:tcPr>
          <w:p w14:paraId="5FC00D20" w14:textId="77777777" w:rsidR="00BB11BE" w:rsidRPr="00847183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Finanční majetek (tis. Kč)</w:t>
            </w:r>
          </w:p>
        </w:tc>
        <w:tc>
          <w:tcPr>
            <w:tcW w:w="1409" w:type="dxa"/>
          </w:tcPr>
          <w:p w14:paraId="65C460DC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86" w:type="dxa"/>
          </w:tcPr>
          <w:p w14:paraId="39C4C8C4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BB11BE" w:rsidRPr="00BB11BE" w14:paraId="732BF6CE" w14:textId="77777777" w:rsidTr="00C23724">
        <w:trPr>
          <w:trHeight w:val="276"/>
        </w:trPr>
        <w:tc>
          <w:tcPr>
            <w:tcW w:w="6259" w:type="dxa"/>
          </w:tcPr>
          <w:p w14:paraId="166F126A" w14:textId="77777777" w:rsidR="00BB11BE" w:rsidRPr="00847183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Vlastní kapitál (tis. Kč)</w:t>
            </w:r>
          </w:p>
        </w:tc>
        <w:tc>
          <w:tcPr>
            <w:tcW w:w="1409" w:type="dxa"/>
          </w:tcPr>
          <w:p w14:paraId="3E223AA9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86" w:type="dxa"/>
          </w:tcPr>
          <w:p w14:paraId="42312A2E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BB11BE" w:rsidRPr="00BB11BE" w14:paraId="0DEEFEB7" w14:textId="77777777" w:rsidTr="00C23724">
        <w:trPr>
          <w:trHeight w:val="276"/>
        </w:trPr>
        <w:tc>
          <w:tcPr>
            <w:tcW w:w="6259" w:type="dxa"/>
          </w:tcPr>
          <w:p w14:paraId="78A843B4" w14:textId="77777777" w:rsidR="00BB11BE" w:rsidRPr="00847183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Cizí zdroje (tis. Kč)</w:t>
            </w:r>
          </w:p>
        </w:tc>
        <w:tc>
          <w:tcPr>
            <w:tcW w:w="1409" w:type="dxa"/>
          </w:tcPr>
          <w:p w14:paraId="6A3A4ECB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86" w:type="dxa"/>
          </w:tcPr>
          <w:p w14:paraId="59EDAC11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BB11BE" w:rsidRPr="00BB11BE" w14:paraId="2A6CA64A" w14:textId="77777777" w:rsidTr="00C23724">
        <w:trPr>
          <w:trHeight w:val="276"/>
        </w:trPr>
        <w:tc>
          <w:tcPr>
            <w:tcW w:w="6259" w:type="dxa"/>
          </w:tcPr>
          <w:p w14:paraId="24AE7398" w14:textId="77777777" w:rsidR="00BB11BE" w:rsidRPr="00847183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Dlouhodobé závazky (tis. Kč)</w:t>
            </w:r>
          </w:p>
        </w:tc>
        <w:tc>
          <w:tcPr>
            <w:tcW w:w="1409" w:type="dxa"/>
          </w:tcPr>
          <w:p w14:paraId="53956223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86" w:type="dxa"/>
          </w:tcPr>
          <w:p w14:paraId="24E2C357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BB11BE" w:rsidRPr="00BB11BE" w14:paraId="425A1582" w14:textId="77777777" w:rsidTr="00C23724">
        <w:trPr>
          <w:trHeight w:val="276"/>
        </w:trPr>
        <w:tc>
          <w:tcPr>
            <w:tcW w:w="6259" w:type="dxa"/>
          </w:tcPr>
          <w:p w14:paraId="25343BE0" w14:textId="77777777" w:rsidR="00BB11BE" w:rsidRPr="00847183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Výkony celkem (tis. Kč)</w:t>
            </w:r>
          </w:p>
        </w:tc>
        <w:tc>
          <w:tcPr>
            <w:tcW w:w="1409" w:type="dxa"/>
          </w:tcPr>
          <w:p w14:paraId="5FE9D5CB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86" w:type="dxa"/>
          </w:tcPr>
          <w:p w14:paraId="28BBA949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BB11BE" w:rsidRPr="00BB11BE" w14:paraId="5FC0BE81" w14:textId="77777777" w:rsidTr="00C23724">
        <w:trPr>
          <w:trHeight w:val="276"/>
        </w:trPr>
        <w:tc>
          <w:tcPr>
            <w:tcW w:w="6259" w:type="dxa"/>
          </w:tcPr>
          <w:p w14:paraId="14F7FAB7" w14:textId="77777777" w:rsidR="00BB11BE" w:rsidRPr="00847183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Hospodářský výsledek před zdaněním (tis. Kč)</w:t>
            </w:r>
          </w:p>
        </w:tc>
        <w:tc>
          <w:tcPr>
            <w:tcW w:w="1409" w:type="dxa"/>
          </w:tcPr>
          <w:p w14:paraId="0859F3D5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86" w:type="dxa"/>
          </w:tcPr>
          <w:p w14:paraId="7DEBF270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BB11BE" w:rsidRPr="00BB11BE" w14:paraId="0D1B2BE7" w14:textId="77777777" w:rsidTr="00C23724">
        <w:trPr>
          <w:trHeight w:val="276"/>
        </w:trPr>
        <w:tc>
          <w:tcPr>
            <w:tcW w:w="6259" w:type="dxa"/>
          </w:tcPr>
          <w:p w14:paraId="0059329C" w14:textId="77777777" w:rsidR="00BB11BE" w:rsidRPr="00847183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Počet zaměstnanců (přepočet FTE)</w:t>
            </w:r>
          </w:p>
        </w:tc>
        <w:tc>
          <w:tcPr>
            <w:tcW w:w="1409" w:type="dxa"/>
          </w:tcPr>
          <w:p w14:paraId="78F732AE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86" w:type="dxa"/>
          </w:tcPr>
          <w:p w14:paraId="3E603D44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BB11BE" w:rsidRPr="00BB11BE" w14:paraId="70E47329" w14:textId="77777777" w:rsidTr="00C23724">
        <w:trPr>
          <w:trHeight w:val="276"/>
        </w:trPr>
        <w:tc>
          <w:tcPr>
            <w:tcW w:w="8954" w:type="dxa"/>
            <w:gridSpan w:val="3"/>
          </w:tcPr>
          <w:p w14:paraId="666FFA5B" w14:textId="0D38FD36" w:rsidR="00BB11BE" w:rsidRPr="00847183" w:rsidRDefault="00D603DB" w:rsidP="00D603DB">
            <w:pPr>
              <w:pStyle w:val="Nzev"/>
              <w:spacing w:before="0" w:after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P</w:t>
            </w:r>
            <w:r w:rsidR="00BB11BE"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oměrné ukazatele</w:t>
            </w:r>
          </w:p>
        </w:tc>
      </w:tr>
      <w:tr w:rsidR="00BB11BE" w:rsidRPr="00BB11BE" w14:paraId="6ADB44D8" w14:textId="77777777" w:rsidTr="00C23724">
        <w:trPr>
          <w:trHeight w:val="276"/>
        </w:trPr>
        <w:tc>
          <w:tcPr>
            <w:tcW w:w="6259" w:type="dxa"/>
          </w:tcPr>
          <w:p w14:paraId="0722E0A3" w14:textId="77777777" w:rsidR="00BB11BE" w:rsidRPr="00847183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Celková zadluženost v % (tj. 100x poměr cizích zdrojů a pasiv celkem)</w:t>
            </w:r>
          </w:p>
        </w:tc>
        <w:tc>
          <w:tcPr>
            <w:tcW w:w="1409" w:type="dxa"/>
          </w:tcPr>
          <w:p w14:paraId="601080B0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86" w:type="dxa"/>
          </w:tcPr>
          <w:p w14:paraId="7425D7F8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BB11BE" w:rsidRPr="00BB11BE" w14:paraId="4F8A037F" w14:textId="77777777" w:rsidTr="00847183">
        <w:tc>
          <w:tcPr>
            <w:tcW w:w="6259" w:type="dxa"/>
          </w:tcPr>
          <w:p w14:paraId="78ED0721" w14:textId="77777777" w:rsidR="00BB11BE" w:rsidRPr="00847183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Rentabilita vlastního kapitálu v % (tj. 100x poměr výsledku hospodaření za účetní období a vlastního kapitálu)</w:t>
            </w:r>
          </w:p>
        </w:tc>
        <w:tc>
          <w:tcPr>
            <w:tcW w:w="1409" w:type="dxa"/>
          </w:tcPr>
          <w:p w14:paraId="38377626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86" w:type="dxa"/>
          </w:tcPr>
          <w:p w14:paraId="42BC5EB4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BB11BE" w:rsidRPr="00BB11BE" w14:paraId="6C388628" w14:textId="77777777" w:rsidTr="00847183">
        <w:tc>
          <w:tcPr>
            <w:tcW w:w="6259" w:type="dxa"/>
          </w:tcPr>
          <w:p w14:paraId="7CB4EC62" w14:textId="77777777" w:rsidR="00BB11BE" w:rsidRPr="00847183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  <w:r w:rsidRPr="00847183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  <w:t>Celková likvidita v % (tj. 100x poměr oběžných aktiv a krátkodobých závazků)</w:t>
            </w:r>
          </w:p>
        </w:tc>
        <w:tc>
          <w:tcPr>
            <w:tcW w:w="1409" w:type="dxa"/>
          </w:tcPr>
          <w:p w14:paraId="43DD7638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86" w:type="dxa"/>
          </w:tcPr>
          <w:p w14:paraId="220D1DAF" w14:textId="77777777" w:rsidR="00BB11BE" w:rsidRPr="00BB11BE" w:rsidRDefault="00BB11BE" w:rsidP="008F6D6E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cs-CZ" w:eastAsia="cs-CZ"/>
              </w:rPr>
            </w:pPr>
          </w:p>
        </w:tc>
      </w:tr>
    </w:tbl>
    <w:p w14:paraId="75BF1828" w14:textId="2DFE476E" w:rsidR="00BB11BE" w:rsidRPr="00BB11BE" w:rsidRDefault="00BB11BE" w:rsidP="00BB11BE">
      <w:pPr>
        <w:pStyle w:val="Nzev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11BE">
        <w:rPr>
          <w:rFonts w:asciiTheme="minorHAnsi" w:hAnsiTheme="minorHAnsi" w:cstheme="minorHAnsi"/>
          <w:b w:val="0"/>
          <w:color w:val="000000"/>
          <w:sz w:val="22"/>
          <w:szCs w:val="22"/>
          <w:lang w:eastAsia="cs-CZ"/>
        </w:rPr>
        <w:t>Statutární zástupce výše uvedeného subjektu (uchazeče) d</w:t>
      </w:r>
      <w:r w:rsidRPr="00BB11BE">
        <w:rPr>
          <w:rFonts w:asciiTheme="minorHAnsi" w:hAnsiTheme="minorHAnsi" w:cstheme="minorHAnsi"/>
          <w:b w:val="0"/>
          <w:sz w:val="22"/>
          <w:szCs w:val="22"/>
        </w:rPr>
        <w:t>ále</w:t>
      </w:r>
      <w:r w:rsidR="00847183">
        <w:rPr>
          <w:rFonts w:asciiTheme="minorHAnsi" w:hAnsiTheme="minorHAnsi" w:cstheme="minorHAnsi"/>
          <w:b w:val="0"/>
          <w:sz w:val="22"/>
          <w:szCs w:val="22"/>
          <w:lang w:val="cs-CZ"/>
        </w:rPr>
        <w:t xml:space="preserve"> </w:t>
      </w:r>
      <w:r w:rsidRPr="00BB11BE">
        <w:rPr>
          <w:rFonts w:asciiTheme="minorHAnsi" w:hAnsiTheme="minorHAnsi" w:cstheme="minorHAnsi"/>
          <w:b w:val="0"/>
          <w:sz w:val="22"/>
          <w:szCs w:val="22"/>
        </w:rPr>
        <w:t xml:space="preserve">prohlašuje, že </w:t>
      </w:r>
    </w:p>
    <w:p w14:paraId="3F0EB34A" w14:textId="5A4D82CC" w:rsidR="00BB11BE" w:rsidRPr="00BB11BE" w:rsidRDefault="00BB11BE" w:rsidP="00BB11BE">
      <w:pPr>
        <w:pStyle w:val="Nzev"/>
        <w:numPr>
          <w:ilvl w:val="0"/>
          <w:numId w:val="9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11BE">
        <w:rPr>
          <w:rFonts w:asciiTheme="minorHAnsi" w:hAnsiTheme="minorHAnsi" w:cstheme="minorHAnsi"/>
          <w:b w:val="0"/>
          <w:sz w:val="22"/>
          <w:szCs w:val="22"/>
        </w:rPr>
        <w:t xml:space="preserve">údaje v tomto prohlášení obsažené jsou </w:t>
      </w:r>
      <w:r w:rsidRPr="00BB11BE">
        <w:rPr>
          <w:rFonts w:asciiTheme="minorHAnsi" w:hAnsiTheme="minorHAnsi" w:cstheme="minorHAnsi"/>
          <w:sz w:val="22"/>
          <w:szCs w:val="22"/>
        </w:rPr>
        <w:t>úplné, pravdivé a nezkreslené</w:t>
      </w:r>
      <w:r w:rsidR="00847183">
        <w:rPr>
          <w:rFonts w:asciiTheme="minorHAnsi" w:hAnsiTheme="minorHAnsi" w:cstheme="minorHAnsi"/>
          <w:b w:val="0"/>
          <w:sz w:val="22"/>
          <w:szCs w:val="22"/>
          <w:lang w:val="cs-CZ"/>
        </w:rPr>
        <w:t>;</w:t>
      </w:r>
    </w:p>
    <w:p w14:paraId="3200E1FE" w14:textId="0B6BB8E8" w:rsidR="00BB11BE" w:rsidRPr="00BB11BE" w:rsidRDefault="00BB11BE" w:rsidP="00BB11BE">
      <w:pPr>
        <w:pStyle w:val="Nzev"/>
        <w:numPr>
          <w:ilvl w:val="0"/>
          <w:numId w:val="9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11BE">
        <w:rPr>
          <w:rFonts w:asciiTheme="minorHAnsi" w:hAnsiTheme="minorHAnsi" w:cstheme="minorHAnsi"/>
          <w:b w:val="0"/>
          <w:sz w:val="22"/>
          <w:szCs w:val="22"/>
        </w:rPr>
        <w:t xml:space="preserve">údaje v elektronické verzi návrhu projektu </w:t>
      </w:r>
      <w:r w:rsidRPr="00BB11BE">
        <w:rPr>
          <w:rFonts w:asciiTheme="minorHAnsi" w:hAnsiTheme="minorHAnsi" w:cstheme="minorHAnsi"/>
          <w:sz w:val="22"/>
          <w:szCs w:val="22"/>
        </w:rPr>
        <w:t>jsou shodné</w:t>
      </w:r>
      <w:r w:rsidRPr="00BB11BE">
        <w:rPr>
          <w:rFonts w:asciiTheme="minorHAnsi" w:hAnsiTheme="minorHAnsi" w:cstheme="minorHAnsi"/>
          <w:b w:val="0"/>
          <w:sz w:val="22"/>
          <w:szCs w:val="22"/>
        </w:rPr>
        <w:t xml:space="preserve"> s údaji v tištěné verzi návrhu projektu, a že si je vědom právních následků jejich neúplnosti, nepravdivosti či zkreslení, tj. zejména možnosti vyloučení návrhu projektu z veřejné soutěže</w:t>
      </w:r>
      <w:r w:rsidR="00847183">
        <w:rPr>
          <w:rFonts w:asciiTheme="minorHAnsi" w:hAnsiTheme="minorHAnsi" w:cstheme="minorHAnsi"/>
          <w:b w:val="0"/>
          <w:sz w:val="22"/>
          <w:szCs w:val="22"/>
          <w:lang w:val="cs-CZ"/>
        </w:rPr>
        <w:t>;</w:t>
      </w:r>
    </w:p>
    <w:p w14:paraId="66EAAB62" w14:textId="77777777" w:rsidR="00BB11BE" w:rsidRPr="00BB11BE" w:rsidRDefault="00BB11BE" w:rsidP="00BB11BE">
      <w:pPr>
        <w:pStyle w:val="Nzev"/>
        <w:numPr>
          <w:ilvl w:val="0"/>
          <w:numId w:val="9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11BE">
        <w:rPr>
          <w:rFonts w:asciiTheme="minorHAnsi" w:hAnsiTheme="minorHAnsi" w:cstheme="minorHAnsi"/>
          <w:b w:val="0"/>
          <w:sz w:val="22"/>
          <w:szCs w:val="22"/>
        </w:rPr>
        <w:t xml:space="preserve">souhlasí se sběrem a zpracováním svých osobních údajů poskytovatelem za účelem ověřování způsobilosti uchazeče podle § 18 odst. 2 zákona. </w:t>
      </w:r>
    </w:p>
    <w:p w14:paraId="53BDADD6" w14:textId="1D58DF97" w:rsidR="00BB11BE" w:rsidRPr="00847183" w:rsidRDefault="00847183" w:rsidP="00BB11BE">
      <w:pPr>
        <w:pStyle w:val="Nzev"/>
        <w:jc w:val="both"/>
        <w:rPr>
          <w:rFonts w:asciiTheme="minorHAnsi" w:hAnsiTheme="minorHAnsi" w:cstheme="minorHAnsi"/>
          <w:b w:val="0"/>
          <w:sz w:val="22"/>
          <w:szCs w:val="22"/>
          <w:lang w:val="cs-CZ"/>
        </w:rPr>
      </w:pPr>
      <w:r w:rsidRPr="00BB11BE">
        <w:rPr>
          <w:rFonts w:asciiTheme="minorHAnsi" w:hAnsiTheme="minorHAnsi" w:cstheme="minorHAnsi"/>
          <w:b w:val="0"/>
          <w:color w:val="000000"/>
          <w:sz w:val="22"/>
          <w:szCs w:val="22"/>
          <w:lang w:eastAsia="cs-CZ"/>
        </w:rPr>
        <w:t>Statutární zástupce výše uvedeného subjektu (uchazeče)</w:t>
      </w:r>
      <w:r>
        <w:rPr>
          <w:rFonts w:asciiTheme="minorHAnsi" w:hAnsiTheme="minorHAnsi" w:cstheme="minorHAnsi"/>
          <w:b w:val="0"/>
          <w:color w:val="000000"/>
          <w:sz w:val="22"/>
          <w:szCs w:val="22"/>
          <w:lang w:val="cs-CZ" w:eastAsia="cs-CZ"/>
        </w:rPr>
        <w:t xml:space="preserve"> se zavazuje</w:t>
      </w:r>
    </w:p>
    <w:p w14:paraId="7889CEDF" w14:textId="0B24F260" w:rsidR="00BB11BE" w:rsidRDefault="00BB11BE" w:rsidP="00847183">
      <w:pPr>
        <w:pStyle w:val="Nzev"/>
        <w:numPr>
          <w:ilvl w:val="0"/>
          <w:numId w:val="9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11BE">
        <w:rPr>
          <w:rFonts w:asciiTheme="minorHAnsi" w:hAnsiTheme="minorHAnsi" w:cstheme="minorHAnsi"/>
          <w:b w:val="0"/>
          <w:sz w:val="22"/>
          <w:szCs w:val="22"/>
        </w:rPr>
        <w:lastRenderedPageBreak/>
        <w:t>uzavřít</w:t>
      </w:r>
      <w:r w:rsidRPr="00BB11BE">
        <w:rPr>
          <w:rFonts w:asciiTheme="minorHAnsi" w:hAnsiTheme="minorHAnsi" w:cstheme="minorHAnsi"/>
          <w:color w:val="000000"/>
          <w:sz w:val="22"/>
          <w:szCs w:val="22"/>
          <w:lang w:eastAsia="cs-CZ"/>
        </w:rPr>
        <w:t xml:space="preserve"> </w:t>
      </w:r>
      <w:r w:rsidRPr="00BB11BE">
        <w:rPr>
          <w:rFonts w:asciiTheme="minorHAnsi" w:hAnsiTheme="minorHAnsi" w:cstheme="minorHAnsi"/>
          <w:b w:val="0"/>
          <w:sz w:val="22"/>
          <w:szCs w:val="22"/>
        </w:rPr>
        <w:t>s řešitelem projektu pracovně právní vztah na dobu řešení projektu a min. dalších 6 kalendářních měsíců následujících po dni ukončení realizace projektu umožňujícího řešiteli řešení projektu a diseminaci jeho výsledků v rozsahu alespoň 0,5 plného pracovního úvazku</w:t>
      </w:r>
      <w:r w:rsidRPr="00BB11BE">
        <w:rPr>
          <w:rFonts w:asciiTheme="minorHAnsi" w:hAnsiTheme="minorHAnsi" w:cstheme="minorHAnsi"/>
          <w:b w:val="0"/>
          <w:bCs w:val="0"/>
          <w:kern w:val="0"/>
          <w:sz w:val="22"/>
          <w:szCs w:val="22"/>
          <w:vertAlign w:val="superscript"/>
          <w:lang w:eastAsia="cs-CZ"/>
        </w:rPr>
        <w:footnoteReference w:id="8"/>
      </w:r>
      <w:r w:rsidR="00847183">
        <w:rPr>
          <w:rFonts w:asciiTheme="minorHAnsi" w:hAnsiTheme="minorHAnsi" w:cstheme="minorHAnsi"/>
          <w:b w:val="0"/>
          <w:sz w:val="22"/>
          <w:szCs w:val="22"/>
          <w:lang w:val="cs-CZ"/>
        </w:rPr>
        <w:t>,</w:t>
      </w:r>
      <w:r w:rsidRPr="00BB11BE">
        <w:rPr>
          <w:rFonts w:asciiTheme="minorHAnsi" w:hAnsiTheme="minorHAnsi" w:cstheme="minorHAnsi"/>
          <w:b w:val="0"/>
          <w:sz w:val="22"/>
          <w:szCs w:val="22"/>
        </w:rPr>
        <w:t xml:space="preserve"> aniž by byl povinně nebo proti své vůli zatěžován dalšími pracovními povinnostmi; v případě, že mezi řešitelem a uchazečem pracovněprávní vztah již existuje, zavazuje se upravit jeho dosavadní pracovní náplň nebo sjednané práce tak, aby tato podmínka byla splněna a řešitel měl na řešení projektu vyhrazenu pracovní kapacitu v požadovaném rozsahu.</w:t>
      </w:r>
    </w:p>
    <w:p w14:paraId="0EC74406" w14:textId="77777777" w:rsidR="00847183" w:rsidRDefault="00847183" w:rsidP="00847183">
      <w:pPr>
        <w:pStyle w:val="Nzev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9B99D94" w14:textId="77777777" w:rsidR="00847183" w:rsidRDefault="00847183" w:rsidP="00847183">
      <w:pPr>
        <w:pStyle w:val="Nzev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A3648D7" w14:textId="57DDBD58" w:rsidR="00847183" w:rsidRPr="00847183" w:rsidRDefault="00847183" w:rsidP="00847183">
      <w:pPr>
        <w:pStyle w:val="Nzev"/>
        <w:rPr>
          <w:rFonts w:asciiTheme="minorHAnsi" w:hAnsiTheme="minorHAnsi" w:cstheme="minorHAnsi"/>
          <w:b w:val="0"/>
          <w:sz w:val="22"/>
          <w:szCs w:val="22"/>
          <w:lang w:val="cs-CZ"/>
        </w:rPr>
      </w:pPr>
      <w:r>
        <w:rPr>
          <w:rFonts w:asciiTheme="minorHAnsi" w:hAnsiTheme="minorHAnsi" w:cstheme="minorHAnsi"/>
          <w:b w:val="0"/>
          <w:sz w:val="22"/>
          <w:szCs w:val="22"/>
          <w:lang w:val="cs-CZ"/>
        </w:rPr>
        <w:t>_____________________________________________________________________________</w:t>
      </w:r>
      <w:r>
        <w:rPr>
          <w:rFonts w:asciiTheme="minorHAnsi" w:hAnsiTheme="minorHAnsi" w:cstheme="minorHAnsi"/>
          <w:b w:val="0"/>
          <w:sz w:val="22"/>
          <w:szCs w:val="22"/>
          <w:lang w:val="cs-CZ"/>
        </w:rPr>
        <w:br/>
        <w:t xml:space="preserve">Jméno, příjmení a tituly </w:t>
      </w:r>
      <w:r>
        <w:rPr>
          <w:rFonts w:asciiTheme="minorHAnsi" w:hAnsiTheme="minorHAnsi" w:cstheme="minorHAnsi"/>
          <w:b w:val="0"/>
          <w:sz w:val="22"/>
          <w:szCs w:val="22"/>
          <w:lang w:val="cs-CZ"/>
        </w:rPr>
        <w:br/>
        <w:t>všech jednotlivých osob vykonávajících funkci statutárního orgánu uchazeče nebo jeho člena</w:t>
      </w:r>
    </w:p>
    <w:p w14:paraId="1F8453F2" w14:textId="77777777" w:rsidR="00BB11BE" w:rsidRDefault="00BB11BE" w:rsidP="00BB11BE">
      <w:pPr>
        <w:jc w:val="both"/>
        <w:rPr>
          <w:rFonts w:cstheme="minorHAnsi"/>
        </w:rPr>
      </w:pPr>
    </w:p>
    <w:p w14:paraId="32ED4F51" w14:textId="77777777" w:rsidR="00847183" w:rsidRDefault="00847183" w:rsidP="00BB11BE">
      <w:pPr>
        <w:jc w:val="both"/>
        <w:rPr>
          <w:rFonts w:cstheme="minorHAnsi"/>
        </w:rPr>
      </w:pPr>
    </w:p>
    <w:p w14:paraId="45EF59F3" w14:textId="58E2352C" w:rsidR="00847183" w:rsidRPr="00BB11BE" w:rsidRDefault="00847183" w:rsidP="00847183">
      <w:pPr>
        <w:jc w:val="center"/>
        <w:rPr>
          <w:rFonts w:cstheme="minorHAnsi"/>
        </w:rPr>
      </w:pPr>
      <w:r>
        <w:rPr>
          <w:rFonts w:cstheme="minorHAnsi"/>
        </w:rPr>
        <w:t>_____________________________________________________________________________</w:t>
      </w:r>
      <w:r>
        <w:rPr>
          <w:rFonts w:cstheme="minorHAnsi"/>
        </w:rPr>
        <w:br/>
        <w:t>Otisk razítka uchazeče, datum, místo a podpisy</w:t>
      </w:r>
    </w:p>
    <w:sectPr w:rsidR="00847183" w:rsidRPr="00BB11BE" w:rsidSect="008B223B">
      <w:headerReference w:type="default" r:id="rId9"/>
      <w:footerReference w:type="default" r:id="rId10"/>
      <w:pgSz w:w="11906" w:h="16838"/>
      <w:pgMar w:top="1702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CC6E1" w14:textId="77777777" w:rsidR="008604DD" w:rsidRDefault="008604DD" w:rsidP="008E5ED7">
      <w:pPr>
        <w:spacing w:after="0" w:line="240" w:lineRule="auto"/>
      </w:pPr>
      <w:r>
        <w:separator/>
      </w:r>
    </w:p>
  </w:endnote>
  <w:endnote w:type="continuationSeparator" w:id="0">
    <w:p w14:paraId="6CC42FF1" w14:textId="77777777" w:rsidR="008604DD" w:rsidRDefault="008604DD" w:rsidP="008E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73160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FB5073E" w14:textId="412581DE" w:rsidR="0013599F" w:rsidRDefault="0013599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7A5BA3" w14:textId="35BD06A7" w:rsidR="009E666B" w:rsidRDefault="009E66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5AED1" w14:textId="77777777" w:rsidR="008604DD" w:rsidRDefault="008604DD" w:rsidP="008E5ED7">
      <w:pPr>
        <w:spacing w:after="0" w:line="240" w:lineRule="auto"/>
      </w:pPr>
      <w:r>
        <w:separator/>
      </w:r>
    </w:p>
  </w:footnote>
  <w:footnote w:type="continuationSeparator" w:id="0">
    <w:p w14:paraId="5F69021B" w14:textId="77777777" w:rsidR="008604DD" w:rsidRDefault="008604DD" w:rsidP="008E5ED7">
      <w:pPr>
        <w:spacing w:after="0" w:line="240" w:lineRule="auto"/>
      </w:pPr>
      <w:r>
        <w:continuationSeparator/>
      </w:r>
    </w:p>
  </w:footnote>
  <w:footnote w:id="1">
    <w:p w14:paraId="59D23992" w14:textId="343F5A4B" w:rsidR="00BB11BE" w:rsidRPr="00A12B21" w:rsidRDefault="00BB11BE" w:rsidP="00D603DB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>)</w:t>
      </w:r>
      <w:r w:rsidR="00847183">
        <w:t xml:space="preserve"> </w:t>
      </w:r>
      <w:r w:rsidRPr="005B397A">
        <w:rPr>
          <w:rFonts w:ascii="Calibri" w:hAnsi="Calibri" w:cs="Calibri"/>
          <w:sz w:val="18"/>
          <w:szCs w:val="18"/>
        </w:rPr>
        <w:t>Podnikem se rozumí každý subjekt, vykonávající hospodářskou činnost,</w:t>
      </w:r>
      <w:r>
        <w:rPr>
          <w:rFonts w:ascii="Calibri" w:hAnsi="Calibri" w:cs="Calibri"/>
          <w:sz w:val="18"/>
          <w:szCs w:val="18"/>
        </w:rPr>
        <w:t xml:space="preserve"> spočívající v nabízení výrobků a služeb,</w:t>
      </w:r>
      <w:r w:rsidRPr="005B397A">
        <w:rPr>
          <w:rFonts w:ascii="Calibri" w:hAnsi="Calibri" w:cs="Calibri"/>
          <w:sz w:val="18"/>
          <w:szCs w:val="18"/>
        </w:rPr>
        <w:t xml:space="preserve"> bez ohledu na </w:t>
      </w:r>
      <w:r>
        <w:rPr>
          <w:rFonts w:ascii="Calibri" w:hAnsi="Calibri" w:cs="Calibri"/>
          <w:sz w:val="18"/>
          <w:szCs w:val="18"/>
        </w:rPr>
        <w:t xml:space="preserve">jeho </w:t>
      </w:r>
      <w:r w:rsidRPr="005B397A">
        <w:rPr>
          <w:rFonts w:ascii="Calibri" w:hAnsi="Calibri" w:cs="Calibri"/>
          <w:sz w:val="18"/>
          <w:szCs w:val="18"/>
        </w:rPr>
        <w:t>právní formu.</w:t>
      </w:r>
      <w:r>
        <w:t xml:space="preserve"> </w:t>
      </w:r>
    </w:p>
  </w:footnote>
  <w:footnote w:id="2">
    <w:p w14:paraId="70F779EA" w14:textId="74ACC237" w:rsidR="00BB11BE" w:rsidRPr="0063197A" w:rsidRDefault="00BB11BE" w:rsidP="00D603DB">
      <w:pPr>
        <w:pStyle w:val="Textpoznpodarou"/>
        <w:ind w:left="284" w:hanging="284"/>
        <w:jc w:val="both"/>
        <w:rPr>
          <w:rFonts w:ascii="Calibri" w:hAnsi="Calibri" w:cs="Calibri"/>
          <w:sz w:val="18"/>
          <w:szCs w:val="18"/>
        </w:rPr>
      </w:pPr>
      <w:r>
        <w:rPr>
          <w:rStyle w:val="Znakapoznpodarou"/>
        </w:rPr>
        <w:footnoteRef/>
      </w:r>
      <w:r>
        <w:t>)</w:t>
      </w:r>
      <w:r w:rsidR="00847183">
        <w:t xml:space="preserve"> </w:t>
      </w:r>
      <w:r w:rsidRPr="0063197A">
        <w:rPr>
          <w:rFonts w:ascii="Calibri" w:hAnsi="Calibri" w:cs="Calibri"/>
          <w:sz w:val="18"/>
          <w:szCs w:val="18"/>
        </w:rPr>
        <w:t xml:space="preserve">Hospodářské činnosti jsou považovány za </w:t>
      </w:r>
      <w:r>
        <w:rPr>
          <w:rFonts w:ascii="Calibri" w:hAnsi="Calibri" w:cs="Calibri"/>
          <w:sz w:val="18"/>
          <w:szCs w:val="18"/>
        </w:rPr>
        <w:t xml:space="preserve">čistě </w:t>
      </w:r>
      <w:r w:rsidRPr="0063197A">
        <w:rPr>
          <w:rFonts w:ascii="Calibri" w:hAnsi="Calibri" w:cs="Calibri"/>
          <w:sz w:val="18"/>
          <w:szCs w:val="18"/>
        </w:rPr>
        <w:t xml:space="preserve">vedlejší, pokud jsou </w:t>
      </w:r>
      <w:r>
        <w:rPr>
          <w:rFonts w:ascii="Calibri" w:hAnsi="Calibri" w:cs="Calibri"/>
          <w:sz w:val="18"/>
          <w:szCs w:val="18"/>
        </w:rPr>
        <w:t xml:space="preserve">současně </w:t>
      </w:r>
      <w:r w:rsidRPr="0063197A">
        <w:rPr>
          <w:rFonts w:ascii="Calibri" w:hAnsi="Calibri" w:cs="Calibri"/>
          <w:sz w:val="18"/>
          <w:szCs w:val="18"/>
        </w:rPr>
        <w:t>splněn</w:t>
      </w:r>
      <w:r>
        <w:rPr>
          <w:rFonts w:ascii="Calibri" w:hAnsi="Calibri" w:cs="Calibri"/>
          <w:sz w:val="18"/>
          <w:szCs w:val="18"/>
        </w:rPr>
        <w:t>y</w:t>
      </w:r>
      <w:r w:rsidRPr="0063197A">
        <w:rPr>
          <w:rFonts w:ascii="Calibri" w:hAnsi="Calibri" w:cs="Calibri"/>
          <w:sz w:val="18"/>
          <w:szCs w:val="18"/>
        </w:rPr>
        <w:t xml:space="preserve"> následující </w:t>
      </w:r>
      <w:r>
        <w:rPr>
          <w:rFonts w:ascii="Calibri" w:hAnsi="Calibri" w:cs="Calibri"/>
          <w:sz w:val="18"/>
          <w:szCs w:val="18"/>
        </w:rPr>
        <w:t>podmínky</w:t>
      </w:r>
      <w:r w:rsidRPr="0063197A">
        <w:rPr>
          <w:rFonts w:ascii="Calibri" w:hAnsi="Calibri" w:cs="Calibri"/>
          <w:sz w:val="18"/>
          <w:szCs w:val="18"/>
        </w:rPr>
        <w:t>:</w:t>
      </w:r>
    </w:p>
    <w:p w14:paraId="610D0B14" w14:textId="77777777" w:rsidR="00BB11BE" w:rsidRPr="003C05A1" w:rsidRDefault="00BB11BE" w:rsidP="00D603DB">
      <w:pPr>
        <w:pStyle w:val="Textpoznpodarou"/>
        <w:numPr>
          <w:ilvl w:val="0"/>
          <w:numId w:val="8"/>
        </w:num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h</w:t>
      </w:r>
      <w:r w:rsidRPr="0063197A">
        <w:rPr>
          <w:rFonts w:ascii="Calibri" w:hAnsi="Calibri" w:cs="Calibri"/>
          <w:sz w:val="18"/>
          <w:szCs w:val="18"/>
        </w:rPr>
        <w:t>ospodářské činnosti přímo souvisejí s provozem subjektu, jsou pro něj nezbytné a neoddělitelně spojené s</w:t>
      </w:r>
      <w:r w:rsidRPr="00DA5D5F">
        <w:rPr>
          <w:rFonts w:ascii="Calibri" w:hAnsi="Calibri" w:cs="Calibri"/>
          <w:sz w:val="18"/>
          <w:szCs w:val="18"/>
        </w:rPr>
        <w:t xml:space="preserve"> jeho </w:t>
      </w:r>
      <w:r>
        <w:rPr>
          <w:rFonts w:ascii="Calibri" w:hAnsi="Calibri" w:cs="Calibri"/>
          <w:sz w:val="18"/>
          <w:szCs w:val="18"/>
        </w:rPr>
        <w:t>hlavním</w:t>
      </w:r>
      <w:r w:rsidRPr="0063197A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63197A">
        <w:rPr>
          <w:rFonts w:ascii="Calibri" w:hAnsi="Calibri" w:cs="Calibri"/>
          <w:sz w:val="18"/>
          <w:szCs w:val="18"/>
        </w:rPr>
        <w:t>nehospodářským</w:t>
      </w:r>
      <w:proofErr w:type="spellEnd"/>
      <w:r w:rsidRPr="003C05A1">
        <w:rPr>
          <w:rFonts w:ascii="Calibri" w:hAnsi="Calibri" w:cs="Calibri"/>
          <w:sz w:val="18"/>
          <w:szCs w:val="18"/>
        </w:rPr>
        <w:t xml:space="preserve"> využitím, </w:t>
      </w:r>
    </w:p>
    <w:p w14:paraId="4C6EEEE2" w14:textId="77777777" w:rsidR="00BB11BE" w:rsidRPr="003C05A1" w:rsidRDefault="00BB11BE" w:rsidP="00D603DB">
      <w:pPr>
        <w:pStyle w:val="Textpoznpodarou"/>
        <w:numPr>
          <w:ilvl w:val="0"/>
          <w:numId w:val="8"/>
        </w:num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tyto</w:t>
      </w:r>
      <w:r w:rsidRPr="003C05A1">
        <w:rPr>
          <w:rFonts w:ascii="Calibri" w:hAnsi="Calibri" w:cs="Calibri"/>
          <w:sz w:val="18"/>
          <w:szCs w:val="18"/>
        </w:rPr>
        <w:t xml:space="preserve"> hospodářské </w:t>
      </w:r>
      <w:r>
        <w:rPr>
          <w:rFonts w:ascii="Calibri" w:hAnsi="Calibri" w:cs="Calibri"/>
          <w:sz w:val="18"/>
          <w:szCs w:val="18"/>
        </w:rPr>
        <w:t xml:space="preserve">činnosti </w:t>
      </w:r>
      <w:r w:rsidRPr="003C05A1">
        <w:rPr>
          <w:rFonts w:ascii="Calibri" w:hAnsi="Calibri" w:cs="Calibri"/>
          <w:sz w:val="18"/>
          <w:szCs w:val="18"/>
        </w:rPr>
        <w:t xml:space="preserve">využívají stejné vstupy </w:t>
      </w:r>
      <w:r>
        <w:rPr>
          <w:rFonts w:ascii="Calibri" w:hAnsi="Calibri" w:cs="Calibri"/>
          <w:sz w:val="18"/>
          <w:szCs w:val="18"/>
        </w:rPr>
        <w:t xml:space="preserve">jako jeho </w:t>
      </w:r>
      <w:proofErr w:type="spellStart"/>
      <w:r w:rsidRPr="003C05A1">
        <w:rPr>
          <w:rFonts w:ascii="Calibri" w:hAnsi="Calibri" w:cs="Calibri"/>
          <w:sz w:val="18"/>
          <w:szCs w:val="18"/>
        </w:rPr>
        <w:t>nehospodářské</w:t>
      </w:r>
      <w:proofErr w:type="spellEnd"/>
      <w:r w:rsidRPr="003C05A1">
        <w:rPr>
          <w:rFonts w:ascii="Calibri" w:hAnsi="Calibri" w:cs="Calibri"/>
          <w:sz w:val="18"/>
          <w:szCs w:val="18"/>
        </w:rPr>
        <w:t xml:space="preserve"> činnosti (materiál, pracovní sílu, stroje a zařízení</w:t>
      </w:r>
      <w:r>
        <w:rPr>
          <w:rFonts w:ascii="Calibri" w:hAnsi="Calibri" w:cs="Calibri"/>
          <w:sz w:val="18"/>
          <w:szCs w:val="18"/>
        </w:rPr>
        <w:t>, fixní kapitál atp.</w:t>
      </w:r>
      <w:r w:rsidRPr="003C05A1">
        <w:rPr>
          <w:rFonts w:ascii="Calibri" w:hAnsi="Calibri" w:cs="Calibri"/>
          <w:sz w:val="18"/>
          <w:szCs w:val="18"/>
        </w:rPr>
        <w:t>)</w:t>
      </w:r>
      <w:r>
        <w:rPr>
          <w:rFonts w:ascii="Calibri" w:hAnsi="Calibri" w:cs="Calibri"/>
          <w:sz w:val="18"/>
          <w:szCs w:val="18"/>
        </w:rPr>
        <w:t>,</w:t>
      </w:r>
    </w:p>
    <w:p w14:paraId="56CF2E2A" w14:textId="77777777" w:rsidR="00BB11BE" w:rsidRPr="003C05A1" w:rsidRDefault="00BB11BE" w:rsidP="00D603DB">
      <w:pPr>
        <w:pStyle w:val="Textpoznpodarou"/>
        <w:numPr>
          <w:ilvl w:val="0"/>
          <w:numId w:val="8"/>
        </w:numPr>
        <w:jc w:val="both"/>
        <w:rPr>
          <w:rFonts w:ascii="Calibri" w:hAnsi="Calibri" w:cs="Calibri"/>
          <w:sz w:val="18"/>
          <w:szCs w:val="18"/>
        </w:rPr>
      </w:pPr>
      <w:r w:rsidRPr="0063197A">
        <w:rPr>
          <w:rFonts w:ascii="Calibri" w:hAnsi="Calibri" w:cs="Calibri"/>
          <w:sz w:val="18"/>
          <w:szCs w:val="18"/>
        </w:rPr>
        <w:t xml:space="preserve">kapacita </w:t>
      </w:r>
      <w:r>
        <w:rPr>
          <w:rFonts w:ascii="Calibri" w:hAnsi="Calibri" w:cs="Calibri"/>
          <w:sz w:val="18"/>
          <w:szCs w:val="18"/>
        </w:rPr>
        <w:t xml:space="preserve">subjektu </w:t>
      </w:r>
      <w:r w:rsidRPr="0063197A">
        <w:rPr>
          <w:rFonts w:ascii="Calibri" w:hAnsi="Calibri" w:cs="Calibri"/>
          <w:sz w:val="18"/>
          <w:szCs w:val="18"/>
        </w:rPr>
        <w:t xml:space="preserve">přidělená hospodářským aktivitám </w:t>
      </w:r>
      <w:r>
        <w:rPr>
          <w:rFonts w:ascii="Calibri" w:hAnsi="Calibri" w:cs="Calibri"/>
          <w:sz w:val="18"/>
          <w:szCs w:val="18"/>
        </w:rPr>
        <w:t>nepřekročí</w:t>
      </w:r>
      <w:r w:rsidRPr="00DA5D5F">
        <w:rPr>
          <w:rFonts w:ascii="Calibri" w:hAnsi="Calibri" w:cs="Calibri"/>
          <w:sz w:val="18"/>
          <w:szCs w:val="18"/>
        </w:rPr>
        <w:t xml:space="preserve"> </w:t>
      </w:r>
      <w:r w:rsidRPr="003C05A1">
        <w:rPr>
          <w:rFonts w:ascii="Calibri" w:hAnsi="Calibri" w:cs="Calibri"/>
          <w:sz w:val="18"/>
          <w:szCs w:val="18"/>
        </w:rPr>
        <w:t>20%</w:t>
      </w:r>
      <w:r w:rsidRPr="00DA5D5F">
        <w:rPr>
          <w:rFonts w:ascii="Calibri" w:hAnsi="Calibri" w:cs="Calibri"/>
          <w:sz w:val="18"/>
          <w:szCs w:val="18"/>
        </w:rPr>
        <w:t xml:space="preserve"> </w:t>
      </w:r>
      <w:r w:rsidRPr="0063197A">
        <w:rPr>
          <w:rFonts w:ascii="Calibri" w:hAnsi="Calibri" w:cs="Calibri"/>
          <w:sz w:val="18"/>
          <w:szCs w:val="18"/>
        </w:rPr>
        <w:t>celkov</w:t>
      </w:r>
      <w:r>
        <w:rPr>
          <w:rFonts w:ascii="Calibri" w:hAnsi="Calibri" w:cs="Calibri"/>
          <w:sz w:val="18"/>
          <w:szCs w:val="18"/>
        </w:rPr>
        <w:t>é</w:t>
      </w:r>
      <w:r w:rsidRPr="0063197A">
        <w:rPr>
          <w:rFonts w:ascii="Calibri" w:hAnsi="Calibri" w:cs="Calibri"/>
          <w:sz w:val="18"/>
          <w:szCs w:val="18"/>
        </w:rPr>
        <w:t xml:space="preserve"> kapacit</w:t>
      </w:r>
      <w:r>
        <w:rPr>
          <w:rFonts w:ascii="Calibri" w:hAnsi="Calibri" w:cs="Calibri"/>
          <w:sz w:val="18"/>
          <w:szCs w:val="18"/>
        </w:rPr>
        <w:t>y</w:t>
      </w:r>
      <w:r w:rsidRPr="0063197A">
        <w:rPr>
          <w:rFonts w:ascii="Calibri" w:hAnsi="Calibri" w:cs="Calibri"/>
          <w:sz w:val="18"/>
          <w:szCs w:val="18"/>
        </w:rPr>
        <w:t xml:space="preserve"> subjektu za rok</w:t>
      </w:r>
      <w:r>
        <w:rPr>
          <w:rFonts w:ascii="Calibri" w:hAnsi="Calibri" w:cs="Calibri"/>
          <w:sz w:val="18"/>
          <w:szCs w:val="18"/>
        </w:rPr>
        <w:t xml:space="preserve"> a tuto skutečnost je subjekt schopen jednoznačně prokázat.</w:t>
      </w:r>
    </w:p>
  </w:footnote>
  <w:footnote w:id="3">
    <w:p w14:paraId="652AE7D5" w14:textId="4DDF1FD5" w:rsidR="00BB11BE" w:rsidRPr="00DF2184" w:rsidRDefault="00BB11BE" w:rsidP="00D603DB">
      <w:pPr>
        <w:pStyle w:val="Textpoznpodarou"/>
        <w:tabs>
          <w:tab w:val="left" w:pos="142"/>
        </w:tabs>
        <w:ind w:left="284" w:hanging="284"/>
        <w:jc w:val="both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ascii="Calibri" w:hAnsi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</w:rPr>
        <w:t xml:space="preserve">) </w:t>
      </w:r>
      <w:r>
        <w:rPr>
          <w:rFonts w:ascii="Calibri" w:hAnsi="Calibri"/>
          <w:sz w:val="18"/>
          <w:szCs w:val="18"/>
        </w:rPr>
        <w:t>N</w:t>
      </w:r>
      <w:r w:rsidRPr="00DF2184">
        <w:rPr>
          <w:rFonts w:ascii="Calibri" w:hAnsi="Calibri" w:cs="Arial"/>
          <w:sz w:val="18"/>
          <w:szCs w:val="18"/>
        </w:rPr>
        <w:t>apříklad živnostenský zákon, zákon č. 246/1992 Sb., na ochranu zvířat proti týrání, ve znění pozdějších předpisů, a vyhláška č.</w:t>
      </w:r>
      <w:r>
        <w:rPr>
          <w:rFonts w:ascii="Calibri" w:hAnsi="Calibri" w:cs="Arial"/>
          <w:sz w:val="18"/>
          <w:szCs w:val="18"/>
        </w:rPr>
        <w:t> </w:t>
      </w:r>
      <w:r w:rsidRPr="00DF2184">
        <w:rPr>
          <w:rFonts w:ascii="Calibri" w:hAnsi="Calibri" w:cs="Arial"/>
          <w:sz w:val="18"/>
          <w:szCs w:val="18"/>
        </w:rPr>
        <w:t>11/1997 Sb., o chovu a využití pokusných zvířat.</w:t>
      </w:r>
    </w:p>
  </w:footnote>
  <w:footnote w:id="4">
    <w:p w14:paraId="3A0CC9C5" w14:textId="0F372C28" w:rsidR="00BB11BE" w:rsidRPr="00DF2184" w:rsidRDefault="00BB11BE" w:rsidP="00D603DB">
      <w:pPr>
        <w:pStyle w:val="Textpoznpodarou"/>
        <w:tabs>
          <w:tab w:val="left" w:pos="142"/>
        </w:tabs>
        <w:ind w:left="284" w:hanging="284"/>
        <w:jc w:val="both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ascii="Calibri" w:hAnsi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</w:rPr>
        <w:t xml:space="preserve">) </w:t>
      </w:r>
      <w:r w:rsidRPr="00DF2184">
        <w:rPr>
          <w:rFonts w:ascii="Calibri" w:hAnsi="Calibri" w:cs="Arial"/>
          <w:sz w:val="18"/>
          <w:szCs w:val="18"/>
        </w:rPr>
        <w:t>Zákon č, 182/2006 Sb., o úpadku a jeho řešení (insolvenční zákon), ve znění pozdějších předpisů.</w:t>
      </w:r>
    </w:p>
  </w:footnote>
  <w:footnote w:id="5">
    <w:p w14:paraId="17A559EB" w14:textId="52A5B340" w:rsidR="00BB11BE" w:rsidRPr="00DF2184" w:rsidRDefault="00BB11BE" w:rsidP="00D603DB">
      <w:pPr>
        <w:pStyle w:val="Textpoznpodarou"/>
        <w:ind w:left="284" w:hanging="284"/>
        <w:jc w:val="both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ascii="Calibri" w:hAnsi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</w:rPr>
        <w:t xml:space="preserve">) </w:t>
      </w:r>
      <w:r w:rsidRPr="00DF2184">
        <w:rPr>
          <w:rFonts w:ascii="Calibri" w:hAnsi="Calibri" w:cs="Arial"/>
          <w:color w:val="000000"/>
          <w:sz w:val="18"/>
          <w:szCs w:val="18"/>
        </w:rPr>
        <w:t>Např. § 17 odst. 4 zákona č. 341 / 2005, Sb., o veřejných výzkumných institucích.</w:t>
      </w:r>
    </w:p>
  </w:footnote>
  <w:footnote w:id="6">
    <w:p w14:paraId="3D774D8F" w14:textId="00B6E392" w:rsidR="00BB11BE" w:rsidRPr="00DC17D0" w:rsidRDefault="00BB11BE" w:rsidP="00D603DB">
      <w:pPr>
        <w:pStyle w:val="Textpoznpodarou"/>
        <w:ind w:left="284" w:hanging="284"/>
        <w:jc w:val="both"/>
        <w:rPr>
          <w:rFonts w:ascii="Calibri" w:hAnsi="Calibri"/>
          <w:sz w:val="18"/>
          <w:szCs w:val="18"/>
        </w:rPr>
      </w:pPr>
      <w:r w:rsidRPr="00DC17D0">
        <w:rPr>
          <w:rStyle w:val="Znakapoznpodarou"/>
          <w:rFonts w:ascii="Calibri" w:hAnsi="Calibri"/>
          <w:sz w:val="18"/>
          <w:szCs w:val="18"/>
        </w:rPr>
        <w:footnoteRef/>
      </w:r>
      <w:r>
        <w:rPr>
          <w:rFonts w:ascii="Calibri" w:hAnsi="Calibri"/>
          <w:sz w:val="18"/>
          <w:szCs w:val="18"/>
        </w:rPr>
        <w:t>)</w:t>
      </w:r>
      <w:r w:rsidRPr="00DC17D0">
        <w:rPr>
          <w:rFonts w:ascii="Calibri" w:hAnsi="Calibri"/>
          <w:sz w:val="18"/>
          <w:szCs w:val="18"/>
        </w:rPr>
        <w:t xml:space="preserve"> </w:t>
      </w:r>
      <w:r w:rsidRPr="00DC17D0">
        <w:rPr>
          <w:rFonts w:ascii="Calibri" w:hAnsi="Calibri" w:cs="Arial"/>
          <w:color w:val="000000"/>
          <w:sz w:val="18"/>
          <w:szCs w:val="18"/>
        </w:rPr>
        <w:t xml:space="preserve">Např. zákon č. 246/1992 Sb., </w:t>
      </w:r>
      <w:r>
        <w:rPr>
          <w:rFonts w:ascii="Calibri" w:hAnsi="Calibri" w:cs="Arial"/>
          <w:color w:val="000000"/>
          <w:sz w:val="18"/>
          <w:szCs w:val="18"/>
        </w:rPr>
        <w:t xml:space="preserve">na ochranu zvířat proti týrání, </w:t>
      </w:r>
      <w:r w:rsidRPr="00DC17D0">
        <w:rPr>
          <w:rFonts w:ascii="Calibri" w:hAnsi="Calibri" w:cs="Arial"/>
          <w:color w:val="000000"/>
          <w:sz w:val="18"/>
          <w:szCs w:val="18"/>
        </w:rPr>
        <w:t>ve znění pozdějších předpisů, vyhláška č. 207/2004 Sb., o</w:t>
      </w:r>
      <w:r w:rsidR="00D603DB">
        <w:rPr>
          <w:rFonts w:ascii="Calibri" w:hAnsi="Calibri" w:cs="Arial"/>
          <w:color w:val="000000"/>
          <w:sz w:val="18"/>
          <w:szCs w:val="18"/>
        </w:rPr>
        <w:t> </w:t>
      </w:r>
      <w:r w:rsidRPr="00DC17D0">
        <w:rPr>
          <w:rFonts w:ascii="Calibri" w:hAnsi="Calibri" w:cs="Arial"/>
          <w:color w:val="000000"/>
          <w:sz w:val="18"/>
          <w:szCs w:val="18"/>
        </w:rPr>
        <w:t>ochraně, chovu a využití pokusných zvířat</w:t>
      </w:r>
      <w:r>
        <w:rPr>
          <w:rFonts w:ascii="Calibri" w:hAnsi="Calibri" w:cs="Arial"/>
          <w:color w:val="000000"/>
          <w:sz w:val="18"/>
          <w:szCs w:val="18"/>
        </w:rPr>
        <w:t>.</w:t>
      </w:r>
    </w:p>
  </w:footnote>
  <w:footnote w:id="7">
    <w:p w14:paraId="24E741D7" w14:textId="77777777" w:rsidR="00BB11BE" w:rsidRPr="005A43A2" w:rsidRDefault="00BB11BE" w:rsidP="00D603DB">
      <w:pPr>
        <w:spacing w:after="0" w:line="240" w:lineRule="auto"/>
        <w:ind w:left="284" w:hanging="284"/>
        <w:jc w:val="both"/>
        <w:rPr>
          <w:rFonts w:eastAsia="Times New Roman" w:cs="Arial"/>
          <w:color w:val="000000"/>
          <w:sz w:val="18"/>
          <w:szCs w:val="18"/>
          <w:lang w:eastAsia="x-none"/>
        </w:rPr>
      </w:pPr>
      <w:r w:rsidRPr="00043A06">
        <w:rPr>
          <w:rStyle w:val="Znakapoznpodarou"/>
          <w:rFonts w:cs="Calibri"/>
          <w:sz w:val="18"/>
          <w:szCs w:val="18"/>
        </w:rPr>
        <w:footnoteRef/>
      </w:r>
      <w:r w:rsidRPr="00043A06">
        <w:rPr>
          <w:rFonts w:cs="Calibri"/>
          <w:sz w:val="18"/>
          <w:szCs w:val="18"/>
        </w:rPr>
        <w:t xml:space="preserve">)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 xml:space="preserve">Poskytovatel - Ministerstvo školství, mládeže a tělovýchovy - je oprávněn dle ustanovení § 17 odst. 6 Zákona pro účely veřejné soutěže ve výzkumu, vývoji a inovacích shromažďovat potřebné údaje o návrzích projektů a uchazečích včetně osobních údajů, a to jak v písemné, tak v elektronické podobě. Tyto údaje nejsou veřejně přístupnými informacemi podle zákona č. 106/1999 Sb., o svobodném přístupu k informacím, ve znění pozdějších předpisů, a poskytovatel je povinen při shromažďování, zveřejňování nebo jiném zpracování těchto údajů postupovat podle zvláštních právních předpisů. Údaje budou v souladu s ustanovením § 17 odst. 6 Zákona zpracovávány výhradně pro účely veřejné soutěže ve výzkumu, experimentálním vývoji a inovacích </w:t>
      </w:r>
      <w:r>
        <w:rPr>
          <w:rFonts w:eastAsia="Times New Roman" w:cs="Arial"/>
          <w:color w:val="000000"/>
          <w:sz w:val="18"/>
          <w:szCs w:val="18"/>
          <w:lang w:eastAsia="x-none"/>
        </w:rPr>
        <w:t xml:space="preserve">programu ERC CZ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s tím, že poskytovatel smí z osobních údajů zveřejnit pouze jméno, příjmení a případné akademické tituly a vědecké hodnosti řešitele a dalších pracovníků podílejíc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>ích se na navrhovaném projektu.</w:t>
      </w:r>
    </w:p>
  </w:footnote>
  <w:footnote w:id="8">
    <w:p w14:paraId="56D5953E" w14:textId="1ECF6BCB" w:rsidR="00BB11BE" w:rsidRDefault="00BB11BE" w:rsidP="00D603DB">
      <w:pPr>
        <w:pStyle w:val="Textpoznpodarou"/>
        <w:tabs>
          <w:tab w:val="left" w:pos="284"/>
        </w:tabs>
        <w:ind w:left="284" w:hanging="284"/>
        <w:jc w:val="both"/>
        <w:rPr>
          <w:rFonts w:ascii="Calibri" w:hAnsi="Calibri"/>
          <w:sz w:val="18"/>
          <w:szCs w:val="18"/>
          <w:lang w:eastAsia="cs-CZ"/>
        </w:rPr>
      </w:pPr>
      <w:r>
        <w:rPr>
          <w:rStyle w:val="Znakapoznpodarou"/>
          <w:rFonts w:ascii="Calibri" w:hAnsi="Calibri"/>
          <w:sz w:val="18"/>
          <w:szCs w:val="18"/>
        </w:rPr>
        <w:footnoteRef/>
      </w:r>
      <w:r>
        <w:rPr>
          <w:rFonts w:ascii="Calibri" w:hAnsi="Calibri"/>
          <w:sz w:val="18"/>
          <w:szCs w:val="18"/>
        </w:rPr>
        <w:t>)</w:t>
      </w:r>
      <w:r w:rsidR="00847183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Ve výjimečných případech, např. u grantů ERC typu „</w:t>
      </w:r>
      <w:proofErr w:type="spellStart"/>
      <w:r>
        <w:rPr>
          <w:rFonts w:ascii="Calibri" w:hAnsi="Calibri"/>
          <w:sz w:val="18"/>
          <w:szCs w:val="18"/>
        </w:rPr>
        <w:t>Advanced</w:t>
      </w:r>
      <w:proofErr w:type="spellEnd"/>
      <w:r>
        <w:rPr>
          <w:rFonts w:ascii="Calibri" w:hAnsi="Calibri"/>
          <w:sz w:val="18"/>
          <w:szCs w:val="18"/>
        </w:rPr>
        <w:t>“, může při řádném odůvodnění poskytovatel povolit úvazek nižší, a to až na úroveň 0,3 plného úvazku.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62FF9" w14:textId="0D4EC852" w:rsidR="008B223B" w:rsidRDefault="008B223B" w:rsidP="008B223B">
    <w:pPr>
      <w:pStyle w:val="Zhlav"/>
      <w:ind w:firstLine="1416"/>
      <w:jc w:val="right"/>
    </w:pPr>
    <w:r>
      <w:t>LL2</w:t>
    </w:r>
    <w:r w:rsidR="00C230C5">
      <w:t>6</w:t>
    </w:r>
    <w:r>
      <w:t>……</w:t>
    </w:r>
  </w:p>
  <w:p w14:paraId="039104AE" w14:textId="7EE2805C" w:rsidR="008B223B" w:rsidRDefault="008B223B" w:rsidP="008B223B">
    <w:pPr>
      <w:pStyle w:val="Zhlav"/>
      <w:ind w:firstLine="1416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5DF2FA1" wp14:editId="63FADC6D">
          <wp:simplePos x="0" y="0"/>
          <wp:positionH relativeFrom="column">
            <wp:posOffset>-635</wp:posOffset>
          </wp:positionH>
          <wp:positionV relativeFrom="page">
            <wp:posOffset>358140</wp:posOffset>
          </wp:positionV>
          <wp:extent cx="828675" cy="619125"/>
          <wp:effectExtent l="0" t="0" r="9525" b="9525"/>
          <wp:wrapNone/>
          <wp:docPr id="1782783015" name="Obrázek 1" descr="Obsah obrázku text, Písmo, Grafika, čísl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247847" name="Obrázek 1" descr="Obsah obrázku text, Písmo, Grafika, čísl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599F">
      <w:t>LL2</w:t>
    </w:r>
    <w:r w:rsidR="00C230C5">
      <w:t>6</w:t>
    </w:r>
    <w:r w:rsidR="0013599F">
      <w:t>-Form-P</w:t>
    </w:r>
    <w:r w:rsidR="00BB11BE">
      <w:t>-2</w:t>
    </w:r>
  </w:p>
  <w:p w14:paraId="3B07EC60" w14:textId="77777777" w:rsidR="003918ED" w:rsidRDefault="003918ED" w:rsidP="008B223B">
    <w:pPr>
      <w:pStyle w:val="Zhlav"/>
      <w:ind w:firstLine="1416"/>
      <w:jc w:val="right"/>
    </w:pPr>
  </w:p>
  <w:p w14:paraId="426418F1" w14:textId="77777777" w:rsidR="003918ED" w:rsidRDefault="003918ED" w:rsidP="008B223B">
    <w:pPr>
      <w:pStyle w:val="Zhlav"/>
      <w:ind w:firstLine="1416"/>
      <w:jc w:val="right"/>
    </w:pPr>
  </w:p>
  <w:tbl>
    <w:tblPr>
      <w:tblW w:w="0" w:type="auto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818"/>
      <w:gridCol w:w="6136"/>
    </w:tblGrid>
    <w:tr w:rsidR="003918ED" w14:paraId="46901891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3A01AED7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Akronym názvu projektu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6D9D4C96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918ED" w14:paraId="27E29226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210B591B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Zkratka názvu uchazeče/příjemce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4B661FE6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918ED" w14:paraId="49D6A37D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3A0D7C3E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Příjmení řešitele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32643875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</w:tbl>
  <w:p w14:paraId="2E34C8A2" w14:textId="77777777" w:rsidR="003918ED" w:rsidRDefault="003918ED" w:rsidP="008B223B">
    <w:pPr>
      <w:pStyle w:val="Zhlav"/>
      <w:ind w:firstLine="141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14E1"/>
    <w:multiLevelType w:val="hybridMultilevel"/>
    <w:tmpl w:val="69B6FD94"/>
    <w:lvl w:ilvl="0" w:tplc="17242100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7" w:hanging="360"/>
      </w:pPr>
    </w:lvl>
    <w:lvl w:ilvl="2" w:tplc="0405001B" w:tentative="1">
      <w:start w:val="1"/>
      <w:numFmt w:val="lowerRoman"/>
      <w:lvlText w:val="%3."/>
      <w:lvlJc w:val="right"/>
      <w:pPr>
        <w:ind w:left="2117" w:hanging="180"/>
      </w:pPr>
    </w:lvl>
    <w:lvl w:ilvl="3" w:tplc="0405000F" w:tentative="1">
      <w:start w:val="1"/>
      <w:numFmt w:val="decimal"/>
      <w:lvlText w:val="%4."/>
      <w:lvlJc w:val="left"/>
      <w:pPr>
        <w:ind w:left="2837" w:hanging="360"/>
      </w:pPr>
    </w:lvl>
    <w:lvl w:ilvl="4" w:tplc="04050019" w:tentative="1">
      <w:start w:val="1"/>
      <w:numFmt w:val="lowerLetter"/>
      <w:lvlText w:val="%5."/>
      <w:lvlJc w:val="left"/>
      <w:pPr>
        <w:ind w:left="3557" w:hanging="360"/>
      </w:pPr>
    </w:lvl>
    <w:lvl w:ilvl="5" w:tplc="0405001B" w:tentative="1">
      <w:start w:val="1"/>
      <w:numFmt w:val="lowerRoman"/>
      <w:lvlText w:val="%6."/>
      <w:lvlJc w:val="right"/>
      <w:pPr>
        <w:ind w:left="4277" w:hanging="180"/>
      </w:pPr>
    </w:lvl>
    <w:lvl w:ilvl="6" w:tplc="0405000F" w:tentative="1">
      <w:start w:val="1"/>
      <w:numFmt w:val="decimal"/>
      <w:lvlText w:val="%7."/>
      <w:lvlJc w:val="left"/>
      <w:pPr>
        <w:ind w:left="4997" w:hanging="360"/>
      </w:pPr>
    </w:lvl>
    <w:lvl w:ilvl="7" w:tplc="04050019" w:tentative="1">
      <w:start w:val="1"/>
      <w:numFmt w:val="lowerLetter"/>
      <w:lvlText w:val="%8."/>
      <w:lvlJc w:val="left"/>
      <w:pPr>
        <w:ind w:left="5717" w:hanging="360"/>
      </w:pPr>
    </w:lvl>
    <w:lvl w:ilvl="8" w:tplc="040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10110106"/>
    <w:multiLevelType w:val="hybridMultilevel"/>
    <w:tmpl w:val="0EFE9F86"/>
    <w:lvl w:ilvl="0" w:tplc="2DA0DA80">
      <w:start w:val="2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1C855098"/>
    <w:multiLevelType w:val="hybridMultilevel"/>
    <w:tmpl w:val="5596C9E8"/>
    <w:lvl w:ilvl="0" w:tplc="901E586A">
      <w:start w:val="1"/>
      <w:numFmt w:val="lowerLetter"/>
      <w:lvlText w:val="%1)"/>
      <w:lvlJc w:val="left"/>
      <w:pPr>
        <w:ind w:left="535" w:hanging="360"/>
      </w:pPr>
      <w:rPr>
        <w:rFonts w:eastAsia="Calibri" w:cs="Calibri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255" w:hanging="360"/>
      </w:pPr>
    </w:lvl>
    <w:lvl w:ilvl="2" w:tplc="0405001B" w:tentative="1">
      <w:start w:val="1"/>
      <w:numFmt w:val="lowerRoman"/>
      <w:lvlText w:val="%3."/>
      <w:lvlJc w:val="right"/>
      <w:pPr>
        <w:ind w:left="1975" w:hanging="180"/>
      </w:pPr>
    </w:lvl>
    <w:lvl w:ilvl="3" w:tplc="0405000F" w:tentative="1">
      <w:start w:val="1"/>
      <w:numFmt w:val="decimal"/>
      <w:lvlText w:val="%4."/>
      <w:lvlJc w:val="left"/>
      <w:pPr>
        <w:ind w:left="2695" w:hanging="360"/>
      </w:pPr>
    </w:lvl>
    <w:lvl w:ilvl="4" w:tplc="04050019" w:tentative="1">
      <w:start w:val="1"/>
      <w:numFmt w:val="lowerLetter"/>
      <w:lvlText w:val="%5."/>
      <w:lvlJc w:val="left"/>
      <w:pPr>
        <w:ind w:left="3415" w:hanging="360"/>
      </w:pPr>
    </w:lvl>
    <w:lvl w:ilvl="5" w:tplc="0405001B" w:tentative="1">
      <w:start w:val="1"/>
      <w:numFmt w:val="lowerRoman"/>
      <w:lvlText w:val="%6."/>
      <w:lvlJc w:val="right"/>
      <w:pPr>
        <w:ind w:left="4135" w:hanging="180"/>
      </w:pPr>
    </w:lvl>
    <w:lvl w:ilvl="6" w:tplc="0405000F" w:tentative="1">
      <w:start w:val="1"/>
      <w:numFmt w:val="decimal"/>
      <w:lvlText w:val="%7."/>
      <w:lvlJc w:val="left"/>
      <w:pPr>
        <w:ind w:left="4855" w:hanging="360"/>
      </w:pPr>
    </w:lvl>
    <w:lvl w:ilvl="7" w:tplc="04050019" w:tentative="1">
      <w:start w:val="1"/>
      <w:numFmt w:val="lowerLetter"/>
      <w:lvlText w:val="%8."/>
      <w:lvlJc w:val="left"/>
      <w:pPr>
        <w:ind w:left="5575" w:hanging="360"/>
      </w:pPr>
    </w:lvl>
    <w:lvl w:ilvl="8" w:tplc="040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1E7F2874"/>
    <w:multiLevelType w:val="hybridMultilevel"/>
    <w:tmpl w:val="675A46C0"/>
    <w:lvl w:ilvl="0" w:tplc="B0C066A0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21C6F"/>
    <w:multiLevelType w:val="hybridMultilevel"/>
    <w:tmpl w:val="4B14D3E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F235B"/>
    <w:multiLevelType w:val="hybridMultilevel"/>
    <w:tmpl w:val="3BF81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AC6B1F"/>
    <w:multiLevelType w:val="hybridMultilevel"/>
    <w:tmpl w:val="5F70A984"/>
    <w:lvl w:ilvl="0" w:tplc="C60EA2CC">
      <w:start w:val="1"/>
      <w:numFmt w:val="lowerLetter"/>
      <w:lvlText w:val="%1)"/>
      <w:lvlJc w:val="left"/>
      <w:pPr>
        <w:ind w:left="537" w:hanging="360"/>
      </w:pPr>
      <w:rPr>
        <w:rFonts w:eastAsia="Symbo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257" w:hanging="360"/>
      </w:pPr>
    </w:lvl>
    <w:lvl w:ilvl="2" w:tplc="0405001B" w:tentative="1">
      <w:start w:val="1"/>
      <w:numFmt w:val="lowerRoman"/>
      <w:lvlText w:val="%3."/>
      <w:lvlJc w:val="right"/>
      <w:pPr>
        <w:ind w:left="1977" w:hanging="180"/>
      </w:pPr>
    </w:lvl>
    <w:lvl w:ilvl="3" w:tplc="0405000F" w:tentative="1">
      <w:start w:val="1"/>
      <w:numFmt w:val="decimal"/>
      <w:lvlText w:val="%4."/>
      <w:lvlJc w:val="left"/>
      <w:pPr>
        <w:ind w:left="2697" w:hanging="360"/>
      </w:pPr>
    </w:lvl>
    <w:lvl w:ilvl="4" w:tplc="04050019" w:tentative="1">
      <w:start w:val="1"/>
      <w:numFmt w:val="lowerLetter"/>
      <w:lvlText w:val="%5."/>
      <w:lvlJc w:val="left"/>
      <w:pPr>
        <w:ind w:left="3417" w:hanging="360"/>
      </w:pPr>
    </w:lvl>
    <w:lvl w:ilvl="5" w:tplc="0405001B" w:tentative="1">
      <w:start w:val="1"/>
      <w:numFmt w:val="lowerRoman"/>
      <w:lvlText w:val="%6."/>
      <w:lvlJc w:val="right"/>
      <w:pPr>
        <w:ind w:left="4137" w:hanging="180"/>
      </w:pPr>
    </w:lvl>
    <w:lvl w:ilvl="6" w:tplc="0405000F" w:tentative="1">
      <w:start w:val="1"/>
      <w:numFmt w:val="decimal"/>
      <w:lvlText w:val="%7."/>
      <w:lvlJc w:val="left"/>
      <w:pPr>
        <w:ind w:left="4857" w:hanging="360"/>
      </w:pPr>
    </w:lvl>
    <w:lvl w:ilvl="7" w:tplc="04050019" w:tentative="1">
      <w:start w:val="1"/>
      <w:numFmt w:val="lowerLetter"/>
      <w:lvlText w:val="%8."/>
      <w:lvlJc w:val="left"/>
      <w:pPr>
        <w:ind w:left="5577" w:hanging="360"/>
      </w:pPr>
    </w:lvl>
    <w:lvl w:ilvl="8" w:tplc="0405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7" w15:restartNumberingAfterBreak="0">
    <w:nsid w:val="664357FB"/>
    <w:multiLevelType w:val="hybridMultilevel"/>
    <w:tmpl w:val="118A35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802097">
    <w:abstractNumId w:val="7"/>
  </w:num>
  <w:num w:numId="2" w16cid:durableId="13338775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1292069">
    <w:abstractNumId w:val="4"/>
  </w:num>
  <w:num w:numId="4" w16cid:durableId="1946961455">
    <w:abstractNumId w:val="2"/>
  </w:num>
  <w:num w:numId="5" w16cid:durableId="1073166600">
    <w:abstractNumId w:val="6"/>
  </w:num>
  <w:num w:numId="6" w16cid:durableId="2105685783">
    <w:abstractNumId w:val="3"/>
  </w:num>
  <w:num w:numId="7" w16cid:durableId="909002079">
    <w:abstractNumId w:val="0"/>
  </w:num>
  <w:num w:numId="8" w16cid:durableId="4288227">
    <w:abstractNumId w:val="1"/>
  </w:num>
  <w:num w:numId="9" w16cid:durableId="11341321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D7"/>
    <w:rsid w:val="0013599F"/>
    <w:rsid w:val="001502CD"/>
    <w:rsid w:val="002068C4"/>
    <w:rsid w:val="00326F7E"/>
    <w:rsid w:val="00367EBC"/>
    <w:rsid w:val="003918ED"/>
    <w:rsid w:val="004208C9"/>
    <w:rsid w:val="004B3352"/>
    <w:rsid w:val="004C6A5F"/>
    <w:rsid w:val="0053138E"/>
    <w:rsid w:val="005C3583"/>
    <w:rsid w:val="005C7DFB"/>
    <w:rsid w:val="006578F3"/>
    <w:rsid w:val="00717E2B"/>
    <w:rsid w:val="00823D34"/>
    <w:rsid w:val="00847183"/>
    <w:rsid w:val="008604DD"/>
    <w:rsid w:val="00884840"/>
    <w:rsid w:val="008B223B"/>
    <w:rsid w:val="008C03DF"/>
    <w:rsid w:val="008E1CD1"/>
    <w:rsid w:val="008E5ED7"/>
    <w:rsid w:val="0092661B"/>
    <w:rsid w:val="00951C9C"/>
    <w:rsid w:val="009E666B"/>
    <w:rsid w:val="00A46AD5"/>
    <w:rsid w:val="00AF5318"/>
    <w:rsid w:val="00B73494"/>
    <w:rsid w:val="00BB11BE"/>
    <w:rsid w:val="00BC773C"/>
    <w:rsid w:val="00C230C5"/>
    <w:rsid w:val="00C23724"/>
    <w:rsid w:val="00C2793D"/>
    <w:rsid w:val="00D603DB"/>
    <w:rsid w:val="00E83235"/>
    <w:rsid w:val="00F83D37"/>
    <w:rsid w:val="00F8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8A054"/>
  <w15:chartTrackingRefBased/>
  <w15:docId w15:val="{99562892-BA06-4702-B14D-F13BCE21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E5E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5ED7"/>
  </w:style>
  <w:style w:type="paragraph" w:styleId="Zpat">
    <w:name w:val="footer"/>
    <w:basedOn w:val="Normln"/>
    <w:link w:val="Zpat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5ED7"/>
  </w:style>
  <w:style w:type="character" w:customStyle="1" w:styleId="Nadpis1Char">
    <w:name w:val="Nadpis 1 Char"/>
    <w:basedOn w:val="Standardnpsmoodstavce"/>
    <w:link w:val="Nadpis1"/>
    <w:uiPriority w:val="9"/>
    <w:rsid w:val="008E5E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8E5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3352"/>
    <w:pPr>
      <w:ind w:left="720"/>
      <w:contextualSpacing/>
    </w:pPr>
  </w:style>
  <w:style w:type="paragraph" w:styleId="Textpoznpodarou">
    <w:name w:val="footnote text"/>
    <w:aliases w:val="Schriftart: 9 pt,Schriftart: 10 pt,Schriftart: 8 pt,Footnote,Text poznámky pod čiarou 007,Fußnotentextf,Geneva 9,Font: Geneva 9,Boston 10,f,Text pozn. pod čarou Char2,Text pozn. pod čarou Char Char,Text pozn. pod čarou Char1 Char"/>
    <w:basedOn w:val="Normln"/>
    <w:link w:val="TextpoznpodarouChar"/>
    <w:unhideWhenUsed/>
    <w:rsid w:val="00F86F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Footnote Char,Text poznámky pod čiarou 007 Char,Fußnotentextf Char,Geneva 9 Char,Font: Geneva 9 Char,Boston 10 Char,f Char,Text pozn. pod čarou Char2 Char"/>
    <w:basedOn w:val="Standardnpsmoodstavce"/>
    <w:link w:val="Textpoznpodarou"/>
    <w:rsid w:val="00F86F0F"/>
    <w:rPr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"/>
    <w:basedOn w:val="Standardnpsmoodstavce"/>
    <w:unhideWhenUsed/>
    <w:rsid w:val="00F86F0F"/>
    <w:rPr>
      <w:vertAlign w:val="superscript"/>
    </w:rPr>
  </w:style>
  <w:style w:type="character" w:styleId="Hypertextovodkaz">
    <w:name w:val="Hyperlink"/>
    <w:uiPriority w:val="99"/>
    <w:semiHidden/>
    <w:unhideWhenUsed/>
    <w:rsid w:val="00BB11BE"/>
    <w:rPr>
      <w:rFonts w:ascii="Times New Roman" w:hAnsi="Times New Roman" w:cs="Times New Roman" w:hint="default"/>
      <w:color w:val="0000FF"/>
      <w:u w:val="single"/>
    </w:rPr>
  </w:style>
  <w:style w:type="paragraph" w:styleId="Nzev">
    <w:name w:val="Title"/>
    <w:basedOn w:val="Normln"/>
    <w:link w:val="NzevChar"/>
    <w:qFormat/>
    <w:rsid w:val="00BB11BE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/>
      <w14:ligatures w14:val="none"/>
    </w:rPr>
  </w:style>
  <w:style w:type="character" w:customStyle="1" w:styleId="NzevChar">
    <w:name w:val="Název Char"/>
    <w:basedOn w:val="Standardnpsmoodstavce"/>
    <w:link w:val="Nzev"/>
    <w:rsid w:val="00BB11BE"/>
    <w:rPr>
      <w:rFonts w:ascii="Arial" w:eastAsia="Times New Roman" w:hAnsi="Arial" w:cs="Times New Roman"/>
      <w:b/>
      <w:bCs/>
      <w:kern w:val="28"/>
      <w:sz w:val="32"/>
      <w:szCs w:val="32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competition/mergers/cases/index/nace_all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52BE4-A1C1-4211-B1AF-266DB80A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1036</Words>
  <Characters>6119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13</vt:i4>
      </vt:variant>
    </vt:vector>
  </HeadingPairs>
  <TitlesOfParts>
    <vt:vector size="14" baseType="lpstr">
      <vt:lpstr/>
      <vt:lpstr>Čestné prohlášení o způsobilosti uchazeče k řešení projektu programu ERC CZ</vt:lpstr>
      <vt:lpstr>Statutární zástupce výše uvedeného subjektu (uchazeče) prohlašuje, že:	 </vt:lpstr>
      <vt:lpstr>V případě, že uchazečem, tj. subjektem žádajícím o podporu, není veřejná vysoká </vt:lpstr>
      <vt:lpstr/>
      <vt:lpstr>Statutární zástupce výše uvedeného subjektu (uchazeče) dále prohlašuje, že </vt:lpstr>
      <vt:lpstr>údaje v tomto prohlášení obsažené jsou úplné, pravdivé a nezkreslené;</vt:lpstr>
      <vt:lpstr>údaje v elektronické verzi návrhu projektu jsou shodné s údaji v tištěné verzi n</vt:lpstr>
      <vt:lpstr>souhlasí se sběrem a zpracováním svých osobních údajů poskytovatelem za účelem o</vt:lpstr>
      <vt:lpstr>Statutární zástupce výše uvedeného subjektu (uchazeče) se zavazuje</vt:lpstr>
      <vt:lpstr>uzavřít s řešitelem projektu pracovně právní vztah na dobu řešení projektu a min</vt:lpstr>
      <vt:lpstr/>
      <vt:lpstr/>
      <vt:lpstr>________________________________________________________________________________</vt:lpstr>
    </vt:vector>
  </TitlesOfParts>
  <Company>MSMT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Macková Mariana</dc:creator>
  <cp:keywords/>
  <dc:description/>
  <cp:lastModifiedBy>Komendová Šárka</cp:lastModifiedBy>
  <cp:revision>12</cp:revision>
  <dcterms:created xsi:type="dcterms:W3CDTF">2024-04-11T12:41:00Z</dcterms:created>
  <dcterms:modified xsi:type="dcterms:W3CDTF">2025-11-13T08:47:00Z</dcterms:modified>
</cp:coreProperties>
</file>