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29CB5" w14:textId="5DE67391" w:rsidR="00827D53" w:rsidRPr="00752C4B" w:rsidRDefault="00827D53" w:rsidP="003A34C7">
      <w:pPr>
        <w:rPr>
          <w:rFonts w:asciiTheme="minorHAnsi" w:hAnsiTheme="minorHAnsi"/>
          <w:b/>
          <w:sz w:val="32"/>
          <w:szCs w:val="32"/>
        </w:rPr>
      </w:pPr>
    </w:p>
    <w:p w14:paraId="2382BFAC" w14:textId="5BE85E5E" w:rsidR="00827D53" w:rsidRPr="00752C4B" w:rsidRDefault="00F15A5D" w:rsidP="00C75598">
      <w:pPr>
        <w:pStyle w:val="Nadpis2"/>
        <w:numPr>
          <w:ilvl w:val="0"/>
          <w:numId w:val="0"/>
        </w:numPr>
        <w:jc w:val="center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Analýza a p</w:t>
      </w:r>
      <w:r w:rsidR="00827D53" w:rsidRPr="00752C4B">
        <w:rPr>
          <w:rFonts w:asciiTheme="minorHAnsi" w:hAnsiTheme="minorHAnsi"/>
          <w:sz w:val="32"/>
          <w:szCs w:val="32"/>
        </w:rPr>
        <w:t>orovnání krajských normativů v roce 20</w:t>
      </w:r>
      <w:r w:rsidR="008E7D57">
        <w:rPr>
          <w:rFonts w:asciiTheme="minorHAnsi" w:hAnsiTheme="minorHAnsi"/>
          <w:sz w:val="32"/>
          <w:szCs w:val="32"/>
        </w:rPr>
        <w:t>2</w:t>
      </w:r>
      <w:r w:rsidR="00F45A90">
        <w:rPr>
          <w:rFonts w:asciiTheme="minorHAnsi" w:hAnsiTheme="minorHAnsi"/>
          <w:sz w:val="32"/>
          <w:szCs w:val="32"/>
        </w:rPr>
        <w:t>1</w:t>
      </w:r>
      <w:bookmarkStart w:id="0" w:name="_GoBack"/>
      <w:bookmarkEnd w:id="0"/>
    </w:p>
    <w:p w14:paraId="69FFDCF5" w14:textId="660F58D3" w:rsidR="00C14043" w:rsidRDefault="00440FF4" w:rsidP="00716322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Úvod</w:t>
      </w:r>
      <w:r w:rsidR="00B25006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k principům financování regionálního školství</w:t>
      </w:r>
    </w:p>
    <w:p w14:paraId="17CC9B0B" w14:textId="0F904408" w:rsidR="00570B74" w:rsidRDefault="00570B74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Na základě novely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 zákona č. </w:t>
      </w:r>
      <w:r w:rsidR="00DF2947">
        <w:rPr>
          <w:rFonts w:asciiTheme="minorHAnsi" w:eastAsia="Times New Roman" w:hAnsiTheme="minorHAnsi"/>
          <w:sz w:val="24"/>
          <w:szCs w:val="24"/>
          <w:lang w:eastAsia="cs-CZ"/>
        </w:rPr>
        <w:t>561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/2004 Sb., o předškolním, základním, středním, vyšším odborném </w:t>
      </w:r>
      <w:r w:rsidR="00164F2C"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>a jiném vzdělávání (školský zákon), ve znění pozdějších předpisů, došlo od 1. ledna 2020 ke změně principů financování regionálního školství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</w:t>
      </w:r>
      <w:proofErr w:type="spellStart"/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Striktně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normativní systém financování škol a školských zařízení zřizovaných krajem, obcí, nebo dobrovolným svazkem obcí 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tak </w:t>
      </w:r>
      <w:r w:rsidR="00C65099">
        <w:rPr>
          <w:rFonts w:asciiTheme="minorHAnsi" w:eastAsia="Times New Roman" w:hAnsiTheme="minorHAnsi"/>
          <w:sz w:val="24"/>
          <w:szCs w:val="24"/>
          <w:lang w:eastAsia="cs-CZ"/>
        </w:rPr>
        <w:t xml:space="preserve">změnil 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>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C65099" w:rsidRPr="00B25006">
        <w:rPr>
          <w:rFonts w:asciiTheme="minorHAnsi" w:eastAsia="Times New Roman" w:hAnsiTheme="minorHAnsi"/>
          <w:sz w:val="24"/>
          <w:szCs w:val="24"/>
          <w:lang w:eastAsia="cs-CZ"/>
        </w:rPr>
        <w:t>tzv. normativně nákladový systém financování</w:t>
      </w:r>
      <w:r w:rsidR="00DD1531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38EBC67" w14:textId="2F3960E1" w:rsidR="00B25006" w:rsidRDefault="004F7BAD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Od roku 2020 je </w:t>
      </w:r>
      <w:r w:rsidR="00C3607D" w:rsidRPr="00B25006">
        <w:rPr>
          <w:rFonts w:asciiTheme="minorHAnsi" w:eastAsia="Times New Roman" w:hAnsiTheme="minorHAnsi"/>
          <w:sz w:val="24"/>
          <w:szCs w:val="24"/>
          <w:lang w:eastAsia="cs-CZ"/>
        </w:rPr>
        <w:t>pedagogick</w:t>
      </w:r>
      <w:r w:rsidR="00C3607D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C3607D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práce v mateřských, základních a středních školách, </w:t>
      </w:r>
      <w:r w:rsidR="00B25006" w:rsidRPr="0096686D">
        <w:rPr>
          <w:rFonts w:asciiTheme="minorHAnsi" w:eastAsia="Times New Roman" w:hAnsiTheme="minorHAnsi"/>
          <w:sz w:val="24"/>
          <w:szCs w:val="24"/>
          <w:lang w:eastAsia="cs-CZ"/>
        </w:rPr>
        <w:t>konzervatořích 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96686D">
        <w:rPr>
          <w:rFonts w:asciiTheme="minorHAnsi" w:eastAsia="Times New Roman" w:hAnsiTheme="minorHAnsi"/>
          <w:sz w:val="24"/>
          <w:szCs w:val="24"/>
          <w:lang w:eastAsia="cs-CZ"/>
        </w:rPr>
        <w:t>školních družinách financována na základě skutečného počtu hodin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přímé pedagogické činnosti realizovaného těmito školami v souladu s příslušnými rámcovými vzdělávacími programy a školní družinou v souladu s § 118 školského zákona. Pedagogická práce ve vyšších odborných školách je</w:t>
      </w:r>
      <w:r w:rsidR="00E107F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F521D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>nadále financována normativně na studenta v akreditovaném vzdělávacím programu, jednotné normativy pro celou ČR však centrálně stanov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D53A0">
        <w:rPr>
          <w:rFonts w:asciiTheme="minorHAnsi" w:eastAsia="Times New Roman" w:hAnsiTheme="minorHAnsi"/>
          <w:sz w:val="24"/>
          <w:szCs w:val="24"/>
          <w:lang w:eastAsia="cs-CZ"/>
        </w:rPr>
        <w:t>Ministerstvo školst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6D53A0">
        <w:rPr>
          <w:rFonts w:asciiTheme="minorHAnsi" w:eastAsia="Times New Roman" w:hAnsiTheme="minorHAnsi"/>
          <w:sz w:val="24"/>
          <w:szCs w:val="24"/>
          <w:lang w:eastAsia="cs-CZ"/>
        </w:rPr>
        <w:t>í,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 xml:space="preserve"> mládeže a</w:t>
      </w:r>
      <w:r w:rsidR="0091781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tělovýchovy (dále jen „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4745D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6B6E0E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6B6E0E" w:rsidRPr="00B25006">
        <w:rPr>
          <w:rFonts w:asciiTheme="minorHAnsi" w:eastAsia="Times New Roman" w:hAnsiTheme="minorHAnsi"/>
          <w:sz w:val="24"/>
          <w:szCs w:val="24"/>
          <w:lang w:eastAsia="cs-CZ"/>
        </w:rPr>
        <w:t>epedagogick</w:t>
      </w:r>
      <w:r w:rsidR="006B6E0E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6B6E0E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práce v mateřských, základních, středních a vyšších odborných školách a konzervatořích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je financována normativně, jednotkou výkonu je</w:t>
      </w:r>
      <w:r w:rsidR="0003089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ředitelství (právnická osoba), další pracoviště školy a třída mateřské, základní a střední školy, žák konzervatoře a student vyšší odborné školy. Základní umělecké školy jsou jako dosud financovány normativně na žáka, mění se pouze struktura normativů, které jednotně stanovilo 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B25006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pro všechny kraje.</w:t>
      </w:r>
    </w:p>
    <w:p w14:paraId="45DEAD89" w14:textId="1E90A04A" w:rsidR="00F15A5D" w:rsidRPr="00B25006" w:rsidRDefault="00F15A5D" w:rsidP="00B25006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Školská zařízení kromě pedagogické práce ve školních družinách jsou </w:t>
      </w:r>
      <w:r w:rsidR="00134EFA">
        <w:rPr>
          <w:rFonts w:asciiTheme="minorHAnsi" w:eastAsia="Times New Roman" w:hAnsiTheme="minorHAnsi"/>
          <w:sz w:val="24"/>
          <w:szCs w:val="24"/>
          <w:lang w:eastAsia="cs-CZ"/>
        </w:rPr>
        <w:t xml:space="preserve">financována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krajských normativů (podrobně dále). </w:t>
      </w:r>
    </w:p>
    <w:p w14:paraId="0AB42CD3" w14:textId="3BC12D16" w:rsidR="00203454" w:rsidRDefault="00211315" w:rsidP="00F15A5D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rincipy 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rozpisu rozpočtu přímých výdajů </w:t>
      </w:r>
      <w:proofErr w:type="spellStart"/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 územních samosprávných celků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(dále jen „</w:t>
      </w:r>
      <w:proofErr w:type="spellStart"/>
      <w:r w:rsidR="008115AC" w:rsidRPr="00F15A5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="008115A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ÚSC“) 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F15A5D" w:rsidRPr="00F15A5D">
        <w:rPr>
          <w:rFonts w:asciiTheme="minorHAnsi" w:eastAsia="Times New Roman" w:hAnsiTheme="minorHAnsi"/>
          <w:sz w:val="24"/>
          <w:szCs w:val="24"/>
          <w:lang w:eastAsia="cs-CZ"/>
        </w:rPr>
        <w:t>rok 2021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jsou podrobně popsány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 xml:space="preserve">v materiálu 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>zveřejněn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na webových stránkách</w:t>
      </w:r>
      <w:r w:rsidR="00203454"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adrese </w:t>
      </w:r>
      <w:hyperlink r:id="rId8" w:history="1">
        <w:r w:rsidR="006228A4" w:rsidRPr="00C6388A">
          <w:rPr>
            <w:rStyle w:val="Hypertextovodkaz"/>
            <w:rFonts w:asciiTheme="minorHAnsi" w:eastAsia="Times New Roman" w:hAnsiTheme="minorHAnsi"/>
            <w:sz w:val="24"/>
            <w:szCs w:val="24"/>
            <w:lang w:eastAsia="cs-CZ"/>
          </w:rPr>
          <w:t>https://www.msmt.cz/vzdelavani/skolstvi-v-cr/ekonomika-skolstvi/principy-rozpisu-rozpoctu-primych-vydaju-regionalniho-1</w:t>
        </w:r>
      </w:hyperlink>
      <w:r w:rsidR="0020345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063A17A" w14:textId="2D62088E" w:rsidR="00B77028" w:rsidRDefault="00203454" w:rsidP="000C7B66">
      <w:pPr>
        <w:spacing w:before="120" w:after="0" w:line="240" w:lineRule="auto"/>
        <w:jc w:val="both"/>
        <w:rPr>
          <w:rStyle w:val="Hypertextovodkaz"/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Finanční prostředky stanovené pro školy a pedagogickou práci školních družin </w:t>
      </w:r>
      <w:r w:rsidR="00B7248D" w:rsidRPr="00203454">
        <w:rPr>
          <w:rFonts w:asciiTheme="minorHAnsi" w:eastAsia="Times New Roman" w:hAnsiTheme="minorHAnsi"/>
          <w:sz w:val="24"/>
          <w:szCs w:val="24"/>
          <w:lang w:eastAsia="cs-CZ"/>
        </w:rPr>
        <w:t>zřizovan</w:t>
      </w:r>
      <w:r w:rsidR="00B7248D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="00B7248D"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krajem, obcí, nebo dobrovolným svazkem obcí v roce 202</w:t>
      </w:r>
      <w:r w:rsidR="007C3B8B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jsou zveřejněny na webových stránkách</w:t>
      </w:r>
      <w:r w:rsidRPr="00B2500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15A5D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na adrese </w:t>
      </w:r>
      <w:hyperlink r:id="rId9" w:history="1">
        <w:r w:rsidR="00B77028" w:rsidRPr="00C6388A">
          <w:rPr>
            <w:rStyle w:val="Hypertextovodkaz"/>
            <w:rFonts w:asciiTheme="minorHAnsi" w:eastAsia="Times New Roman" w:hAnsiTheme="minorHAnsi"/>
            <w:sz w:val="24"/>
            <w:szCs w:val="24"/>
            <w:lang w:eastAsia="cs-CZ"/>
          </w:rPr>
          <w:t>https://www.msmt.cz/vzdelavani/skolstvi-v-cr/ekonomika-skolstvi/financni-prostredky-stanovene-ministerstvem-pro-skoly-a-1</w:t>
        </w:r>
      </w:hyperlink>
      <w:r w:rsidR="00B77028">
        <w:rPr>
          <w:rStyle w:val="Hypertextovodkaz"/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9369B57" w14:textId="4C7963B8" w:rsidR="00F15A5D" w:rsidRDefault="00432F3A" w:rsidP="00F15A5D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PRINCIPY </w:t>
      </w:r>
      <w:r w:rsidR="00F15A5D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financování ŠKOLSKÝCH ZAŘ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ÍZENÍ</w:t>
      </w:r>
    </w:p>
    <w:p w14:paraId="5EF22029" w14:textId="180233A1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Prostřednictvím republikových normativů jsou z rozpočtu MŠMT vyčleněného pro </w:t>
      </w:r>
      <w:proofErr w:type="spellStart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ÚSC rozepisovány do rozpočtů jednotlivých krajů 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a hlavního města Prahy (dále jen „kraje“)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pouze finanční prostředky pro školská zařízení s výjimkou finančních prostředků na pedagogickou práci školních družin.</w:t>
      </w:r>
    </w:p>
    <w:p w14:paraId="09C8B0A5" w14:textId="195C3830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Republikové normativy podle § 161a a § 161b školského zákona stanov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uje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 MŠMT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jako roční výši výdajů připadajících na jednu rodinnou skupinu dětského domova, jedno lůžko kapacity ostatního školského zařízení pro výkon ústavní výchovy, ochranné výchovy nebo školského zařízení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pro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preventivně výchovnou péči, jednoho ubytovaného ve školském zařízení podle § 117 odst. 1 písm. b) školského zákona, jedno </w:t>
      </w:r>
      <w:bookmarkStart w:id="1" w:name="_Hlk25139660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dítě, žáka nebo studenta v mateřské a základní škole a v denní formě vzdělávání ve střední škole, konzervatoři a ve vyšší odborné škole</w:t>
      </w:r>
      <w:bookmarkEnd w:id="1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. Součástí republikových normativů je také vyjádření limitu počtu zaměstnanců připadajících na příslušnou jednotku výkonu.</w:t>
      </w:r>
    </w:p>
    <w:p w14:paraId="732D650F" w14:textId="1FC3064B" w:rsidR="00203454" w:rsidRPr="00203454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Do objemu neinvestičních výdajů určeného republikovými normativy jsou zahrnuty výdaje na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školské služby s výjimkou pedagogické práce ve školních družinách, které poskytují například zařízení školního stravování, školská poradenská </w:t>
      </w:r>
      <w:r w:rsidR="004A79A6" w:rsidRPr="00203454">
        <w:rPr>
          <w:rFonts w:asciiTheme="minorHAnsi" w:eastAsia="Times New Roman" w:hAnsiTheme="minorHAnsi"/>
          <w:sz w:val="24"/>
          <w:szCs w:val="24"/>
          <w:lang w:eastAsia="cs-CZ"/>
        </w:rPr>
        <w:t>zaří</w:t>
      </w:r>
      <w:r w:rsidR="004A79A6">
        <w:rPr>
          <w:rFonts w:asciiTheme="minorHAnsi" w:eastAsia="Times New Roman" w:hAnsiTheme="minorHAnsi"/>
          <w:sz w:val="24"/>
          <w:szCs w:val="24"/>
          <w:lang w:eastAsia="cs-CZ"/>
        </w:rPr>
        <w:t>z</w:t>
      </w:r>
      <w:r w:rsidR="004A79A6" w:rsidRPr="00203454">
        <w:rPr>
          <w:rFonts w:asciiTheme="minorHAnsi" w:eastAsia="Times New Roman" w:hAnsiTheme="minorHAnsi"/>
          <w:sz w:val="24"/>
          <w:szCs w:val="24"/>
          <w:lang w:eastAsia="cs-CZ"/>
        </w:rPr>
        <w:t>ení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, domovy mládeže, internáty, zařízení pro</w:t>
      </w:r>
      <w:r w:rsidR="001A76E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zájmové vzdělávání, dětské domovy a další.</w:t>
      </w:r>
    </w:p>
    <w:p w14:paraId="2F8AD65A" w14:textId="0F638A1D" w:rsidR="00E04480" w:rsidRDefault="0020345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Republikové normativy slouží pouze pro rozpis finančních prostředků státního rozpočtu do rozpočtů jednotlivých krajů. K rozpisu těchto rozpočtových zdrojů z rozpočtů krajů do rozpočtů jednotlivých právnických osob vykonávajících činnost školských zařízení pak slouží krajské normativy (§ </w:t>
      </w:r>
      <w:proofErr w:type="gramStart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161a</w:t>
      </w:r>
      <w:proofErr w:type="gramEnd"/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 xml:space="preserve"> odst. 2 a § 161b odst. 2 školského zákona), jejichž stanovení a použití je v přenesené působnosti výkonu státní správy krajských úřadů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 xml:space="preserve"> a Magistrátu </w:t>
      </w:r>
      <w:r w:rsidR="0035585D">
        <w:rPr>
          <w:rFonts w:asciiTheme="minorHAnsi" w:eastAsia="Times New Roman" w:hAnsiTheme="minorHAnsi"/>
          <w:sz w:val="24"/>
          <w:szCs w:val="24"/>
          <w:lang w:eastAsia="cs-CZ"/>
        </w:rPr>
        <w:t>hl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. m. Prahy</w:t>
      </w:r>
      <w:r w:rsidR="00C75F4C" w:rsidRPr="00C75F4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75F4C">
        <w:rPr>
          <w:rFonts w:asciiTheme="minorHAnsi" w:eastAsia="Times New Roman" w:hAnsiTheme="minorHAnsi"/>
          <w:sz w:val="24"/>
          <w:szCs w:val="24"/>
          <w:lang w:eastAsia="cs-CZ"/>
        </w:rPr>
        <w:t>(dále jen „krajské úřady“)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. Členění krajských normativů, ukazatele rozhodné pro jejich stanovení apod. stanoví vyhláška č.</w:t>
      </w:r>
      <w:r w:rsidR="00772AE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310/2018</w:t>
      </w:r>
      <w:r w:rsidR="00772AE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Sb., o krajských normativech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(dále jen „vyhláška“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E04480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C4E15BB" w14:textId="479FD782" w:rsidR="000C7B66" w:rsidRDefault="00E04480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Předmětem tohoto materiálu je</w:t>
      </w:r>
      <w:r w:rsidR="006616A2">
        <w:rPr>
          <w:rFonts w:asciiTheme="minorHAnsi" w:eastAsia="Times New Roman" w:hAnsiTheme="minorHAnsi"/>
          <w:sz w:val="24"/>
          <w:szCs w:val="24"/>
          <w:lang w:eastAsia="cs-CZ"/>
        </w:rPr>
        <w:t xml:space="preserve"> analýza a 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krajských normativů tak, jak </w:t>
      </w:r>
      <w:r w:rsidR="0096686D" w:rsidRPr="0096686D">
        <w:rPr>
          <w:rFonts w:asciiTheme="minorHAnsi" w:eastAsia="Times New Roman" w:hAnsiTheme="minorHAnsi"/>
          <w:sz w:val="24"/>
          <w:szCs w:val="24"/>
          <w:lang w:eastAsia="cs-CZ"/>
        </w:rPr>
        <w:t>j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 xml:space="preserve">e stanovily jednotlivé krajské úřady a Magistrát hl. města Prahy </w:t>
      </w:r>
      <w:r w:rsidR="00A84F0A">
        <w:rPr>
          <w:rFonts w:asciiTheme="minorHAnsi" w:eastAsia="Times New Roman" w:hAnsiTheme="minorHAnsi"/>
          <w:sz w:val="24"/>
          <w:szCs w:val="24"/>
          <w:lang w:eastAsia="cs-CZ"/>
        </w:rPr>
        <w:t>(dále jen „</w:t>
      </w:r>
      <w:r w:rsidR="007F7474" w:rsidRPr="0096686D">
        <w:rPr>
          <w:rFonts w:asciiTheme="minorHAnsi" w:eastAsia="Times New Roman" w:hAnsiTheme="minorHAnsi"/>
          <w:sz w:val="24"/>
          <w:szCs w:val="24"/>
          <w:lang w:eastAsia="cs-CZ"/>
        </w:rPr>
        <w:t>krajské úřady</w:t>
      </w:r>
      <w:r w:rsidR="00A84F0A">
        <w:rPr>
          <w:rFonts w:asciiTheme="minorHAnsi" w:eastAsia="Times New Roman" w:hAnsiTheme="minorHAnsi"/>
          <w:sz w:val="24"/>
          <w:szCs w:val="24"/>
          <w:lang w:eastAsia="cs-CZ"/>
        </w:rPr>
        <w:t>“)</w:t>
      </w:r>
      <w:r w:rsidR="007F747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pro financování školských zařízení zřizovaných krajem, obcí či dobrovolným svazkem obcí pro rok 202</w:t>
      </w:r>
      <w:r w:rsidR="007C3B8B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Pr="0096686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29AAEF0" w14:textId="4F357309" w:rsidR="00E51652" w:rsidRPr="00752C4B" w:rsidRDefault="00E51652" w:rsidP="00E51652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752C4B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PŘEHLED JEDNOTEK VÝKONU PRO 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školsk</w:t>
      </w:r>
      <w:r w:rsidR="00643062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Á</w:t>
      </w: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 xml:space="preserve"> zařízení</w:t>
      </w:r>
    </w:p>
    <w:p w14:paraId="633628F8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družiny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jednotkou výkonu je 1 žák ve školní družině, který je přijat k pravidelné denní docházce.</w:t>
      </w: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</w:p>
    <w:p w14:paraId="2FCE8EA2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stravování ve školních jídelnách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–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jednotkou výkonu je:</w:t>
      </w:r>
    </w:p>
    <w:p w14:paraId="22429CD8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vzdělává v mateřské škole, pro něhož je v rámci školního stravování ve školní jídelně poskytován oběd a alespoň 1 předcházející nebo navazující doplňkové jídlo,</w:t>
      </w:r>
    </w:p>
    <w:p w14:paraId="7087C296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vzdělává v základní škole, pro něhož je v rámci školního stravování ve školní jídelně poskytován oběd,</w:t>
      </w:r>
    </w:p>
    <w:p w14:paraId="2340F692" w14:textId="77777777" w:rsidR="00E51652" w:rsidRPr="00752C4B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nevzdělává v mateřské ani v základní škole, pro něhož je v rámci školního stravování ve školní jídelně poskytován oběd (tj. žáci středních škol a konzervatoří a studenti vyšších odborných škol),</w:t>
      </w:r>
    </w:p>
    <w:p w14:paraId="0E3FFF1B" w14:textId="77777777" w:rsidR="00E51652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ind w:left="143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1 stravovaný, který se zároveň nevzdělává v mateřské ani v základní škole, pro něhož je v rámci školního stravování ve školní jídelně poskytován alespoň oběd a večeře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(dále jen celodenní stravování),</w:t>
      </w:r>
    </w:p>
    <w:p w14:paraId="482A6DE6" w14:textId="77777777" w:rsidR="00E51652" w:rsidRDefault="00E51652" w:rsidP="00E51652">
      <w:pPr>
        <w:pStyle w:val="Odstavecseseznamem"/>
        <w:numPr>
          <w:ilvl w:val="1"/>
          <w:numId w:val="24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 stravovaný, který se zároveň nevzdělává v mateřské ani v základní škole, pro něhož 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v rámci školního stravování ve školní jídelně </w:t>
      </w:r>
      <w:r w:rsidRPr="00DB6061">
        <w:rPr>
          <w:rFonts w:asciiTheme="minorHAnsi" w:hAnsiTheme="minorHAnsi"/>
        </w:rPr>
        <w:t>poskytován</w:t>
      </w:r>
      <w:r>
        <w:rPr>
          <w:rFonts w:asciiTheme="minorHAnsi" w:hAnsiTheme="minorHAnsi"/>
        </w:rPr>
        <w:t>a</w:t>
      </w:r>
      <w:r w:rsidRPr="00DB60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večeře a alespoň</w:t>
      </w:r>
      <w:r w:rsidRPr="00DB606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jedno doplňkové jídlo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(dále jen celodenní stravování bez oběda).</w:t>
      </w:r>
    </w:p>
    <w:p w14:paraId="1EC6E826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Domovy mládeže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jednotkou výkonu je 1 ubytovaný v domově mládeže, který se zároveň vzdělává:</w:t>
      </w:r>
    </w:p>
    <w:p w14:paraId="4FC4BA3E" w14:textId="77777777" w:rsidR="00E51652" w:rsidRPr="00752C4B" w:rsidRDefault="00E51652" w:rsidP="00E51652">
      <w:pPr>
        <w:pStyle w:val="Odstavecseseznamem"/>
        <w:numPr>
          <w:ilvl w:val="1"/>
          <w:numId w:val="26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E6AD5">
        <w:rPr>
          <w:rFonts w:asciiTheme="minorHAnsi" w:hAnsiTheme="minorHAnsi"/>
          <w:sz w:val="24"/>
          <w:szCs w:val="24"/>
        </w:rPr>
        <w:t>v základní škole,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střední škole nebo konzervatoři,</w:t>
      </w:r>
    </w:p>
    <w:p w14:paraId="4929BE74" w14:textId="77777777" w:rsidR="00E51652" w:rsidRDefault="00E51652" w:rsidP="00E51652">
      <w:pPr>
        <w:pStyle w:val="Odstavecseseznamem"/>
        <w:numPr>
          <w:ilvl w:val="1"/>
          <w:numId w:val="26"/>
        </w:num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ve vyšší odborné škole.</w:t>
      </w:r>
    </w:p>
    <w:p w14:paraId="617C517D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Školní kluby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>– jednotkou výkonu je 1 žák, kterému školní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klub zajišťuje naplnění volného času zájmovou činností se zaměřením na různé oblasti.</w:t>
      </w:r>
    </w:p>
    <w:p w14:paraId="794F1115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83941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Školská poradenská zařízení (Pedagogicko-psychologické poradny, Speciálně pedagogická centra)</w:t>
      </w:r>
      <w:r w:rsidRPr="00DA52E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jednotkou výkonu je 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1 dítě, žák nebo student, jemuž informační, diagnostickou, poradenskou 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metodickou činnost, odborné speciálně pedagogické a pedagogicko-psychologické služby, preventivně výchovnou péči nebo pomoc při volbě vhodného vzdělávání a přípravě na budoucí povolání v předchozím školním roce zajišťovala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edagogicko-psychologická poradna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>speciálně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Pr="003D0574">
        <w:rPr>
          <w:rFonts w:asciiTheme="minorHAnsi" w:eastAsia="Times New Roman" w:hAnsiTheme="minorHAnsi"/>
          <w:sz w:val="24"/>
          <w:szCs w:val="24"/>
          <w:lang w:eastAsia="cs-CZ"/>
        </w:rPr>
        <w:t xml:space="preserve"> cent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rum.</w:t>
      </w:r>
    </w:p>
    <w:p w14:paraId="694F4950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domovy, Dětské domovy se školou</w:t>
      </w: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1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rodinná skupina.</w:t>
      </w:r>
    </w:p>
    <w:p w14:paraId="21BC777A" w14:textId="108B6124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Internáty</w:t>
      </w:r>
      <w:r w:rsidRPr="00D84862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1 ubytovaný v internátě, který se zároveň vzdělává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C273CF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C273CF" w:rsidRPr="008B70F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v základní škole speciální, ve třídě přípravného stupně základní školy speciální, nebo ve škole samostatně zřízené podle § 16 odst. 9 školského zákona pro děti nebo žáky s těžkým zdravotním postižením,</w:t>
      </w:r>
      <w:r>
        <w:rPr>
          <w:rFonts w:asciiTheme="minorHAnsi" w:eastAsia="Times New Roman" w:hAnsiTheme="minorHAnsi"/>
          <w:sz w:val="24"/>
          <w:szCs w:val="24"/>
          <w:lang w:eastAsia="cs-CZ"/>
        </w:rPr>
        <w:br/>
      </w:r>
      <w:r w:rsidR="009E2F4A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9E2F4A" w:rsidRPr="008B70F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8B70F6">
        <w:rPr>
          <w:rFonts w:asciiTheme="minorHAnsi" w:eastAsia="Times New Roman" w:hAnsiTheme="minorHAnsi"/>
          <w:sz w:val="24"/>
          <w:szCs w:val="24"/>
          <w:lang w:eastAsia="cs-CZ"/>
        </w:rPr>
        <w:t>ve škole samostatně zřízené podle § 16 odst. 9 školského zákona pro děti nebo žáky s jiným než těžkým zdravotním postižením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6404EFF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74244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Kursy pro získání základního vzdělání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1 </w:t>
      </w:r>
      <w:r w:rsidRPr="0040132E">
        <w:rPr>
          <w:rFonts w:asciiTheme="minorHAnsi" w:eastAsia="Times New Roman" w:hAnsiTheme="minorHAnsi"/>
          <w:sz w:val="24"/>
          <w:szCs w:val="24"/>
          <w:lang w:eastAsia="cs-CZ"/>
        </w:rPr>
        <w:t>žák kurzu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C237801" w14:textId="107FF814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11993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Střediska volného času </w:t>
      </w:r>
      <w:r w:rsidRPr="00D84862">
        <w:rPr>
          <w:rFonts w:asciiTheme="minorHAnsi" w:eastAsia="Times New Roman" w:hAnsiTheme="minorHAnsi"/>
          <w:sz w:val="24"/>
          <w:szCs w:val="24"/>
          <w:lang w:eastAsia="cs-CZ"/>
        </w:rPr>
        <w:t xml:space="preserve">– jednotkou výkonu je </w:t>
      </w:r>
      <w:r w:rsidRPr="00611993">
        <w:rPr>
          <w:rFonts w:asciiTheme="minorHAnsi" w:eastAsia="Times New Roman" w:hAnsiTheme="minorHAnsi"/>
          <w:sz w:val="24"/>
          <w:szCs w:val="24"/>
          <w:lang w:eastAsia="cs-CZ"/>
        </w:rPr>
        <w:t>1 dítě, žák, student, kterému středisko volného času zajišťuje naplnění volného času zájmovou činností se zaměřením na různé oblasti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85CC0B4" w14:textId="77777777" w:rsidR="00900349" w:rsidRPr="00752C4B" w:rsidRDefault="00900349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1EA4FAB" w14:textId="70DAF436" w:rsidR="00E51652" w:rsidRPr="00752C4B" w:rsidRDefault="00E51652" w:rsidP="00E51652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PRINCIP STANOVENÍ NORMATIVů</w:t>
      </w:r>
    </w:p>
    <w:p w14:paraId="77BFC9BA" w14:textId="662559AA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Normativ 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mzdových prostředků (</w:t>
      </w:r>
      <w:r w:rsid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dále </w:t>
      </w:r>
      <w:r w:rsidR="00092AE1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jen „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MP</w:t>
      </w:r>
      <w:r w:rsidR="00092AE1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“</w:t>
      </w:r>
      <w:r w:rsidR="007D5630" w:rsidRPr="007D563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)</w:t>
      </w: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 pro domovy mládeže</w:t>
      </w:r>
      <w:r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 xml:space="preserve">, </w:t>
      </w: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školní kluby</w:t>
      </w:r>
      <w:r w:rsidRPr="0039017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, školská poradenská zařízení, dětské domovy, internáty, kursy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 jejichž činnost je realizována pedagogickými </w:t>
      </w:r>
      <w:r w:rsidR="00135A8E" w:rsidRPr="00E04480">
        <w:rPr>
          <w:rFonts w:asciiTheme="minorHAnsi" w:eastAsia="Times New Roman" w:hAnsiTheme="minorHAnsi"/>
          <w:sz w:val="24"/>
          <w:szCs w:val="24"/>
          <w:lang w:eastAsia="cs-CZ"/>
        </w:rPr>
        <w:t>pracovníky</w:t>
      </w:r>
      <w:r w:rsidR="002E409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 xml:space="preserve">i nepedagogickými </w:t>
      </w:r>
      <w:r w:rsidR="00135A8E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E04480">
        <w:rPr>
          <w:rFonts w:asciiTheme="minorHAnsi" w:eastAsia="Times New Roman" w:hAnsiTheme="minorHAnsi"/>
          <w:sz w:val="24"/>
          <w:szCs w:val="24"/>
          <w:lang w:eastAsia="cs-CZ"/>
        </w:rPr>
        <w:t>, se stanoví vztahem</w:t>
      </w:r>
    </w:p>
    <w:p w14:paraId="13AADF15" w14:textId="77777777" w:rsidR="00E51652" w:rsidRDefault="00E51652" w:rsidP="00E51652">
      <w:pPr>
        <w:spacing w:before="120" w:after="0" w:line="240" w:lineRule="auto"/>
        <w:jc w:val="center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2" w:name="_Hlk82612459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12 * (1/N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+ 1/N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bookmarkEnd w:id="2"/>
    </w:p>
    <w:p w14:paraId="1D3CDB82" w14:textId="41EDCBD0" w:rsidR="00E51652" w:rsidRPr="000A6ECD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04480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Normativ MP pro školní družinu a školní stravování ve školních jídelnách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 xml:space="preserve">, jejichž činnost je realizována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pouze 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nepedagogickými 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zaměstnanci</w:t>
      </w:r>
      <w:r w:rsidRPr="000A6ECD">
        <w:rPr>
          <w:rFonts w:asciiTheme="minorHAnsi" w:eastAsia="Times New Roman" w:hAnsiTheme="minorHAnsi"/>
          <w:sz w:val="24"/>
          <w:szCs w:val="24"/>
          <w:lang w:eastAsia="cs-CZ"/>
        </w:rPr>
        <w:t>, se stanoví vztahem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42BDCA84" w14:textId="77777777" w:rsidR="00E51652" w:rsidRPr="00752C4B" w:rsidRDefault="00E51652" w:rsidP="00E51652">
      <w:pPr>
        <w:spacing w:before="120" w:after="0" w:line="240" w:lineRule="auto"/>
        <w:ind w:left="3540" w:firstLine="708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12 * 1/N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*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60EFDF4" w14:textId="5AB0CA78" w:rsidR="00E51652" w:rsidRPr="00752C4B" w:rsidRDefault="00E51652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přičemž ukazatel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43501" w:rsidRPr="00752C4B">
        <w:rPr>
          <w:rFonts w:asciiTheme="minorHAnsi" w:eastAsia="Times New Roman" w:hAnsiTheme="minorHAnsi"/>
          <w:sz w:val="24"/>
          <w:szCs w:val="24"/>
          <w:lang w:eastAsia="cs-CZ"/>
        </w:rPr>
        <w:t>rozhodn</w:t>
      </w:r>
      <w:r w:rsidR="00343501">
        <w:rPr>
          <w:rFonts w:asciiTheme="minorHAnsi" w:eastAsia="Times New Roman" w:hAnsiTheme="minorHAnsi"/>
          <w:sz w:val="24"/>
          <w:szCs w:val="24"/>
          <w:lang w:eastAsia="cs-CZ"/>
        </w:rPr>
        <w:t>ými</w:t>
      </w:r>
      <w:r w:rsidR="00343501"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pro stanovení krajských normativů jsou:</w:t>
      </w:r>
    </w:p>
    <w:p w14:paraId="08311E82" w14:textId="7BBF4DE3" w:rsidR="00E51652" w:rsidRPr="00752C4B" w:rsidRDefault="00E51652" w:rsidP="00E51652">
      <w:pPr>
        <w:spacing w:before="120" w:after="0" w:line="240" w:lineRule="auto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gramStart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</w:t>
      </w:r>
      <w:proofErr w:type="gramEnd"/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průměrný počet jednotek výkonu připadající na 1 pedagogického pracovníka,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… průměrná měsíční výše platu pedagogického pracovníka,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 průměrný počet jednotek výkonu připadající na 1 nepedagogického </w:t>
      </w:r>
      <w:r w:rsidR="00B95450" w:rsidRPr="00B95450">
        <w:rPr>
          <w:rFonts w:asciiTheme="minorHAnsi" w:eastAsia="Times New Roman" w:hAnsiTheme="minorHAnsi"/>
          <w:sz w:val="24"/>
          <w:szCs w:val="24"/>
          <w:lang w:eastAsia="cs-CZ"/>
        </w:rPr>
        <w:t>zaměstnanc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br/>
        <w:t>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 … průměrná měsíční výše platu nepedagogického </w:t>
      </w:r>
      <w:r w:rsidR="00B95450" w:rsidRPr="00B95450">
        <w:rPr>
          <w:rFonts w:asciiTheme="minorHAnsi" w:eastAsia="Times New Roman" w:hAnsiTheme="minorHAnsi"/>
          <w:sz w:val="24"/>
          <w:szCs w:val="24"/>
          <w:lang w:eastAsia="cs-CZ"/>
        </w:rPr>
        <w:t>zaměstnanc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F6C22CA" w14:textId="77777777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527F76C0" w14:textId="77777777" w:rsidR="00E51652" w:rsidRPr="00752C4B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Výši normativu MP ovlivňují hodnoty těchto čtyř ukazatelů následovně:</w:t>
      </w:r>
    </w:p>
    <w:p w14:paraId="7EFB75A5" w14:textId="77777777" w:rsidR="00E51652" w:rsidRPr="00752C4B" w:rsidRDefault="00E51652" w:rsidP="00E51652">
      <w:pPr>
        <w:numPr>
          <w:ilvl w:val="0"/>
          <w:numId w:val="20"/>
        </w:numPr>
        <w:spacing w:before="120"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přímo úměrně ukazatele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 resp. P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0FDD293D" w14:textId="77777777" w:rsidR="00E51652" w:rsidRPr="00752C4B" w:rsidRDefault="00E51652" w:rsidP="00E51652">
      <w:pPr>
        <w:numPr>
          <w:ilvl w:val="0"/>
          <w:numId w:val="20"/>
        </w:numPr>
        <w:spacing w:after="0" w:line="240" w:lineRule="auto"/>
        <w:ind w:left="1066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nepřímo úměrně ukazatele 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, resp. N</w:t>
      </w:r>
      <w:r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20EC8C69" w14:textId="67913563" w:rsidR="00E51652" w:rsidRPr="00314538" w:rsidRDefault="00E51652" w:rsidP="003145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86509">
        <w:rPr>
          <w:rFonts w:asciiTheme="minorHAnsi" w:eastAsia="Times New Roman" w:hAnsiTheme="minorHAnsi"/>
          <w:sz w:val="24"/>
          <w:szCs w:val="24"/>
          <w:u w:val="single"/>
          <w:lang w:eastAsia="cs-CZ"/>
        </w:rPr>
        <w:t>Poznámka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: </w:t>
      </w:r>
      <w:r w:rsidR="008A0003">
        <w:rPr>
          <w:rFonts w:asciiTheme="minorHAnsi" w:eastAsia="Times New Roman" w:hAnsiTheme="minorHAnsi"/>
          <w:sz w:val="24"/>
          <w:szCs w:val="24"/>
          <w:lang w:eastAsia="cs-CZ"/>
        </w:rPr>
        <w:t xml:space="preserve">Stanovení objemu finančních prostředků </w:t>
      </w:r>
      <w:r w:rsidR="00CD4DD6">
        <w:rPr>
          <w:rFonts w:asciiTheme="minorHAnsi" w:eastAsia="Times New Roman" w:hAnsiTheme="minorHAnsi"/>
          <w:sz w:val="24"/>
          <w:szCs w:val="24"/>
          <w:lang w:eastAsia="cs-CZ"/>
        </w:rPr>
        <w:t xml:space="preserve">na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pedagogick</w:t>
      </w:r>
      <w:r w:rsidR="00CD4DD6">
        <w:rPr>
          <w:rFonts w:asciiTheme="minorHAnsi" w:eastAsia="Times New Roman" w:hAnsiTheme="minorHAnsi"/>
          <w:sz w:val="24"/>
          <w:szCs w:val="24"/>
          <w:lang w:eastAsia="cs-CZ"/>
        </w:rPr>
        <w:t>ou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prác</w:t>
      </w:r>
      <w:r w:rsidR="00CD4DD6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ve školních družinách </w:t>
      </w:r>
      <w:r w:rsidR="00CD4DD6">
        <w:rPr>
          <w:rFonts w:asciiTheme="minorHAnsi" w:eastAsia="Times New Roman" w:hAnsiTheme="minorHAnsi"/>
          <w:sz w:val="24"/>
          <w:szCs w:val="24"/>
          <w:lang w:eastAsia="cs-CZ"/>
        </w:rPr>
        <w:t xml:space="preserve">provádí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od roku 2020 MŠMT.</w:t>
      </w:r>
    </w:p>
    <w:p w14:paraId="4E21B558" w14:textId="77777777" w:rsidR="00F32059" w:rsidRDefault="00F32059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BBF4689" w14:textId="20FF7D9A" w:rsidR="00B61A9C" w:rsidRDefault="00B61A9C" w:rsidP="00BC33C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M</w:t>
      </w: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inimální personální zabezpečení</w:t>
      </w:r>
      <w:r w:rsidRPr="008541D0">
        <w:rPr>
          <w:b/>
        </w:rPr>
        <w:t xml:space="preserve"> </w:t>
      </w: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zajištění vzdělávání </w:t>
      </w:r>
      <w:r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a školských služeb</w:t>
      </w:r>
      <w:r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940A833" w14:textId="5DDEE9E1" w:rsidR="00BC33C4" w:rsidRDefault="00F32059" w:rsidP="00BC33C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Ukazatele </w:t>
      </w:r>
      <w:r w:rsidR="00906066" w:rsidRPr="00752C4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906066"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906066" w:rsidRPr="00752C4B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="00906066" w:rsidRPr="00752C4B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906066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§ 2 odst. 7 </w:t>
      </w:r>
      <w:r w:rsidR="00B82D0C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vyhlášky 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>musí krajský úřad případně dále upravit tak, aby zajistily poskytnutí finančních prostředků ze státního rozpočtu ve výši nezbytné pro dosažení alespoň minimálního personálního zabezpečení k zajištění vzdělávání a</w:t>
      </w:r>
      <w:r w:rsidR="00B1591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>školských služeb poskytovaných školskými zařízeními uvedeného v příloze k této vyhlášce. To platí i v případě, že krajský úřad zvyšuje ukazatele podle § 5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</w:t>
      </w:r>
      <w:r w:rsidRPr="00F3205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 xml:space="preserve"> Výše </w:t>
      </w:r>
      <w:r w:rsidR="006266FE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m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inimální</w:t>
      </w:r>
      <w:r w:rsidR="00643062">
        <w:rPr>
          <w:rFonts w:asciiTheme="minorHAnsi" w:eastAsia="Times New Roman" w:hAnsiTheme="minorHAnsi"/>
          <w:b/>
          <w:sz w:val="24"/>
          <w:szCs w:val="24"/>
          <w:lang w:eastAsia="cs-CZ"/>
        </w:rPr>
        <w:t>ho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personální</w:t>
      </w:r>
      <w:r w:rsidR="00643062">
        <w:rPr>
          <w:rFonts w:asciiTheme="minorHAnsi" w:eastAsia="Times New Roman" w:hAnsiTheme="minorHAnsi"/>
          <w:b/>
          <w:sz w:val="24"/>
          <w:szCs w:val="24"/>
          <w:lang w:eastAsia="cs-CZ"/>
        </w:rPr>
        <w:t>ho</w:t>
      </w:r>
      <w:r w:rsidR="00634988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zabezpečení</w:t>
      </w:r>
      <w:r w:rsidR="006266FE" w:rsidRPr="008541D0">
        <w:rPr>
          <w:b/>
        </w:rPr>
        <w:t xml:space="preserve"> </w:t>
      </w:r>
      <w:r w:rsidR="006266FE"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k zajištění vzdělávání </w:t>
      </w:r>
      <w:r w:rsidR="006266FE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a</w:t>
      </w:r>
      <w:r w:rsidR="009A2E9B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 </w:t>
      </w:r>
      <w:r w:rsidR="006266FE" w:rsidRPr="0057616A">
        <w:rPr>
          <w:rFonts w:asciiTheme="minorHAnsi" w:eastAsia="Times New Roman" w:hAnsiTheme="minorHAnsi"/>
          <w:b/>
          <w:sz w:val="24"/>
          <w:szCs w:val="24"/>
          <w:lang w:eastAsia="cs-CZ"/>
        </w:rPr>
        <w:t>školských služeb</w:t>
      </w:r>
      <w:r w:rsidR="006266FE" w:rsidRPr="006266F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E7536" w:rsidRPr="00614C1D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57616A" w:rsidRPr="00614C1D">
        <w:rPr>
          <w:rFonts w:cstheme="minorHAnsi"/>
          <w:bCs/>
          <w:sz w:val="24"/>
          <w:szCs w:val="24"/>
        </w:rPr>
        <w:t>dále jen „MPZ“)</w:t>
      </w:r>
      <w:r w:rsidR="00891CFA">
        <w:rPr>
          <w:rFonts w:cstheme="minorHAnsi"/>
          <w:b/>
          <w:bCs/>
          <w:sz w:val="24"/>
          <w:szCs w:val="24"/>
        </w:rPr>
        <w:t xml:space="preserve"> </w:t>
      </w:r>
      <w:r w:rsidR="006266FE" w:rsidRPr="006266FE">
        <w:rPr>
          <w:rFonts w:asciiTheme="minorHAnsi" w:eastAsia="Times New Roman" w:hAnsiTheme="minorHAnsi"/>
          <w:sz w:val="24"/>
          <w:szCs w:val="24"/>
          <w:lang w:eastAsia="cs-CZ"/>
        </w:rPr>
        <w:t>poskytovaných školskými zařízeními zřizovanými krajem, obcí nebo svazkem obcí</w:t>
      </w:r>
      <w:r w:rsidR="008F0E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je stanovena v příloze vyhlášky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 xml:space="preserve"> a stanovuje se pro školní kluby, střediska volného času a zařízení pro školní stravování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C0F029" w14:textId="39D89969" w:rsidR="00197C3B" w:rsidRDefault="00197C3B" w:rsidP="00BC33C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Stanovení o</w:t>
      </w:r>
      <w:r w:rsidRPr="00197C3B">
        <w:rPr>
          <w:rFonts w:asciiTheme="minorHAnsi" w:eastAsia="Times New Roman" w:hAnsiTheme="minorHAnsi"/>
          <w:b/>
          <w:sz w:val="24"/>
          <w:szCs w:val="24"/>
          <w:lang w:eastAsia="cs-CZ"/>
        </w:rPr>
        <w:t>pravn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ých</w:t>
      </w:r>
      <w:r w:rsidRPr="00197C3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koeficient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ů podle </w:t>
      </w:r>
      <w:r w:rsidR="000A049B">
        <w:rPr>
          <w:rFonts w:asciiTheme="minorHAnsi" w:eastAsia="Times New Roman" w:hAnsiTheme="minorHAnsi"/>
          <w:b/>
          <w:sz w:val="24"/>
          <w:szCs w:val="24"/>
          <w:lang w:eastAsia="cs-CZ"/>
        </w:rPr>
        <w:t>§ 4</w:t>
      </w:r>
      <w:r w:rsidR="000A049B" w:rsidRPr="000A049B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  <w:r w:rsidR="000A049B">
        <w:rPr>
          <w:rFonts w:asciiTheme="minorHAnsi" w:eastAsia="Times New Roman" w:hAnsiTheme="minorHAnsi"/>
          <w:b/>
          <w:sz w:val="24"/>
          <w:szCs w:val="24"/>
          <w:lang w:eastAsia="cs-CZ"/>
        </w:rPr>
        <w:t>vyhlášky</w:t>
      </w:r>
    </w:p>
    <w:p w14:paraId="06A495B8" w14:textId="3A2E4314" w:rsidR="009F1201" w:rsidRPr="00825EF2" w:rsidRDefault="009F1201" w:rsidP="009F12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2 vyhlášky mohou krajské úřady stanovit k normativům pro </w:t>
      </w:r>
      <w:r w:rsidRPr="008E0C62">
        <w:rPr>
          <w:rFonts w:asciiTheme="minorHAnsi" w:eastAsia="Times New Roman" w:hAnsiTheme="minorHAnsi"/>
          <w:sz w:val="24"/>
          <w:szCs w:val="24"/>
          <w:lang w:eastAsia="cs-CZ"/>
        </w:rPr>
        <w:t>speciálně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Pr="008E0C62">
        <w:rPr>
          <w:rFonts w:asciiTheme="minorHAnsi" w:eastAsia="Times New Roman" w:hAnsiTheme="minorHAnsi"/>
          <w:sz w:val="24"/>
          <w:szCs w:val="24"/>
          <w:lang w:eastAsia="cs-CZ"/>
        </w:rPr>
        <w:t xml:space="preserve"> cent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ra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opravné koeficienty podle druhu znevýhodnění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126EB1E" w14:textId="2C4E804C" w:rsidR="009F1201" w:rsidRDefault="009F1201" w:rsidP="009F12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Podle § 4 odst.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 mohou krajské úřady stanovit k normativům pro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domovy 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opravné koeficienty </w:t>
      </w:r>
      <w:r w:rsidRPr="0005276D">
        <w:rPr>
          <w:rFonts w:asciiTheme="minorHAnsi" w:eastAsia="Times New Roman" w:hAnsiTheme="minorHAnsi"/>
          <w:sz w:val="24"/>
          <w:szCs w:val="24"/>
          <w:lang w:eastAsia="cs-CZ"/>
        </w:rPr>
        <w:t>zohledňující počty rodinných skupin v dětském domově nebo v dětském domově se školou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A9C9B34" w14:textId="20815DFA" w:rsidR="007B59D5" w:rsidRPr="009F1201" w:rsidRDefault="007B59D5" w:rsidP="009F1201">
      <w:pPr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Podle 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§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odst.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vyhlášky 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lze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D22489" w:rsidRPr="00D22489">
        <w:rPr>
          <w:rFonts w:asciiTheme="minorHAnsi" w:eastAsia="Times New Roman" w:hAnsiTheme="minorHAnsi"/>
          <w:sz w:val="24"/>
          <w:szCs w:val="24"/>
          <w:lang w:eastAsia="cs-CZ"/>
        </w:rPr>
        <w:t>rajský normativ pro jednotku výkonu podle § 1 písm. e) vynásobit opravným koeficientem stanoveným jako podíl průměrného počtu uvařených jídel za jeden pracovní den v měsíci říjnu probíhajícího školního roku a celkového počtu zapsaných ke stravování v</w:t>
      </w:r>
      <w:r w:rsidR="00D2248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22489" w:rsidRPr="00D22489">
        <w:rPr>
          <w:rFonts w:asciiTheme="minorHAnsi" w:eastAsia="Times New Roman" w:hAnsiTheme="minorHAnsi"/>
          <w:sz w:val="24"/>
          <w:szCs w:val="24"/>
          <w:lang w:eastAsia="cs-CZ"/>
        </w:rPr>
        <w:t>probíhajícím školním roce.</w:t>
      </w:r>
    </w:p>
    <w:p w14:paraId="00F59ABA" w14:textId="126894F3" w:rsidR="008541D0" w:rsidRPr="008541D0" w:rsidRDefault="008541D0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541D0">
        <w:rPr>
          <w:rFonts w:asciiTheme="minorHAnsi" w:eastAsia="Times New Roman" w:hAnsiTheme="minorHAnsi"/>
          <w:b/>
          <w:sz w:val="24"/>
          <w:szCs w:val="24"/>
          <w:lang w:eastAsia="cs-CZ"/>
        </w:rPr>
        <w:t>Ostatní neinvestiční výdaje</w:t>
      </w:r>
    </w:p>
    <w:p w14:paraId="1767D5E2" w14:textId="20915DEC" w:rsidR="00634988" w:rsidRDefault="00342282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Čerpání </w:t>
      </w:r>
      <w:bookmarkStart w:id="3" w:name="_Hlk80684694"/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>ostatní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 neinvestiční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="00DE7CDD" w:rsidRP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 výdaj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 xml:space="preserve">ů </w:t>
      </w:r>
      <w:bookmarkEnd w:id="3"/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 xml:space="preserve">dále 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>jen „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>ONIV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se řídí</w:t>
      </w:r>
      <w:r w:rsidR="0095157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43062" w:rsidRPr="00342282">
        <w:rPr>
          <w:rFonts w:asciiTheme="minorHAnsi" w:eastAsia="Times New Roman" w:hAnsiTheme="minorHAnsi"/>
          <w:sz w:val="24"/>
          <w:szCs w:val="24"/>
          <w:lang w:eastAsia="cs-CZ"/>
        </w:rPr>
        <w:t>§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643062" w:rsidRPr="00342282">
        <w:rPr>
          <w:rFonts w:asciiTheme="minorHAnsi" w:eastAsia="Times New Roman" w:hAnsiTheme="minorHAnsi"/>
          <w:sz w:val="24"/>
          <w:szCs w:val="24"/>
          <w:lang w:eastAsia="cs-CZ"/>
        </w:rPr>
        <w:t>160 odst. 1 písm. c), d) a odst. 2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školsk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342282">
        <w:rPr>
          <w:rFonts w:asciiTheme="minorHAnsi" w:eastAsia="Times New Roman" w:hAnsiTheme="minorHAnsi"/>
          <w:sz w:val="24"/>
          <w:szCs w:val="24"/>
          <w:lang w:eastAsia="cs-CZ"/>
        </w:rPr>
        <w:t xml:space="preserve"> zákon</w:t>
      </w:r>
      <w:r w:rsidR="00643062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DE7CD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DB2D3FC" w14:textId="32D5E2F7" w:rsidR="0072683C" w:rsidRPr="0072683C" w:rsidRDefault="0072683C" w:rsidP="00203454">
      <w:pPr>
        <w:spacing w:before="120" w:after="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2683C">
        <w:rPr>
          <w:rFonts w:asciiTheme="minorHAnsi" w:eastAsia="Times New Roman" w:hAnsiTheme="minorHAnsi"/>
          <w:b/>
          <w:sz w:val="24"/>
          <w:szCs w:val="24"/>
          <w:lang w:eastAsia="cs-CZ"/>
        </w:rPr>
        <w:t>Mzdové prostředky</w:t>
      </w:r>
    </w:p>
    <w:p w14:paraId="3D109C4B" w14:textId="2406FC94" w:rsidR="0098177F" w:rsidRDefault="00394884" w:rsidP="00203454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87FFB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</w:t>
      </w:r>
      <w:r w:rsidR="00092AE1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7D5630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="00B9545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se zvlášť uv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ádí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ve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výš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mzdových prostředků připadající</w:t>
      </w:r>
      <w:r w:rsidR="009A15A0">
        <w:rPr>
          <w:rFonts w:asciiTheme="minorHAnsi" w:eastAsia="Times New Roman" w:hAnsiTheme="minorHAnsi"/>
          <w:sz w:val="24"/>
          <w:szCs w:val="24"/>
          <w:lang w:eastAsia="cs-CZ"/>
        </w:rPr>
        <w:t>ch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v členění na pedagogické 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 xml:space="preserve">pracovníky 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 xml:space="preserve">a nepedagogické </w:t>
      </w:r>
      <w:r w:rsidR="00AE5F14">
        <w:rPr>
          <w:rFonts w:asciiTheme="minorHAnsi" w:eastAsia="Times New Roman" w:hAnsiTheme="minorHAnsi"/>
          <w:sz w:val="24"/>
          <w:szCs w:val="24"/>
          <w:lang w:eastAsia="cs-CZ"/>
        </w:rPr>
        <w:t>zaměstnance</w:t>
      </w:r>
      <w:r w:rsidRPr="0039488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AA49B5F" w14:textId="6AE7D68B" w:rsidR="006616A2" w:rsidRDefault="006616A2" w:rsidP="006616A2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ANALÝza krajských normativů</w:t>
      </w:r>
    </w:p>
    <w:p w14:paraId="3A81D2E4" w14:textId="7798B47D" w:rsidR="002A49CD" w:rsidRPr="002A49CD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V roce 2021 byl proveden hlubší rozbor krajských normativů. Kromě normativů je předmětem analýzy i srovnání metodik jednotlivých krajských úřadů, a to v oblasti opravných koeficientů </w:t>
      </w:r>
      <w:r w:rsidR="00D515B2">
        <w:rPr>
          <w:rFonts w:asciiTheme="minorHAnsi" w:eastAsia="Times New Roman" w:hAnsiTheme="minorHAnsi"/>
          <w:sz w:val="24"/>
          <w:szCs w:val="24"/>
          <w:lang w:eastAsia="cs-CZ"/>
        </w:rPr>
        <w:t xml:space="preserve">k normativům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či </w:t>
      </w:r>
      <w:r w:rsidR="00CF5A44"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. Opravné koeficienty mohou krajské úřady používat pro zařízení školního stravování, speciálně pedagogická centra nebo dětské domovy. </w:t>
      </w:r>
      <w:r w:rsidR="00E20334"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="004476CB"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se pak podle vyhlášky o</w:t>
      </w:r>
      <w:r w:rsidR="00E2033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krajských normativech stanovují pro zařízení školního stravování, střediska volného času a školní kluby.</w:t>
      </w:r>
    </w:p>
    <w:p w14:paraId="21844335" w14:textId="26A676A6" w:rsidR="002A49CD" w:rsidRPr="002A49CD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Výši krajských normativů MP ovlivňují </w:t>
      </w:r>
      <w:r w:rsidR="00A95E4A">
        <w:rPr>
          <w:rFonts w:asciiTheme="minorHAnsi" w:eastAsia="Times New Roman" w:hAnsiTheme="minorHAnsi"/>
          <w:sz w:val="24"/>
          <w:szCs w:val="24"/>
          <w:lang w:eastAsia="cs-CZ"/>
        </w:rPr>
        <w:t>čtyři</w:t>
      </w:r>
      <w:r w:rsidR="00A95E4A"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ukazatele, a to buď přímo </w:t>
      </w:r>
      <w:r w:rsidR="006C34D4">
        <w:rPr>
          <w:rFonts w:asciiTheme="minorHAnsi" w:eastAsia="Times New Roman" w:hAnsiTheme="minorHAnsi"/>
          <w:sz w:val="24"/>
          <w:szCs w:val="24"/>
          <w:lang w:eastAsia="cs-CZ"/>
        </w:rPr>
        <w:t xml:space="preserve">úměrně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(průměrný plat) nebo nepřímo </w:t>
      </w:r>
      <w:r w:rsidR="006C34D4">
        <w:rPr>
          <w:rFonts w:asciiTheme="minorHAnsi" w:eastAsia="Times New Roman" w:hAnsiTheme="minorHAnsi"/>
          <w:sz w:val="24"/>
          <w:szCs w:val="24"/>
          <w:lang w:eastAsia="cs-CZ"/>
        </w:rPr>
        <w:t xml:space="preserve">úměrně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(počet jednotek výkonu na jednoho zaměstnance) - viz výše. Meziroční změny krajských normativů tak byly porovnány z pohledu </w:t>
      </w:r>
      <w:r w:rsidR="00A95E4A">
        <w:rPr>
          <w:rFonts w:asciiTheme="minorHAnsi" w:eastAsia="Times New Roman" w:hAnsiTheme="minorHAnsi"/>
          <w:sz w:val="24"/>
          <w:szCs w:val="24"/>
          <w:lang w:eastAsia="cs-CZ"/>
        </w:rPr>
        <w:t xml:space="preserve">jak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jednotlivých ukazatelů samostatně</w:t>
      </w:r>
      <w:r w:rsidR="00A95E4A">
        <w:rPr>
          <w:rFonts w:asciiTheme="minorHAnsi" w:eastAsia="Times New Roman" w:hAnsiTheme="minorHAnsi"/>
          <w:sz w:val="24"/>
          <w:szCs w:val="24"/>
          <w:lang w:eastAsia="cs-CZ"/>
        </w:rPr>
        <w:t xml:space="preserve">, tak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6C34D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6C34D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celku.</w:t>
      </w:r>
    </w:p>
    <w:p w14:paraId="31E71916" w14:textId="74BA02C3" w:rsidR="00D14A37" w:rsidRDefault="002A49CD" w:rsidP="00D14A37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V roce 2021 byly </w:t>
      </w:r>
      <w:r w:rsidR="00083866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prostředky na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platy pedagogických pracovníků zvýšeny o 9 % a nepedagogických zaměstnanců o</w:t>
      </w:r>
      <w:r w:rsidR="00FF798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="00083866">
        <w:rPr>
          <w:rFonts w:asciiTheme="minorHAnsi" w:eastAsia="Times New Roman" w:hAnsiTheme="minorHAnsi"/>
          <w:sz w:val="24"/>
          <w:szCs w:val="24"/>
          <w:lang w:eastAsia="cs-CZ"/>
        </w:rPr>
        <w:t>,3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%. Toto zvýšení bylo promítnuto také do republikových normativů, následně pak krajské úřady promítaly zvýšení i do ukazatelů P</w:t>
      </w:r>
      <w:r w:rsidRPr="00E20334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E20334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. Analýza se tak zaměřuje i na tento vliv, zohledňující </w:t>
      </w:r>
      <w:r w:rsidR="00E20334">
        <w:rPr>
          <w:rFonts w:asciiTheme="minorHAnsi" w:eastAsia="Times New Roman" w:hAnsiTheme="minorHAnsi"/>
          <w:sz w:val="24"/>
          <w:szCs w:val="24"/>
          <w:lang w:eastAsia="cs-CZ"/>
        </w:rPr>
        <w:t xml:space="preserve">zvýšení </w:t>
      </w:r>
      <w:r w:rsidR="00083866">
        <w:rPr>
          <w:rFonts w:asciiTheme="minorHAnsi" w:eastAsia="Times New Roman" w:hAnsiTheme="minorHAnsi"/>
          <w:sz w:val="24"/>
          <w:szCs w:val="24"/>
          <w:lang w:eastAsia="cs-CZ"/>
        </w:rPr>
        <w:t>prostředků na pl</w:t>
      </w:r>
      <w:r w:rsidR="001553F2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083866">
        <w:rPr>
          <w:rFonts w:asciiTheme="minorHAnsi" w:eastAsia="Times New Roman" w:hAnsiTheme="minorHAnsi"/>
          <w:sz w:val="24"/>
          <w:szCs w:val="24"/>
          <w:lang w:eastAsia="cs-CZ"/>
        </w:rPr>
        <w:t>ty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zaměstnanců ve školských zařízeních.</w:t>
      </w:r>
      <w:r w:rsidR="00D14A37" w:rsidRPr="00D14A3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F3A81BE" w14:textId="30CBCF33" w:rsidR="00D14A37" w:rsidRPr="002A49CD" w:rsidRDefault="00D14A37" w:rsidP="00D14A37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Pro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rok 2021 byl republikový normativ pro rodinnou skupinu dětského domova v ukazateli ONIV oproti roku 2020 výrazně </w:t>
      </w:r>
      <w:r w:rsidR="002E6812">
        <w:rPr>
          <w:rFonts w:asciiTheme="minorHAnsi" w:eastAsia="Times New Roman" w:hAnsiTheme="minorHAnsi"/>
          <w:sz w:val="24"/>
          <w:szCs w:val="24"/>
          <w:lang w:eastAsia="cs-CZ"/>
        </w:rPr>
        <w:t xml:space="preserve">a jednorázově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navýšen. Proto i toto zvýšení bylo předmětem podrobnější analýzy. </w:t>
      </w:r>
    </w:p>
    <w:p w14:paraId="754A46DC" w14:textId="55D0C812" w:rsidR="002A49CD" w:rsidRPr="002A49CD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Rok 2020 byl ovlivněn pandemií Co</w:t>
      </w:r>
      <w:r w:rsidR="004E1B74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id-19, v důsledku čehož došlo v některých školských zařízeních k meziročnímu poklesu jednotek výkonu rozhodných pro stanovení objemu finančních prostředků. Proto bylo doporučeno krajským úřadům na tuto situaci reagovat i při stanovení krajských normativů, tj. bylo doporučeno krajským úřadům, aby při rozpisu rozpočtu </w:t>
      </w:r>
      <w:proofErr w:type="spellStart"/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ÚSC na rok 2021 pro školská zařízení školního stravování nevyužívaly možnost stanovení opravného koeficientu podle §</w:t>
      </w:r>
      <w:r w:rsidR="000318F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4 odst. 5 vyhlášky a pro střediska volného času stanovily normativy na tzv. potencionálního klienta.</w:t>
      </w:r>
    </w:p>
    <w:p w14:paraId="75BE9DEB" w14:textId="78823B72" w:rsidR="002A49CD" w:rsidRPr="002A49CD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Krajské normativy dále slouží ke stanovení normativů pro soukromé a církevní školství. </w:t>
      </w:r>
      <w:r w:rsidR="0012007D">
        <w:rPr>
          <w:rFonts w:asciiTheme="minorHAnsi" w:eastAsia="Times New Roman" w:hAnsiTheme="minorHAnsi"/>
          <w:sz w:val="24"/>
          <w:szCs w:val="24"/>
          <w:lang w:eastAsia="cs-CZ"/>
        </w:rPr>
        <w:t>MŠMT</w:t>
      </w:r>
      <w:r w:rsidR="0012007D"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je povinno v souladu se zákonem č. 306/1999 Sb., o poskytování dotací soukromým školám, předškolním a školským zařízením, ve znění pozdějších předpisů, stanovit </w:t>
      </w:r>
      <w:r w:rsidR="005230FC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normativy 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i pro školská zařízení </w:t>
      </w:r>
      <w:r w:rsidR="005230FC" w:rsidRPr="005230FC">
        <w:rPr>
          <w:rFonts w:asciiTheme="minorHAnsi" w:eastAsia="Times New Roman" w:hAnsiTheme="minorHAnsi"/>
          <w:sz w:val="24"/>
          <w:szCs w:val="24"/>
          <w:lang w:eastAsia="cs-CZ"/>
        </w:rPr>
        <w:t>jako roční objem neinvestičních výdajů připadajících na 1 dítě, žáka či studenta ve srovnatelné školské službě</w:t>
      </w: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 xml:space="preserve">. Krajské normativy z roku 2021 budou použity pro stanovení normativů pro soukromá školská zařízení pro rok 2022. </w:t>
      </w:r>
    </w:p>
    <w:p w14:paraId="380FE68E" w14:textId="7360395A" w:rsidR="00073B3C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A49CD">
        <w:rPr>
          <w:rFonts w:asciiTheme="minorHAnsi" w:eastAsia="Times New Roman" w:hAnsiTheme="minorHAnsi"/>
          <w:sz w:val="24"/>
          <w:szCs w:val="24"/>
          <w:lang w:eastAsia="cs-CZ"/>
        </w:rPr>
        <w:t>Zdrojem dat pro porovnání jsou krajské normativy pro rok 2021, které krajské úřady zveřejňují na základě § 7 odst. 1 vyhlášky nejpozději 30 dnů od obdržení rozpisu rozpočtu z MŠMT. Číselné údaje v tomto materiálu jsou platné k 10. březnu 2021 a nezahrnují změny, ke kterým došlo případnými úpravami rozpisu rozpočtu v jednotlivých krajích v průběhu roku.</w:t>
      </w:r>
    </w:p>
    <w:p w14:paraId="4D851D24" w14:textId="5EB0371C" w:rsidR="002A49CD" w:rsidRDefault="002A49CD" w:rsidP="002A49CD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B8C755E" w14:textId="467F5F61" w:rsidR="003C2C97" w:rsidRPr="00AC15A8" w:rsidRDefault="003C2C97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C15A8">
        <w:rPr>
          <w:rFonts w:asciiTheme="minorHAnsi" w:eastAsia="Times New Roman" w:hAnsiTheme="minorHAnsi"/>
          <w:b/>
          <w:sz w:val="24"/>
          <w:szCs w:val="24"/>
          <w:lang w:eastAsia="cs-CZ"/>
        </w:rPr>
        <w:t>Školní stravování ve školních jídelnách</w:t>
      </w:r>
    </w:p>
    <w:p w14:paraId="275920B2" w14:textId="62FECF5C" w:rsidR="00892E67" w:rsidRDefault="00892E67" w:rsidP="00727D84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rajské normativy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školního stravování ve školních jídelnách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C05C4A">
        <w:rPr>
          <w:rFonts w:asciiTheme="minorHAnsi" w:eastAsia="Times New Roman" w:hAnsiTheme="minorHAnsi"/>
          <w:sz w:val="24"/>
          <w:szCs w:val="24"/>
          <w:lang w:eastAsia="cs-CZ"/>
        </w:rPr>
        <w:t>v MŠ, ZŠ, SŠ, KON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Pr="00C05C4A">
        <w:rPr>
          <w:rFonts w:asciiTheme="minorHAnsi" w:eastAsia="Times New Roman" w:hAnsiTheme="minorHAnsi"/>
          <w:sz w:val="24"/>
          <w:szCs w:val="24"/>
          <w:lang w:eastAsia="cs-CZ"/>
        </w:rPr>
        <w:t xml:space="preserve"> VOŠ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nastavily všechny kraj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jako </w:t>
      </w:r>
      <w:r w:rsidRPr="00D9510D">
        <w:rPr>
          <w:rFonts w:asciiTheme="minorHAnsi" w:eastAsiaTheme="minorHAnsi" w:hAnsiTheme="minorHAnsi" w:cstheme="minorHAnsi"/>
          <w:sz w:val="24"/>
          <w:szCs w:val="24"/>
        </w:rPr>
        <w:t xml:space="preserve">funkční závislosti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nebo </w:t>
      </w:r>
      <w:r w:rsidR="00B41D0C">
        <w:rPr>
          <w:rFonts w:asciiTheme="minorHAnsi" w:eastAsia="Times New Roman" w:hAnsiTheme="minorHAnsi"/>
          <w:sz w:val="24"/>
          <w:szCs w:val="24"/>
          <w:lang w:eastAsia="cs-CZ"/>
        </w:rPr>
        <w:t xml:space="preserve">jako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soubory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na sebe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spojitě navazujících funkčních závislostí</w:t>
      </w:r>
      <w:r w:rsidRPr="00D9510D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D8582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27D84">
        <w:rPr>
          <w:rFonts w:asciiTheme="minorHAnsi" w:eastAsiaTheme="minorHAnsi" w:hAnsiTheme="minorHAnsi" w:cstheme="minorHAnsi"/>
          <w:sz w:val="24"/>
          <w:szCs w:val="24"/>
        </w:rPr>
        <w:t>U celodenního stravování mají dva kraj</w:t>
      </w:r>
      <w:r w:rsidR="00594724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727D8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>(Karlovarsk</w:t>
      </w:r>
      <w:r w:rsidR="00594724">
        <w:rPr>
          <w:rFonts w:asciiTheme="minorHAnsi" w:eastAsiaTheme="minorHAnsi" w:hAnsiTheme="minorHAnsi" w:cstheme="minorHAnsi"/>
          <w:sz w:val="24"/>
          <w:szCs w:val="24"/>
        </w:rPr>
        <w:t>ého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 xml:space="preserve"> a Ústeck</w:t>
      </w:r>
      <w:r w:rsidR="00594724">
        <w:rPr>
          <w:rFonts w:asciiTheme="minorHAnsi" w:eastAsiaTheme="minorHAnsi" w:hAnsiTheme="minorHAnsi" w:cstheme="minorHAnsi"/>
          <w:sz w:val="24"/>
          <w:szCs w:val="24"/>
        </w:rPr>
        <w:t>ého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594724">
        <w:rPr>
          <w:rFonts w:asciiTheme="minorHAnsi" w:eastAsiaTheme="minorHAnsi" w:hAnsiTheme="minorHAnsi" w:cstheme="minorHAnsi"/>
          <w:sz w:val="24"/>
          <w:szCs w:val="24"/>
        </w:rPr>
        <w:t>e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>)</w:t>
      </w:r>
      <w:r w:rsidR="00727D84">
        <w:rPr>
          <w:rFonts w:asciiTheme="minorHAnsi" w:eastAsiaTheme="minorHAnsi" w:hAnsiTheme="minorHAnsi" w:cstheme="minorHAnsi"/>
          <w:sz w:val="24"/>
          <w:szCs w:val="24"/>
        </w:rPr>
        <w:t xml:space="preserve"> stanoveny normativy jedním normativem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 xml:space="preserve">, zbylé kraje mají normativy stanoveny jako funkční závislosti nebo </w:t>
      </w:r>
      <w:r w:rsidR="00D50105">
        <w:rPr>
          <w:rFonts w:asciiTheme="minorHAnsi" w:eastAsiaTheme="minorHAnsi" w:hAnsiTheme="minorHAnsi" w:cstheme="minorHAnsi"/>
          <w:sz w:val="24"/>
          <w:szCs w:val="24"/>
        </w:rPr>
        <w:t xml:space="preserve">jako </w:t>
      </w:r>
      <w:r w:rsidRPr="00F57515">
        <w:rPr>
          <w:rFonts w:asciiTheme="minorHAnsi" w:eastAsiaTheme="minorHAnsi" w:hAnsiTheme="minorHAnsi" w:cstheme="minorHAnsi"/>
          <w:sz w:val="24"/>
          <w:szCs w:val="24"/>
        </w:rPr>
        <w:t>soubory na sebe spojitě navazujících funkčních závislostí na výkonech.</w:t>
      </w:r>
    </w:p>
    <w:p w14:paraId="639720C6" w14:textId="5B6F4AAD" w:rsidR="00892E67" w:rsidRDefault="00892E67" w:rsidP="007C5121">
      <w:p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V ukazatelích N</w:t>
      </w:r>
      <w:r w:rsidRPr="007822E6">
        <w:rPr>
          <w:rFonts w:asciiTheme="minorHAnsi" w:eastAsiaTheme="minorHAnsi" w:hAnsiTheme="minorHAnsi" w:cstheme="minorHAnsi"/>
          <w:sz w:val="16"/>
          <w:szCs w:val="16"/>
        </w:rPr>
        <w:t>p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Pr="007822E6">
        <w:rPr>
          <w:rFonts w:asciiTheme="minorHAnsi" w:eastAsiaTheme="minorHAnsi" w:hAnsiTheme="minorHAnsi" w:cstheme="minorHAnsi"/>
          <w:sz w:val="16"/>
          <w:szCs w:val="16"/>
        </w:rPr>
        <w:t>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provedly některé kraj</w:t>
      </w:r>
      <w:r w:rsidR="00594724">
        <w:rPr>
          <w:rFonts w:asciiTheme="minorHAnsi" w:eastAsiaTheme="minorHAnsi" w:hAnsiTheme="minorHAnsi" w:cstheme="minorHAnsi"/>
          <w:sz w:val="24"/>
          <w:szCs w:val="24"/>
        </w:rPr>
        <w:t>ské úřady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drobné meziroční změny.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950DD">
        <w:rPr>
          <w:rFonts w:asciiTheme="minorHAnsi" w:eastAsia="Times New Roman" w:hAnsiTheme="minorHAnsi"/>
          <w:sz w:val="24"/>
          <w:szCs w:val="24"/>
          <w:lang w:eastAsia="cs-CZ"/>
        </w:rPr>
        <w:t>Do</w:t>
      </w:r>
      <w:r w:rsidR="000950DD"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</w:t>
      </w:r>
      <w:r w:rsidR="000950DD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0950DD"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pak </w:t>
      </w:r>
      <w:r w:rsidR="00BC3AED">
        <w:rPr>
          <w:rFonts w:asciiTheme="minorHAnsi" w:eastAsia="Times New Roman" w:hAnsiTheme="minorHAnsi"/>
          <w:sz w:val="24"/>
          <w:szCs w:val="24"/>
          <w:lang w:eastAsia="cs-CZ"/>
        </w:rPr>
        <w:t xml:space="preserve">zpravidla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>všechny kraj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promítly meziroční zvýšení 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prostředků na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>plat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BC3AED" w:rsidRPr="00BC3AED">
        <w:rPr>
          <w:rFonts w:asciiTheme="minorHAnsi" w:eastAsia="Times New Roman" w:hAnsiTheme="minorHAnsi"/>
          <w:sz w:val="24"/>
          <w:szCs w:val="24"/>
          <w:lang w:eastAsia="cs-CZ"/>
        </w:rPr>
        <w:t>V tomto ohledu se mírně vymy</w:t>
      </w:r>
      <w:r w:rsidR="006010CA">
        <w:rPr>
          <w:rFonts w:asciiTheme="minorHAnsi" w:eastAsia="Times New Roman" w:hAnsiTheme="minorHAnsi"/>
          <w:sz w:val="24"/>
          <w:szCs w:val="24"/>
          <w:lang w:eastAsia="cs-CZ"/>
        </w:rPr>
        <w:t>ká</w:t>
      </w:r>
      <w:r w:rsidR="00BC3AED" w:rsidRPr="00BC3AED">
        <w:rPr>
          <w:rFonts w:asciiTheme="minorHAnsi" w:eastAsia="Times New Roman" w:hAnsiTheme="minorHAnsi"/>
          <w:sz w:val="24"/>
          <w:szCs w:val="24"/>
          <w:lang w:eastAsia="cs-CZ"/>
        </w:rPr>
        <w:t xml:space="preserve"> Středočeský</w:t>
      </w:r>
      <w:r w:rsidR="00594724" w:rsidRPr="0059472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94724" w:rsidRPr="00BC3AED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BC3AED" w:rsidRPr="00BC3AED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 xml:space="preserve">ve kterém došlo k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>promítnu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tí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nižší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ho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meziroční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ho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zvýšení 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 xml:space="preserve">prostředků na platy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nepedagogických zaměstnanců (zvýšení o 3,6 %)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protože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 měl v roce </w:t>
      </w:r>
      <w:r w:rsid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2020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 xml:space="preserve">ve srovnání s ostatními kraji stanoven průměrný plat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vyšší, než je úroveň </w:t>
      </w:r>
      <w:r w:rsidR="00F31C79">
        <w:rPr>
          <w:rFonts w:asciiTheme="minorHAnsi" w:eastAsia="Times New Roman" w:hAnsiTheme="minorHAnsi"/>
          <w:sz w:val="24"/>
          <w:szCs w:val="24"/>
          <w:lang w:eastAsia="cs-CZ"/>
        </w:rPr>
        <w:t xml:space="preserve">celorepublikového </w:t>
      </w:r>
      <w:r w:rsidRPr="001425D0">
        <w:rPr>
          <w:rFonts w:asciiTheme="minorHAnsi" w:eastAsia="Times New Roman" w:hAnsiTheme="minorHAnsi"/>
          <w:sz w:val="24"/>
          <w:szCs w:val="24"/>
          <w:lang w:eastAsia="cs-CZ"/>
        </w:rPr>
        <w:t>průměr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u. </w:t>
      </w:r>
    </w:p>
    <w:p w14:paraId="02C14F63" w14:textId="5790B9B2" w:rsidR="00727D84" w:rsidRPr="007D5670" w:rsidRDefault="00727D84" w:rsidP="007C5121">
      <w:p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D5670">
        <w:rPr>
          <w:rFonts w:asciiTheme="minorHAnsi" w:eastAsia="Times New Roman" w:hAnsiTheme="minorHAnsi"/>
          <w:sz w:val="24"/>
          <w:szCs w:val="24"/>
          <w:lang w:eastAsia="cs-CZ"/>
        </w:rPr>
        <w:t>Při stanovení normativů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4" w:name="_Hlk84857593"/>
      <w:r>
        <w:rPr>
          <w:rFonts w:asciiTheme="minorHAnsi" w:eastAsia="Times New Roman" w:hAnsiTheme="minorHAnsi"/>
          <w:sz w:val="24"/>
          <w:szCs w:val="24"/>
          <w:lang w:eastAsia="cs-CZ"/>
        </w:rPr>
        <w:t>zohlednily kraj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MPZ </w:t>
      </w:r>
      <w:bookmarkEnd w:id="4"/>
      <w:r>
        <w:rPr>
          <w:rFonts w:asciiTheme="minorHAnsi" w:eastAsia="Times New Roman" w:hAnsiTheme="minorHAnsi"/>
          <w:sz w:val="24"/>
          <w:szCs w:val="24"/>
          <w:lang w:eastAsia="cs-CZ"/>
        </w:rPr>
        <w:t>různým způsobem. V některých případech všechny stanovené normativy splňují MPZ, v jiných případech je MPZ splněno od určitého počtu strávníků:</w:t>
      </w:r>
    </w:p>
    <w:p w14:paraId="2B6AEE9D" w14:textId="52A4E4CC" w:rsidR="00082679" w:rsidRDefault="00082679" w:rsidP="00727D84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Normativy pro s</w:t>
      </w:r>
      <w:r w:rsidR="00727D84" w:rsidRPr="00727D84">
        <w:rPr>
          <w:rFonts w:asciiTheme="minorHAnsi" w:eastAsia="Times New Roman" w:hAnsiTheme="minorHAnsi"/>
          <w:b/>
          <w:sz w:val="24"/>
          <w:szCs w:val="24"/>
          <w:lang w:eastAsia="cs-CZ"/>
        </w:rPr>
        <w:t>travování v mateřské škole</w:t>
      </w:r>
      <w:r w:rsidR="00727D84"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5F8620D" w14:textId="5AA38702" w:rsidR="00082679" w:rsidRDefault="00CB49AB" w:rsidP="00082679">
      <w:pPr>
        <w:pStyle w:val="Odstavecseseznamem"/>
        <w:tabs>
          <w:tab w:val="left" w:pos="360"/>
        </w:tabs>
        <w:spacing w:after="6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MPZ spln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ěn ve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čtyř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ech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594724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l. m. Praha, Jihočeský, Plzeňský, Moravskoslezský).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Ve z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byl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82679"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od počtu 23 stravovaných včetně,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nebo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od menšího počtu strávníků.</w:t>
      </w:r>
    </w:p>
    <w:p w14:paraId="4DA91CFD" w14:textId="767A7344" w:rsidR="00082679" w:rsidRDefault="00082679" w:rsidP="00727D84">
      <w:pPr>
        <w:pStyle w:val="Odstavecseseznamem"/>
        <w:numPr>
          <w:ilvl w:val="0"/>
          <w:numId w:val="37"/>
        </w:numPr>
        <w:tabs>
          <w:tab w:val="left" w:pos="360"/>
        </w:tabs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Normativy pro s</w:t>
      </w:r>
      <w:r w:rsidRPr="00082679">
        <w:rPr>
          <w:rFonts w:asciiTheme="minorHAnsi" w:eastAsia="Times New Roman" w:hAnsiTheme="minorHAnsi"/>
          <w:b/>
          <w:sz w:val="24"/>
          <w:szCs w:val="24"/>
          <w:lang w:eastAsia="cs-CZ"/>
        </w:rPr>
        <w:t>travovaní v základní škole</w:t>
      </w:r>
    </w:p>
    <w:p w14:paraId="4076AD42" w14:textId="6C0D34AC" w:rsidR="00C71E94" w:rsidRPr="00082679" w:rsidRDefault="008E3D02" w:rsidP="00082679">
      <w:pPr>
        <w:pStyle w:val="Odstavecseseznamem"/>
        <w:tabs>
          <w:tab w:val="left" w:pos="360"/>
        </w:tabs>
        <w:spacing w:after="6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MPZ 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ve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dv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ou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l. m. Praha, Moravskoslezský).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Ve z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byl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MPZ od počtu 25 stravovaných včetně,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nebo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od menšího počtu strávníků. </w:t>
      </w:r>
      <w:r w:rsidR="00CB49AB"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DCC2060" w14:textId="131A63FC" w:rsidR="00082679" w:rsidRDefault="00082679" w:rsidP="00727D84">
      <w:pPr>
        <w:pStyle w:val="Odstavecseseznamem"/>
        <w:numPr>
          <w:ilvl w:val="0"/>
          <w:numId w:val="37"/>
        </w:num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Normativy pro s</w:t>
      </w:r>
      <w:r w:rsidRPr="00727D84">
        <w:rPr>
          <w:rFonts w:asciiTheme="minorHAnsi" w:eastAsia="Times New Roman" w:hAnsiTheme="minorHAnsi"/>
          <w:b/>
          <w:sz w:val="24"/>
          <w:szCs w:val="24"/>
          <w:lang w:eastAsia="cs-CZ"/>
        </w:rPr>
        <w:t>travování ve střední škole, konzervatoři a vyšší odborné škole</w:t>
      </w:r>
    </w:p>
    <w:p w14:paraId="4DA30010" w14:textId="10023027" w:rsidR="00082679" w:rsidRDefault="00C71E94" w:rsidP="00082679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MPZ </w:t>
      </w:r>
      <w:proofErr w:type="gramStart"/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 ve</w:t>
      </w:r>
      <w:proofErr w:type="gramEnd"/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dv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ou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l. m. Praha, Moravskoslezský).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Ve z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byl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MPZ od počtu 26 stravovaných včetně,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nebo</w:t>
      </w:r>
      <w:r w:rsidRPr="00727D84">
        <w:rPr>
          <w:rFonts w:asciiTheme="minorHAnsi" w:eastAsia="Times New Roman" w:hAnsiTheme="minorHAnsi"/>
          <w:sz w:val="24"/>
          <w:szCs w:val="24"/>
          <w:lang w:eastAsia="cs-CZ"/>
        </w:rPr>
        <w:t xml:space="preserve"> od menšího počtu strávníků. </w:t>
      </w:r>
    </w:p>
    <w:p w14:paraId="37C92D02" w14:textId="38277534" w:rsidR="00082679" w:rsidRPr="00082679" w:rsidRDefault="00082679" w:rsidP="006D6FB8">
      <w:pPr>
        <w:pStyle w:val="Odstavecseseznamem"/>
        <w:numPr>
          <w:ilvl w:val="0"/>
          <w:numId w:val="37"/>
        </w:num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Normativy pro c</w:t>
      </w:r>
      <w:r w:rsidR="00CC5DC5" w:rsidRPr="00082679">
        <w:rPr>
          <w:rFonts w:asciiTheme="minorHAnsi" w:eastAsia="Times New Roman" w:hAnsiTheme="minorHAnsi"/>
          <w:b/>
          <w:sz w:val="24"/>
          <w:szCs w:val="24"/>
          <w:lang w:eastAsia="cs-CZ"/>
        </w:rPr>
        <w:t>elodenn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í</w:t>
      </w:r>
      <w:r w:rsidR="00CC5DC5" w:rsidRPr="0008267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stravovaní a celodenn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í</w:t>
      </w:r>
      <w:r w:rsidR="00CC5DC5" w:rsidRPr="00082679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stravovaní bez oběda</w:t>
      </w:r>
    </w:p>
    <w:p w14:paraId="6EFFEE18" w14:textId="3BAAF162" w:rsidR="00CC5DC5" w:rsidRPr="00082679" w:rsidRDefault="00CC5DC5" w:rsidP="00082679">
      <w:pPr>
        <w:pStyle w:val="Odstavecseseznamem"/>
        <w:spacing w:after="60" w:line="240" w:lineRule="auto"/>
        <w:ind w:left="720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MPZ </w:t>
      </w:r>
      <w:r w:rsidR="006047F5" w:rsidRPr="00082679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 ve</w:t>
      </w:r>
      <w:r w:rsidR="006047F5"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>čtyř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ech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(Jihočeský, Plzeňský, Karlovarský a Moravskoslezský).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Ve z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>byl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>spln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ěn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82679"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od počtu 30 stravovaných včetně, n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ebo</w:t>
      </w:r>
      <w:r w:rsidRPr="00082679">
        <w:rPr>
          <w:rFonts w:asciiTheme="minorHAnsi" w:eastAsia="Times New Roman" w:hAnsiTheme="minorHAnsi"/>
          <w:sz w:val="24"/>
          <w:szCs w:val="24"/>
          <w:lang w:eastAsia="cs-CZ"/>
        </w:rPr>
        <w:t xml:space="preserve"> od menšího počtu strávníků.</w:t>
      </w:r>
    </w:p>
    <w:p w14:paraId="1D1715D1" w14:textId="0D79D81D" w:rsidR="00900349" w:rsidRDefault="00900349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6647720" w14:textId="77777777" w:rsidR="00512C2B" w:rsidRDefault="00512C2B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4A37E1CA" w14:textId="796B1BD1" w:rsidR="00AC4912" w:rsidRDefault="001A5336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1A5336">
        <w:rPr>
          <w:rFonts w:asciiTheme="minorHAnsi" w:eastAsia="Times New Roman" w:hAnsiTheme="minorHAnsi"/>
          <w:b/>
          <w:sz w:val="24"/>
          <w:szCs w:val="24"/>
          <w:lang w:eastAsia="cs-CZ"/>
        </w:rPr>
        <w:t>Domovy mládeže</w:t>
      </w:r>
    </w:p>
    <w:p w14:paraId="0414FC6E" w14:textId="457916AA" w:rsidR="00D577E3" w:rsidRDefault="005649CF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>ubytovan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 xml:space="preserve"> žák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144FC" w:rsidRPr="00C05C4A">
        <w:rPr>
          <w:rFonts w:asciiTheme="minorHAnsi" w:eastAsia="Times New Roman" w:hAnsiTheme="minorHAnsi"/>
          <w:sz w:val="24"/>
          <w:szCs w:val="24"/>
          <w:lang w:eastAsia="cs-CZ"/>
        </w:rPr>
        <w:t>ZŠ, SŠ</w:t>
      </w:r>
      <w:r w:rsidR="00B144FC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B144FC" w:rsidRPr="00C05C4A">
        <w:rPr>
          <w:rFonts w:asciiTheme="minorHAnsi" w:eastAsia="Times New Roman" w:hAnsiTheme="minorHAnsi"/>
          <w:sz w:val="24"/>
          <w:szCs w:val="24"/>
          <w:lang w:eastAsia="cs-CZ"/>
        </w:rPr>
        <w:t xml:space="preserve"> KON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mají všechny kraj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normativy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stanoveny </w:t>
      </w:r>
      <w:r w:rsidR="00AB2BD4"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jako </w:t>
      </w:r>
      <w:r w:rsidR="00AB2BD4" w:rsidRPr="00D9510D">
        <w:rPr>
          <w:rFonts w:asciiTheme="minorHAnsi" w:eastAsiaTheme="minorHAnsi" w:hAnsiTheme="minorHAnsi" w:cstheme="minorHAnsi"/>
          <w:sz w:val="24"/>
          <w:szCs w:val="24"/>
        </w:rPr>
        <w:t>funkční závislost</w:t>
      </w:r>
      <w:r>
        <w:rPr>
          <w:rFonts w:asciiTheme="minorHAnsi" w:eastAsiaTheme="minorHAnsi" w:hAnsiTheme="minorHAnsi" w:cstheme="minorHAnsi"/>
          <w:sz w:val="24"/>
          <w:szCs w:val="24"/>
        </w:rPr>
        <w:t>, případně jako</w:t>
      </w:r>
      <w:r w:rsidR="00AB2BD4"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 xml:space="preserve">na sebe </w:t>
      </w:r>
      <w:r w:rsidR="00AB2BD4" w:rsidRPr="00D9510D">
        <w:rPr>
          <w:rFonts w:asciiTheme="minorHAnsi" w:eastAsia="Times New Roman" w:hAnsiTheme="minorHAnsi"/>
          <w:sz w:val="24"/>
          <w:szCs w:val="24"/>
          <w:lang w:eastAsia="cs-CZ"/>
        </w:rPr>
        <w:t>navazující funkční závislost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AB2BD4" w:rsidRPr="00D9510D">
        <w:rPr>
          <w:rFonts w:asciiTheme="minorHAnsi" w:eastAsiaTheme="minorHAnsi" w:hAnsiTheme="minorHAnsi" w:cstheme="minorHAnsi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Pro 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>ubytovan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AB2BD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A2FFC">
        <w:rPr>
          <w:rFonts w:asciiTheme="minorHAnsi" w:eastAsia="Times New Roman" w:hAnsiTheme="minorHAnsi"/>
          <w:sz w:val="24"/>
          <w:szCs w:val="24"/>
          <w:lang w:eastAsia="cs-CZ"/>
        </w:rPr>
        <w:t>student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4A2FF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701A3">
        <w:rPr>
          <w:rFonts w:asciiTheme="minorHAnsi" w:eastAsia="Times New Roman" w:hAnsiTheme="minorHAnsi"/>
          <w:sz w:val="24"/>
          <w:szCs w:val="24"/>
          <w:lang w:eastAsia="cs-CZ"/>
        </w:rPr>
        <w:t>VOŠ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>mají dva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>(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AB2BD4" w:rsidRPr="00825EF2">
        <w:rPr>
          <w:rFonts w:asciiTheme="minorHAnsi" w:eastAsia="Times New Roman" w:hAnsiTheme="minorHAnsi"/>
          <w:sz w:val="24"/>
          <w:szCs w:val="24"/>
          <w:lang w:eastAsia="cs-CZ"/>
        </w:rPr>
        <w:t>l.</w:t>
      </w:r>
      <w:r w:rsidR="00480FE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AB2BD4" w:rsidRPr="00825EF2">
        <w:rPr>
          <w:rFonts w:asciiTheme="minorHAnsi" w:eastAsia="Times New Roman" w:hAnsiTheme="minorHAnsi"/>
          <w:sz w:val="24"/>
          <w:szCs w:val="24"/>
          <w:lang w:eastAsia="cs-CZ"/>
        </w:rPr>
        <w:t>m. Praha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B2BD4">
        <w:rPr>
          <w:rFonts w:asciiTheme="minorHAnsi" w:eastAsiaTheme="minorHAnsi" w:hAnsiTheme="minorHAnsi" w:cstheme="minorHAnsi"/>
          <w:sz w:val="24"/>
          <w:szCs w:val="24"/>
        </w:rPr>
        <w:t xml:space="preserve">a 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>Karlovarský)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stanoven jeden normativ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ostatní 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>kraje mají normativy stanoveny jako funkční závislost</w:t>
      </w:r>
      <w:r>
        <w:rPr>
          <w:rFonts w:asciiTheme="minorHAnsi" w:eastAsiaTheme="minorHAnsi" w:hAnsiTheme="minorHAnsi" w:cstheme="minorHAnsi"/>
          <w:sz w:val="24"/>
          <w:szCs w:val="24"/>
        </w:rPr>
        <w:t>, případně jako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 xml:space="preserve"> na sebe navazující funkční závislost</w:t>
      </w:r>
      <w:r>
        <w:rPr>
          <w:rFonts w:asciiTheme="minorHAnsi" w:eastAsiaTheme="minorHAnsi" w:hAnsiTheme="minorHAnsi" w:cstheme="minorHAnsi"/>
          <w:sz w:val="24"/>
          <w:szCs w:val="24"/>
        </w:rPr>
        <w:t>i</w:t>
      </w:r>
      <w:r w:rsidR="00AB2BD4" w:rsidRPr="00F1502B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71B0F930" w14:textId="00D2D7A6" w:rsidR="0063528A" w:rsidRDefault="0063528A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V ukazatelích N</w:t>
      </w:r>
      <w:r w:rsidRPr="007822E6">
        <w:rPr>
          <w:rFonts w:asciiTheme="minorHAnsi" w:eastAsiaTheme="minorHAnsi" w:hAnsiTheme="minorHAnsi" w:cstheme="minorHAnsi"/>
          <w:sz w:val="16"/>
          <w:szCs w:val="16"/>
        </w:rPr>
        <w:t>p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Pr="007822E6">
        <w:rPr>
          <w:rFonts w:asciiTheme="minorHAnsi" w:eastAsiaTheme="minorHAnsi" w:hAnsiTheme="minorHAnsi" w:cstheme="minorHAnsi"/>
          <w:sz w:val="16"/>
          <w:szCs w:val="16"/>
        </w:rPr>
        <w:t>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provedly některé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drobné</w:t>
      </w:r>
      <w:r w:rsidR="00B569F0">
        <w:rPr>
          <w:rFonts w:asciiTheme="minorHAnsi" w:eastAsiaTheme="minorHAnsi" w:hAnsiTheme="minorHAnsi" w:cstheme="minorHAnsi"/>
          <w:sz w:val="24"/>
          <w:szCs w:val="24"/>
        </w:rPr>
        <w:t xml:space="preserve"> meziroční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změny</w:t>
      </w:r>
      <w:r w:rsidR="00D01C28">
        <w:rPr>
          <w:rFonts w:asciiTheme="minorHAnsi" w:eastAsiaTheme="minorHAnsi" w:hAnsiTheme="minorHAnsi" w:cstheme="minorHAnsi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46A18">
        <w:rPr>
          <w:rFonts w:asciiTheme="minorHAnsi" w:eastAsiaTheme="minorHAnsi" w:hAnsiTheme="minorHAnsi" w:cstheme="minorHAnsi"/>
          <w:sz w:val="24"/>
          <w:szCs w:val="24"/>
        </w:rPr>
        <w:t>Do </w:t>
      </w:r>
      <w:r w:rsidR="00DC668A">
        <w:rPr>
          <w:rFonts w:asciiTheme="minorHAnsi" w:eastAsiaTheme="minorHAnsi" w:hAnsiTheme="minorHAnsi" w:cstheme="minorHAnsi"/>
          <w:sz w:val="24"/>
          <w:szCs w:val="24"/>
        </w:rPr>
        <w:t xml:space="preserve">ukazatelů </w:t>
      </w:r>
      <w:r>
        <w:rPr>
          <w:rFonts w:asciiTheme="minorHAnsi" w:eastAsiaTheme="minorHAnsi" w:hAnsiTheme="minorHAnsi" w:cstheme="minorHAnsi"/>
          <w:sz w:val="24"/>
          <w:szCs w:val="24"/>
        </w:rPr>
        <w:t>P</w:t>
      </w:r>
      <w:r w:rsidRPr="008742DC">
        <w:rPr>
          <w:rFonts w:asciiTheme="minorHAnsi" w:eastAsiaTheme="minorHAnsi" w:hAnsiTheme="minorHAnsi" w:cstheme="minorHAnsi"/>
          <w:sz w:val="16"/>
          <w:szCs w:val="16"/>
        </w:rPr>
        <w:t>p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a P</w:t>
      </w:r>
      <w:r w:rsidRPr="008742DC">
        <w:rPr>
          <w:rFonts w:asciiTheme="minorHAnsi" w:eastAsiaTheme="minorHAnsi" w:hAnsiTheme="minorHAnsi" w:cstheme="minorHAnsi"/>
          <w:sz w:val="16"/>
          <w:szCs w:val="16"/>
        </w:rPr>
        <w:t>o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pak všechny kraje promítly meziroční zvýšení 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 xml:space="preserve">prostředků na </w:t>
      </w:r>
      <w:r>
        <w:rPr>
          <w:rFonts w:asciiTheme="minorHAnsi" w:eastAsiaTheme="minorHAnsi" w:hAnsiTheme="minorHAnsi" w:cstheme="minorHAnsi"/>
          <w:sz w:val="24"/>
          <w:szCs w:val="24"/>
        </w:rPr>
        <w:t>plat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y</w:t>
      </w:r>
      <w:r w:rsidR="00286417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>Pokud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je promítnuto 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 xml:space="preserve">v některém kraji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nižší meziroční zvýšení platů, 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>je to v případech, kdy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ský úřad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 xml:space="preserve"> měl v předchozím roce ve srovnání s ostatními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skými úřady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 xml:space="preserve"> stanoven průměrný plat na úrovni 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republikového 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>prů</w:t>
      </w:r>
      <w:r w:rsidR="00D5703D">
        <w:rPr>
          <w:rFonts w:asciiTheme="minorHAnsi" w:eastAsiaTheme="minorHAnsi" w:hAnsiTheme="minorHAnsi" w:cstheme="minorHAnsi"/>
          <w:sz w:val="24"/>
          <w:szCs w:val="24"/>
        </w:rPr>
        <w:t>měru, případně vyšší</w:t>
      </w:r>
      <w:r w:rsidR="00D22472"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4754B530" w14:textId="273ACF02" w:rsidR="00BF1D94" w:rsidRDefault="00BF1D94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1624450A" w14:textId="77777777" w:rsidR="00512C2B" w:rsidRDefault="00512C2B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5ACBBF96" w14:textId="39031BF7" w:rsidR="00BF1D94" w:rsidRDefault="00BF1D94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Internáty</w:t>
      </w:r>
    </w:p>
    <w:p w14:paraId="5581CA70" w14:textId="447FB591" w:rsidR="00BF1D94" w:rsidRDefault="00BF1D94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e 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šech k</w:t>
      </w:r>
      <w:r w:rsidRPr="00EE596E">
        <w:rPr>
          <w:rFonts w:asciiTheme="minorHAnsi" w:eastAsia="Times New Roman" w:hAnsiTheme="minorHAnsi"/>
          <w:sz w:val="24"/>
          <w:szCs w:val="24"/>
          <w:lang w:eastAsia="cs-CZ"/>
        </w:rPr>
        <w:t>raj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Pr="00EE596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(s výjimkou Karlovarského,</w:t>
      </w:r>
      <w:r w:rsidRPr="00EE596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který internáty nemá)</w:t>
      </w:r>
      <w:r w:rsidRPr="00EE596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047F5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stanoven jeden normativ.</w:t>
      </w:r>
      <w:r w:rsidRPr="00172AD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F400892" w14:textId="0B055B58" w:rsidR="00BF1D94" w:rsidRDefault="00BF1D94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36DF">
        <w:rPr>
          <w:rFonts w:asciiTheme="minorHAnsi" w:eastAsiaTheme="minorHAnsi" w:hAnsiTheme="minorHAnsi" w:cstheme="minorHAnsi"/>
          <w:sz w:val="24"/>
          <w:szCs w:val="24"/>
        </w:rPr>
        <w:t>V</w:t>
      </w:r>
      <w:r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ukazatelích N</w:t>
      </w:r>
      <w:r w:rsidRPr="00A227A3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Pr="00A227A3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provedly </w:t>
      </w:r>
      <w:r>
        <w:rPr>
          <w:rFonts w:asciiTheme="minorHAnsi" w:eastAsiaTheme="minorHAnsi" w:hAnsiTheme="minorHAnsi" w:cstheme="minorHAnsi"/>
          <w:sz w:val="24"/>
          <w:szCs w:val="24"/>
        </w:rPr>
        <w:t>tři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drobné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meziroční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změny</w:t>
      </w:r>
      <w:r w:rsidR="007C5121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A40E5">
        <w:rPr>
          <w:rFonts w:asciiTheme="minorHAnsi" w:eastAsiaTheme="minorHAnsi" w:hAnsiTheme="minorHAnsi" w:cstheme="minorHAnsi"/>
          <w:sz w:val="24"/>
          <w:szCs w:val="24"/>
        </w:rPr>
        <w:t>Do</w:t>
      </w:r>
      <w:r w:rsidR="001A40E5"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73619" w:rsidRPr="00C436DF">
        <w:rPr>
          <w:rFonts w:asciiTheme="minorHAnsi" w:eastAsiaTheme="minorHAnsi" w:hAnsiTheme="minorHAnsi" w:cstheme="minorHAnsi"/>
          <w:sz w:val="24"/>
          <w:szCs w:val="24"/>
        </w:rPr>
        <w:t>ukazatel</w:t>
      </w:r>
      <w:r w:rsidR="00780D9C">
        <w:rPr>
          <w:rFonts w:asciiTheme="minorHAnsi" w:eastAsiaTheme="minorHAnsi" w:hAnsiTheme="minorHAnsi" w:cstheme="minorHAnsi"/>
          <w:sz w:val="24"/>
          <w:szCs w:val="24"/>
        </w:rPr>
        <w:t>e</w:t>
      </w:r>
      <w:r w:rsidR="00473619"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P</w:t>
      </w:r>
      <w:r w:rsidRPr="00A227A3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všechny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promítly meziroční zvýšení 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 xml:space="preserve">prostředků na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plat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y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>, z toho sedm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ských úřadů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ukazatel P</w:t>
      </w:r>
      <w:r w:rsidR="006752CA" w:rsidRPr="00A227A3">
        <w:rPr>
          <w:rFonts w:asciiTheme="minorHAnsi" w:eastAsiaTheme="minorHAnsi" w:hAnsiTheme="minorHAnsi" w:cstheme="minorHAnsi"/>
          <w:sz w:val="16"/>
          <w:szCs w:val="16"/>
        </w:rPr>
        <w:t>p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zvýšil</w:t>
      </w:r>
      <w:r w:rsidR="00D01C28">
        <w:rPr>
          <w:rFonts w:asciiTheme="minorHAnsi" w:eastAsiaTheme="minorHAnsi" w:hAnsiTheme="minorHAnsi" w:cstheme="minorHAnsi"/>
          <w:sz w:val="24"/>
          <w:szCs w:val="24"/>
        </w:rPr>
        <w:t>o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o 10 až 14 %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>Jihočesk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e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pak o 19 %. </w:t>
      </w:r>
      <w:r w:rsidR="008855D3">
        <w:rPr>
          <w:rFonts w:asciiTheme="minorHAnsi" w:eastAsiaTheme="minorHAnsi" w:hAnsiTheme="minorHAnsi" w:cstheme="minorHAnsi"/>
          <w:sz w:val="24"/>
          <w:szCs w:val="24"/>
        </w:rPr>
        <w:t>Do</w:t>
      </w:r>
      <w:r w:rsidR="008855D3" w:rsidRPr="00C436DF">
        <w:rPr>
          <w:rFonts w:asciiTheme="minorHAnsi" w:eastAsiaTheme="minorHAnsi" w:hAnsiTheme="minorHAnsi" w:cstheme="minorHAnsi"/>
          <w:sz w:val="24"/>
          <w:szCs w:val="24"/>
        </w:rPr>
        <w:t xml:space="preserve"> ukazatel</w:t>
      </w:r>
      <w:r w:rsidR="00780D9C">
        <w:rPr>
          <w:rFonts w:asciiTheme="minorHAnsi" w:eastAsiaTheme="minorHAnsi" w:hAnsiTheme="minorHAnsi" w:cstheme="minorHAnsi"/>
          <w:sz w:val="24"/>
          <w:szCs w:val="24"/>
        </w:rPr>
        <w:t>e</w:t>
      </w:r>
      <w:r w:rsidR="008855D3"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P</w:t>
      </w:r>
      <w:r>
        <w:rPr>
          <w:rFonts w:asciiTheme="minorHAnsi" w:eastAsiaTheme="minorHAnsi" w:hAnsiTheme="minorHAnsi" w:cstheme="minorHAnsi"/>
          <w:sz w:val="16"/>
          <w:szCs w:val="16"/>
        </w:rPr>
        <w:t>o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všechny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(</w:t>
      </w:r>
      <w:r>
        <w:rPr>
          <w:rFonts w:asciiTheme="minorHAnsi" w:eastAsiaTheme="minorHAnsi" w:hAnsiTheme="minorHAnsi" w:cstheme="minorHAnsi"/>
          <w:sz w:val="24"/>
          <w:szCs w:val="24"/>
        </w:rPr>
        <w:t>kromě Jihomoravského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)</w:t>
      </w:r>
      <w:r w:rsidR="00D01C2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promítly meziroční zvýšení 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 xml:space="preserve">prostředků na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plat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y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>, z toho dva kraj</w:t>
      </w:r>
      <w:r w:rsidR="006047F5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provedly výrazné zvýšení (Liberecký o 17 %, Jihočeský o 18,6 %), a tím stanovily tento ukazatel nad průměrem ČR.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84155">
        <w:rPr>
          <w:rFonts w:asciiTheme="minorHAnsi" w:eastAsiaTheme="minorHAnsi" w:hAnsiTheme="minorHAnsi" w:cstheme="minorHAnsi"/>
          <w:sz w:val="24"/>
          <w:szCs w:val="24"/>
        </w:rPr>
        <w:t xml:space="preserve">V </w:t>
      </w:r>
      <w:r>
        <w:rPr>
          <w:rFonts w:asciiTheme="minorHAnsi" w:eastAsiaTheme="minorHAnsi" w:hAnsiTheme="minorHAnsi" w:cstheme="minorHAnsi"/>
          <w:sz w:val="24"/>
          <w:szCs w:val="24"/>
        </w:rPr>
        <w:t>Jihomoravsk</w:t>
      </w:r>
      <w:r w:rsidR="00284155">
        <w:rPr>
          <w:rFonts w:asciiTheme="minorHAnsi" w:eastAsiaTheme="minorHAnsi" w:hAnsiTheme="minorHAnsi" w:cstheme="minorHAnsi"/>
          <w:sz w:val="24"/>
          <w:szCs w:val="24"/>
        </w:rPr>
        <w:t>ém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284155">
        <w:rPr>
          <w:rFonts w:asciiTheme="minorHAnsi" w:eastAsiaTheme="minorHAnsi" w:hAnsiTheme="minorHAnsi" w:cstheme="minorHAnsi"/>
          <w:sz w:val="24"/>
          <w:szCs w:val="24"/>
        </w:rPr>
        <w:t>i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84155">
        <w:rPr>
          <w:rFonts w:asciiTheme="minorHAnsi" w:eastAsiaTheme="minorHAnsi" w:hAnsiTheme="minorHAnsi" w:cstheme="minorHAnsi"/>
          <w:sz w:val="24"/>
          <w:szCs w:val="24"/>
        </w:rPr>
        <w:t>by</w:t>
      </w:r>
      <w:r>
        <w:rPr>
          <w:rFonts w:asciiTheme="minorHAnsi" w:eastAsiaTheme="minorHAnsi" w:hAnsiTheme="minorHAnsi" w:cstheme="minorHAnsi"/>
          <w:sz w:val="24"/>
          <w:szCs w:val="24"/>
        </w:rPr>
        <w:t>l v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> </w:t>
      </w:r>
      <w:r>
        <w:rPr>
          <w:rFonts w:asciiTheme="minorHAnsi" w:eastAsiaTheme="minorHAnsi" w:hAnsiTheme="minorHAnsi" w:cstheme="minorHAnsi"/>
          <w:sz w:val="24"/>
          <w:szCs w:val="24"/>
        </w:rPr>
        <w:t>roce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2020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D23009">
        <w:rPr>
          <w:rFonts w:asciiTheme="minorHAnsi" w:eastAsiaTheme="minorHAnsi" w:hAnsiTheme="minorHAnsi" w:cstheme="minorHAnsi"/>
          <w:sz w:val="24"/>
          <w:szCs w:val="24"/>
        </w:rPr>
        <w:t>stanoven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tento ukazatel </w:t>
      </w:r>
      <w:r w:rsidRPr="00D23009">
        <w:rPr>
          <w:rFonts w:asciiTheme="minorHAnsi" w:eastAsiaTheme="minorHAnsi" w:hAnsiTheme="minorHAnsi" w:cstheme="minorHAnsi"/>
          <w:sz w:val="24"/>
          <w:szCs w:val="24"/>
        </w:rPr>
        <w:t>na</w:t>
      </w:r>
      <w:r>
        <w:rPr>
          <w:rFonts w:asciiTheme="minorHAnsi" w:eastAsiaTheme="minorHAnsi" w:hAnsiTheme="minorHAnsi" w:cstheme="minorHAnsi"/>
          <w:sz w:val="24"/>
          <w:szCs w:val="24"/>
        </w:rPr>
        <w:t>d</w:t>
      </w:r>
      <w:r w:rsidRPr="00D23009">
        <w:rPr>
          <w:rFonts w:asciiTheme="minorHAnsi" w:eastAsiaTheme="minorHAnsi" w:hAnsiTheme="minorHAnsi" w:cstheme="minorHAnsi"/>
          <w:sz w:val="24"/>
          <w:szCs w:val="24"/>
        </w:rPr>
        <w:t xml:space="preserve"> úrovn</w:t>
      </w:r>
      <w:r>
        <w:rPr>
          <w:rFonts w:asciiTheme="minorHAnsi" w:eastAsiaTheme="minorHAnsi" w:hAnsiTheme="minorHAnsi" w:cstheme="minorHAnsi"/>
          <w:sz w:val="24"/>
          <w:szCs w:val="24"/>
        </w:rPr>
        <w:t>í</w:t>
      </w:r>
      <w:r w:rsidRPr="00D23009">
        <w:rPr>
          <w:rFonts w:asciiTheme="minorHAnsi" w:eastAsiaTheme="minorHAnsi" w:hAnsiTheme="minorHAnsi" w:cstheme="minorHAnsi"/>
          <w:sz w:val="24"/>
          <w:szCs w:val="24"/>
        </w:rPr>
        <w:t xml:space="preserve"> průměru</w:t>
      </w:r>
      <w:r w:rsidR="006752CA">
        <w:rPr>
          <w:rFonts w:asciiTheme="minorHAnsi" w:eastAsiaTheme="minorHAnsi" w:hAnsiTheme="minorHAnsi" w:cstheme="minorHAnsi"/>
          <w:sz w:val="24"/>
          <w:szCs w:val="24"/>
        </w:rPr>
        <w:t xml:space="preserve"> ČR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>, nyní je na podprůměrné výši</w:t>
      </w:r>
      <w:r>
        <w:rPr>
          <w:rFonts w:asciiTheme="minorHAnsi" w:eastAsiaTheme="minorHAnsi" w:hAnsiTheme="minorHAnsi" w:cstheme="minorHAnsi"/>
          <w:sz w:val="24"/>
          <w:szCs w:val="24"/>
        </w:rPr>
        <w:t>.</w:t>
      </w:r>
    </w:p>
    <w:p w14:paraId="0E0B8894" w14:textId="087944C9" w:rsidR="00BF1D94" w:rsidRDefault="00BF1D94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F5096AE" w14:textId="77777777" w:rsidR="00512C2B" w:rsidRDefault="00512C2B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BB88779" w14:textId="035C3EDC" w:rsidR="004C433C" w:rsidRPr="00AB6507" w:rsidRDefault="004F65EC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B6507">
        <w:rPr>
          <w:rFonts w:asciiTheme="minorHAnsi" w:eastAsiaTheme="minorHAnsi" w:hAnsiTheme="minorHAnsi" w:cstheme="minorHAnsi"/>
          <w:b/>
          <w:sz w:val="24"/>
          <w:szCs w:val="24"/>
        </w:rPr>
        <w:t>Školní družiny</w:t>
      </w:r>
    </w:p>
    <w:p w14:paraId="34479534" w14:textId="4C6CBEA3" w:rsidR="005B14E6" w:rsidRDefault="005E4014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Jedenáct kraj</w:t>
      </w:r>
      <w:r w:rsidR="00795BD8">
        <w:rPr>
          <w:rFonts w:asciiTheme="minorHAnsi" w:eastAsia="Times New Roman" w:hAnsiTheme="minorHAnsi"/>
          <w:sz w:val="24"/>
          <w:szCs w:val="24"/>
          <w:lang w:eastAsia="cs-CZ"/>
        </w:rPr>
        <w:t>ských úřadů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má normativy nastaveny jednou hodnotou, zbylé mají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normativy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stanoveny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jako </w:t>
      </w:r>
      <w:r w:rsidRPr="00D9510D">
        <w:rPr>
          <w:rFonts w:asciiTheme="minorHAnsi" w:eastAsiaTheme="minorHAnsi" w:hAnsiTheme="minorHAnsi" w:cstheme="minorHAnsi"/>
          <w:sz w:val="24"/>
          <w:szCs w:val="24"/>
        </w:rPr>
        <w:t>funkční závislost</w:t>
      </w:r>
      <w:r>
        <w:rPr>
          <w:rFonts w:asciiTheme="minorHAnsi" w:eastAsiaTheme="minorHAnsi" w:hAnsiTheme="minorHAnsi" w:cstheme="minorHAnsi"/>
          <w:sz w:val="24"/>
          <w:szCs w:val="24"/>
        </w:rPr>
        <w:t>, případně jako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na sebe </w:t>
      </w:r>
      <w:r w:rsidRPr="00D9510D">
        <w:rPr>
          <w:rFonts w:asciiTheme="minorHAnsi" w:eastAsia="Times New Roman" w:hAnsiTheme="minorHAnsi"/>
          <w:sz w:val="24"/>
          <w:szCs w:val="24"/>
          <w:lang w:eastAsia="cs-CZ"/>
        </w:rPr>
        <w:t>navazující funkční závislost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D9510D">
        <w:rPr>
          <w:rFonts w:asciiTheme="minorHAnsi" w:eastAsiaTheme="minorHAnsi" w:hAnsiTheme="minorHAnsi" w:cstheme="minorHAnsi"/>
          <w:sz w:val="24"/>
          <w:szCs w:val="24"/>
        </w:rPr>
        <w:t>.</w:t>
      </w:r>
      <w:r w:rsidR="001E279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04E42809" w14:textId="1243F058" w:rsidR="005E4014" w:rsidRDefault="004F5E2D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 xml:space="preserve">Devět </w:t>
      </w:r>
      <w:r w:rsidR="001E2798">
        <w:rPr>
          <w:rFonts w:asciiTheme="minorHAnsi" w:eastAsiaTheme="minorHAnsi" w:hAnsiTheme="minorHAnsi" w:cstheme="minorHAnsi"/>
          <w:sz w:val="24"/>
          <w:szCs w:val="24"/>
        </w:rPr>
        <w:t>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ských úřad</w:t>
      </w:r>
      <w:r w:rsidR="001E2798">
        <w:rPr>
          <w:rFonts w:asciiTheme="minorHAnsi" w:eastAsiaTheme="minorHAnsi" w:hAnsiTheme="minorHAnsi" w:cstheme="minorHAnsi"/>
          <w:sz w:val="24"/>
          <w:szCs w:val="24"/>
        </w:rPr>
        <w:t>ů zachovalo stejný ukazatel N</w:t>
      </w:r>
      <w:r w:rsidR="001E2798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1E2798">
        <w:rPr>
          <w:rFonts w:asciiTheme="minorHAnsi" w:eastAsiaTheme="minorHAnsi" w:hAnsiTheme="minorHAnsi" w:cstheme="minorHAnsi"/>
          <w:sz w:val="24"/>
          <w:szCs w:val="24"/>
        </w:rPr>
        <w:t xml:space="preserve"> jako v loňském roce.</w:t>
      </w:r>
      <w:r w:rsidR="004B2318" w:rsidRPr="004B2318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Ve 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>Středočesk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ém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i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se 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>ukazatel N</w:t>
      </w:r>
      <w:r w:rsidR="00772332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772332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772332" w:rsidRPr="00B83475">
        <w:rPr>
          <w:rFonts w:asciiTheme="minorHAnsi" w:eastAsiaTheme="minorHAnsi" w:hAnsiTheme="minorHAnsi" w:cstheme="minorHAnsi"/>
          <w:sz w:val="24"/>
          <w:szCs w:val="24"/>
        </w:rPr>
        <w:t>meziročně</w:t>
      </w:r>
      <w:r w:rsidR="00772332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772332" w:rsidRPr="00B83475">
        <w:rPr>
          <w:rFonts w:asciiTheme="minorHAnsi" w:eastAsiaTheme="minorHAnsi" w:hAnsiTheme="minorHAnsi" w:cstheme="minorHAnsi"/>
          <w:sz w:val="24"/>
          <w:szCs w:val="24"/>
        </w:rPr>
        <w:t>mírně</w:t>
      </w:r>
      <w:r w:rsidR="00772332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772332" w:rsidRPr="00B83475">
        <w:rPr>
          <w:rFonts w:asciiTheme="minorHAnsi" w:eastAsiaTheme="minorHAnsi" w:hAnsiTheme="minorHAnsi" w:cstheme="minorHAnsi"/>
          <w:sz w:val="24"/>
          <w:szCs w:val="24"/>
        </w:rPr>
        <w:t>navýšil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(o necelé 1 %),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v 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>Pardubick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ém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i se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ukazatel N</w:t>
      </w:r>
      <w:r w:rsidR="00772332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772332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>sníž</w:t>
      </w:r>
      <w:r w:rsidR="00772332" w:rsidRPr="00F071BC">
        <w:rPr>
          <w:rFonts w:asciiTheme="minorHAnsi" w:eastAsiaTheme="minorHAnsi" w:hAnsiTheme="minorHAnsi" w:cstheme="minorHAnsi"/>
          <w:sz w:val="24"/>
          <w:szCs w:val="24"/>
        </w:rPr>
        <w:t>il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(o 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>12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 %),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v </w:t>
      </w:r>
      <w:r w:rsidR="00CE72AB" w:rsidRPr="00F27218">
        <w:rPr>
          <w:rFonts w:asciiTheme="minorHAnsi" w:eastAsia="Times New Roman" w:hAnsiTheme="minorHAnsi"/>
          <w:sz w:val="24"/>
          <w:szCs w:val="24"/>
          <w:lang w:eastAsia="cs-CZ"/>
        </w:rPr>
        <w:t>Moravskoslezsk</w:t>
      </w:r>
      <w:r w:rsidR="00795BD8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i se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 xml:space="preserve"> ukazatel N</w:t>
      </w:r>
      <w:r w:rsidR="00CE72AB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CE72AB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>sníž</w:t>
      </w:r>
      <w:r w:rsidR="00CE72AB" w:rsidRPr="00F071BC">
        <w:rPr>
          <w:rFonts w:asciiTheme="minorHAnsi" w:eastAsiaTheme="minorHAnsi" w:hAnsiTheme="minorHAnsi" w:cstheme="minorHAnsi"/>
          <w:sz w:val="24"/>
          <w:szCs w:val="24"/>
        </w:rPr>
        <w:t>il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 xml:space="preserve"> (o </w:t>
      </w:r>
      <w:r w:rsidR="00E5152C">
        <w:rPr>
          <w:rFonts w:asciiTheme="minorHAnsi" w:eastAsiaTheme="minorHAnsi" w:hAnsiTheme="minorHAnsi" w:cstheme="minorHAnsi"/>
          <w:sz w:val="24"/>
          <w:szCs w:val="24"/>
        </w:rPr>
        <w:t>72,2</w:t>
      </w:r>
      <w:r w:rsidR="00CE72AB">
        <w:rPr>
          <w:rFonts w:asciiTheme="minorHAnsi" w:eastAsiaTheme="minorHAnsi" w:hAnsiTheme="minorHAnsi" w:cstheme="minorHAnsi"/>
          <w:sz w:val="24"/>
          <w:szCs w:val="24"/>
        </w:rPr>
        <w:t xml:space="preserve"> %)</w:t>
      </w:r>
      <w:r w:rsidR="00E5152C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V h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l. m. Praha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se 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 xml:space="preserve">navýšil </w:t>
      </w:r>
      <w:r w:rsidR="00E5152C">
        <w:rPr>
          <w:rFonts w:asciiTheme="minorHAnsi" w:eastAsiaTheme="minorHAnsi" w:hAnsiTheme="minorHAnsi" w:cstheme="minorHAnsi"/>
          <w:sz w:val="24"/>
          <w:szCs w:val="24"/>
        </w:rPr>
        <w:t>ukazatel N</w:t>
      </w:r>
      <w:r w:rsidR="00E5152C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E5152C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772332">
        <w:rPr>
          <w:rFonts w:asciiTheme="minorHAnsi" w:eastAsiaTheme="minorHAnsi" w:hAnsiTheme="minorHAnsi" w:cstheme="minorHAnsi"/>
          <w:sz w:val="24"/>
          <w:szCs w:val="24"/>
        </w:rPr>
        <w:t>o 20</w:t>
      </w:r>
      <w:r w:rsidR="00E5152C">
        <w:rPr>
          <w:rFonts w:asciiTheme="minorHAnsi" w:eastAsiaTheme="minorHAnsi" w:hAnsiTheme="minorHAnsi" w:cstheme="minorHAnsi"/>
          <w:sz w:val="24"/>
          <w:szCs w:val="24"/>
        </w:rPr>
        <w:t xml:space="preserve">,4 až 20,7 % (ukazatel je v tomto </w:t>
      </w:r>
      <w:r w:rsidR="006E4647">
        <w:rPr>
          <w:rFonts w:asciiTheme="minorHAnsi" w:eastAsiaTheme="minorHAnsi" w:hAnsiTheme="minorHAnsi" w:cstheme="minorHAnsi"/>
          <w:sz w:val="24"/>
          <w:szCs w:val="24"/>
        </w:rPr>
        <w:t>kraji</w:t>
      </w:r>
      <w:r w:rsidR="00E5152C">
        <w:rPr>
          <w:rFonts w:asciiTheme="minorHAnsi" w:eastAsiaTheme="minorHAnsi" w:hAnsiTheme="minorHAnsi" w:cstheme="minorHAnsi"/>
          <w:sz w:val="24"/>
          <w:szCs w:val="24"/>
        </w:rPr>
        <w:t xml:space="preserve"> daný funkční závislostí).</w:t>
      </w:r>
      <w:r w:rsidR="00772332" w:rsidRPr="00B8347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 xml:space="preserve">Karlovarský kraj </w:t>
      </w:r>
      <w:r w:rsidR="00E91596" w:rsidRPr="00F071BC">
        <w:rPr>
          <w:rFonts w:asciiTheme="minorHAnsi" w:eastAsiaTheme="minorHAnsi" w:hAnsiTheme="minorHAnsi" w:cstheme="minorHAnsi"/>
          <w:sz w:val="24"/>
          <w:szCs w:val="24"/>
        </w:rPr>
        <w:t>navýšil</w:t>
      </w:r>
      <w:r w:rsidR="00E9159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>ukazatel N</w:t>
      </w:r>
      <w:r w:rsidR="005457D5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5457D5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763DC1">
        <w:rPr>
          <w:rFonts w:asciiTheme="minorHAnsi" w:eastAsiaTheme="minorHAnsi" w:hAnsiTheme="minorHAnsi" w:cstheme="minorHAnsi"/>
          <w:sz w:val="24"/>
          <w:szCs w:val="24"/>
        </w:rPr>
        <w:t xml:space="preserve">ze všech krajů nejvíce 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>(o</w:t>
      </w:r>
      <w:r w:rsidR="00763DC1">
        <w:rPr>
          <w:rFonts w:asciiTheme="minorHAnsi" w:eastAsiaTheme="minorHAnsi" w:hAnsiTheme="minorHAnsi" w:cstheme="minorHAnsi"/>
          <w:sz w:val="24"/>
          <w:szCs w:val="24"/>
        </w:rPr>
        <w:t> 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>1</w:t>
      </w:r>
      <w:r w:rsidR="00763DC1">
        <w:rPr>
          <w:rFonts w:asciiTheme="minorHAnsi" w:eastAsiaTheme="minorHAnsi" w:hAnsiTheme="minorHAnsi" w:cstheme="minorHAnsi"/>
          <w:sz w:val="24"/>
          <w:szCs w:val="24"/>
        </w:rPr>
        <w:t>00 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>%)</w:t>
      </w:r>
      <w:r w:rsidR="008302C4">
        <w:rPr>
          <w:rFonts w:asciiTheme="minorHAnsi" w:eastAsiaTheme="minorHAnsi" w:hAnsiTheme="minorHAnsi" w:cstheme="minorHAnsi"/>
          <w:sz w:val="24"/>
          <w:szCs w:val="24"/>
        </w:rPr>
        <w:t>.</w:t>
      </w:r>
      <w:r w:rsidR="005457D5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B2318" w:rsidRPr="00772332">
        <w:rPr>
          <w:rFonts w:asciiTheme="minorHAnsi" w:eastAsiaTheme="minorHAnsi" w:hAnsiTheme="minorHAnsi" w:cstheme="minorHAnsi"/>
          <w:sz w:val="24"/>
          <w:szCs w:val="24"/>
        </w:rPr>
        <w:t>V ukazateli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 xml:space="preserve"> P</w:t>
      </w:r>
      <w:r w:rsidR="004B2318" w:rsidRPr="008742DC">
        <w:rPr>
          <w:rFonts w:asciiTheme="minorHAnsi" w:eastAsiaTheme="minorHAnsi" w:hAnsiTheme="minorHAnsi" w:cstheme="minorHAnsi"/>
          <w:sz w:val="16"/>
          <w:szCs w:val="16"/>
        </w:rPr>
        <w:t>o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 xml:space="preserve"> pak </w:t>
      </w:r>
      <w:r w:rsidR="007A0162">
        <w:rPr>
          <w:rFonts w:asciiTheme="minorHAnsi" w:eastAsiaTheme="minorHAnsi" w:hAnsiTheme="minorHAnsi" w:cstheme="minorHAnsi"/>
          <w:sz w:val="24"/>
          <w:szCs w:val="24"/>
        </w:rPr>
        <w:t>dvanáct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ských úřadů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 xml:space="preserve"> promítl</w:t>
      </w:r>
      <w:r w:rsidR="009B602B">
        <w:rPr>
          <w:rFonts w:asciiTheme="minorHAnsi" w:eastAsiaTheme="minorHAnsi" w:hAnsiTheme="minorHAnsi" w:cstheme="minorHAnsi"/>
          <w:sz w:val="24"/>
          <w:szCs w:val="24"/>
        </w:rPr>
        <w:t>o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 xml:space="preserve"> meziroční zvýšení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prostředků na </w:t>
      </w:r>
      <w:r w:rsidR="004B2318">
        <w:rPr>
          <w:rFonts w:asciiTheme="minorHAnsi" w:eastAsiaTheme="minorHAnsi" w:hAnsiTheme="minorHAnsi" w:cstheme="minorHAnsi"/>
          <w:sz w:val="24"/>
          <w:szCs w:val="24"/>
        </w:rPr>
        <w:t>plat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y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>, z toho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>Ústeck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e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 zvýšil ukazatel P</w:t>
      </w:r>
      <w:r w:rsidR="005B14E6" w:rsidRPr="008742DC">
        <w:rPr>
          <w:rFonts w:asciiTheme="minorHAnsi" w:eastAsiaTheme="minorHAnsi" w:hAnsiTheme="minorHAnsi" w:cstheme="minorHAnsi"/>
          <w:sz w:val="16"/>
          <w:szCs w:val="16"/>
        </w:rPr>
        <w:t>o</w:t>
      </w:r>
      <w:r w:rsidR="00B304B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o 13,6 % a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>Pardubick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e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 xml:space="preserve"> o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> </w:t>
      </w:r>
      <w:r w:rsidR="005B14E6">
        <w:rPr>
          <w:rFonts w:asciiTheme="minorHAnsi" w:eastAsiaTheme="minorHAnsi" w:hAnsiTheme="minorHAnsi" w:cstheme="minorHAnsi"/>
          <w:sz w:val="24"/>
          <w:szCs w:val="24"/>
        </w:rPr>
        <w:t>21,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6 %.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>Královéhradeck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e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 ukazatel P</w:t>
      </w:r>
      <w:r w:rsidR="00BF1D94" w:rsidRPr="008742DC">
        <w:rPr>
          <w:rFonts w:asciiTheme="minorHAnsi" w:eastAsiaTheme="minorHAnsi" w:hAnsiTheme="minorHAnsi" w:cstheme="minorHAnsi"/>
          <w:sz w:val="16"/>
          <w:szCs w:val="16"/>
        </w:rPr>
        <w:t>o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 nezměnil, přičemž nedošlo ani ke změně ukazatele N</w:t>
      </w:r>
      <w:r w:rsidR="00BF1D94" w:rsidRPr="00A227A3">
        <w:rPr>
          <w:rFonts w:asciiTheme="minorHAnsi" w:eastAsiaTheme="minorHAnsi" w:hAnsiTheme="minorHAnsi" w:cstheme="minorHAnsi"/>
          <w:sz w:val="16"/>
          <w:szCs w:val="16"/>
        </w:rPr>
        <w:t>o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>, tedy normativ je ve stejné výši jako v roce 2020.</w:t>
      </w:r>
      <w:r w:rsidR="009B602B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9B602B">
        <w:rPr>
          <w:rFonts w:asciiTheme="minorHAnsi" w:eastAsiaTheme="minorHAnsi" w:hAnsiTheme="minorHAnsi" w:cstheme="minorHAnsi"/>
          <w:sz w:val="24"/>
          <w:szCs w:val="24"/>
        </w:rPr>
        <w:t>Jihomoravsk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9B602B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795BD8">
        <w:rPr>
          <w:rFonts w:asciiTheme="minorHAnsi" w:eastAsiaTheme="minorHAnsi" w:hAnsiTheme="minorHAnsi" w:cstheme="minorHAnsi"/>
          <w:sz w:val="24"/>
          <w:szCs w:val="24"/>
        </w:rPr>
        <w:t>e</w:t>
      </w:r>
      <w:r w:rsidR="000129B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8633C">
        <w:rPr>
          <w:rFonts w:asciiTheme="minorHAnsi" w:eastAsiaTheme="minorHAnsi" w:hAnsiTheme="minorHAnsi" w:cstheme="minorHAnsi"/>
          <w:sz w:val="24"/>
          <w:szCs w:val="24"/>
        </w:rPr>
        <w:t>ukazatel P</w:t>
      </w:r>
      <w:r w:rsidR="00A8633C" w:rsidRPr="00AB6507">
        <w:rPr>
          <w:rFonts w:asciiTheme="minorHAnsi" w:eastAsiaTheme="minorHAnsi" w:hAnsiTheme="minorHAnsi" w:cstheme="minorHAnsi"/>
          <w:sz w:val="16"/>
          <w:szCs w:val="16"/>
        </w:rPr>
        <w:t>o</w:t>
      </w:r>
      <w:r w:rsidR="00A8633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snížil </w:t>
      </w:r>
      <w:r w:rsidR="00A8633C">
        <w:rPr>
          <w:rFonts w:asciiTheme="minorHAnsi" w:eastAsiaTheme="minorHAnsi" w:hAnsiTheme="minorHAnsi" w:cstheme="minorHAnsi"/>
          <w:sz w:val="24"/>
          <w:szCs w:val="24"/>
        </w:rPr>
        <w:t>o</w:t>
      </w:r>
      <w:r w:rsidR="009B602B">
        <w:rPr>
          <w:rFonts w:asciiTheme="minorHAnsi" w:eastAsiaTheme="minorHAnsi" w:hAnsiTheme="minorHAnsi" w:cstheme="minorHAnsi"/>
          <w:sz w:val="24"/>
          <w:szCs w:val="24"/>
        </w:rPr>
        <w:t> </w:t>
      </w:r>
      <w:r w:rsidR="00A8633C">
        <w:rPr>
          <w:rFonts w:asciiTheme="minorHAnsi" w:eastAsiaTheme="minorHAnsi" w:hAnsiTheme="minorHAnsi" w:cstheme="minorHAnsi"/>
          <w:sz w:val="24"/>
          <w:szCs w:val="24"/>
        </w:rPr>
        <w:t xml:space="preserve">21,5 % 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>(v roce 2020 stanoven ukazatel P</w:t>
      </w:r>
      <w:r w:rsidR="00BF1D94" w:rsidRPr="00A227A3">
        <w:rPr>
          <w:rFonts w:asciiTheme="minorHAnsi" w:eastAsiaTheme="minorHAnsi" w:hAnsiTheme="minorHAnsi" w:cstheme="minorHAnsi"/>
          <w:sz w:val="16"/>
          <w:szCs w:val="16"/>
        </w:rPr>
        <w:t>o</w:t>
      </w:r>
      <w:r w:rsidR="00BF1D94">
        <w:rPr>
          <w:rFonts w:asciiTheme="minorHAnsi" w:eastAsiaTheme="minorHAnsi" w:hAnsiTheme="minorHAnsi" w:cstheme="minorHAnsi"/>
          <w:sz w:val="24"/>
          <w:szCs w:val="24"/>
        </w:rPr>
        <w:t xml:space="preserve"> druhý nejvyšší v ČR, v roce 2021 je druhý nejnižší)</w:t>
      </w:r>
      <w:r w:rsidR="000129B3">
        <w:rPr>
          <w:rFonts w:asciiTheme="minorHAnsi" w:eastAsiaTheme="minorHAnsi" w:hAnsiTheme="minorHAnsi" w:cstheme="minorHAnsi"/>
          <w:sz w:val="24"/>
          <w:szCs w:val="24"/>
        </w:rPr>
        <w:t>.</w:t>
      </w:r>
      <w:r w:rsidR="008B406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C63DC8B" w14:textId="793665AE" w:rsidR="007E4119" w:rsidRDefault="007E4119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D290B13" w14:textId="7A9A91BE" w:rsidR="001244E0" w:rsidRDefault="001244E0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9308FA"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Školní kluby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</w:t>
      </w:r>
    </w:p>
    <w:p w14:paraId="1AFF5A41" w14:textId="56ABD614" w:rsidR="00870788" w:rsidRDefault="008C1379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Dva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 mají </w:t>
      </w:r>
      <w:r w:rsidR="00302F04">
        <w:rPr>
          <w:rFonts w:asciiTheme="minorHAnsi" w:eastAsia="Times New Roman" w:hAnsiTheme="minorHAnsi"/>
          <w:sz w:val="24"/>
          <w:szCs w:val="24"/>
          <w:lang w:eastAsia="cs-CZ"/>
        </w:rPr>
        <w:t xml:space="preserve">pro účastníky 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stanoven </w:t>
      </w:r>
      <w:r w:rsidR="00302F04">
        <w:rPr>
          <w:rFonts w:asciiTheme="minorHAnsi" w:eastAsia="Times New Roman" w:hAnsiTheme="minorHAnsi"/>
          <w:sz w:val="24"/>
          <w:szCs w:val="24"/>
          <w:lang w:eastAsia="cs-CZ"/>
        </w:rPr>
        <w:t xml:space="preserve">jeden 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(Jihočeský a</w:t>
      </w:r>
      <w:r w:rsidR="009C5C2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Karlovarský),</w:t>
      </w:r>
      <w:r w:rsidRPr="008C2D4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170BF">
        <w:rPr>
          <w:rFonts w:asciiTheme="minorHAnsi" w:eastAsia="Times New Roman" w:hAnsiTheme="minorHAnsi"/>
          <w:sz w:val="24"/>
          <w:szCs w:val="24"/>
          <w:lang w:eastAsia="cs-CZ"/>
        </w:rPr>
        <w:t>ostatní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="007552AA">
        <w:rPr>
          <w:rFonts w:asciiTheme="minorHAnsi" w:eastAsia="Times New Roman" w:hAnsiTheme="minorHAnsi"/>
          <w:sz w:val="24"/>
          <w:szCs w:val="24"/>
          <w:lang w:eastAsia="cs-CZ"/>
        </w:rPr>
        <w:t xml:space="preserve"> m</w:t>
      </w:r>
      <w:r w:rsidR="00D96854">
        <w:rPr>
          <w:rFonts w:asciiTheme="minorHAnsi" w:eastAsia="Times New Roman" w:hAnsiTheme="minorHAnsi"/>
          <w:sz w:val="24"/>
          <w:szCs w:val="24"/>
          <w:lang w:eastAsia="cs-CZ"/>
        </w:rPr>
        <w:t>ají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normativy pro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školní kluby</w:t>
      </w:r>
      <w:r w:rsidRPr="00422F59">
        <w:rPr>
          <w:rFonts w:asciiTheme="minorHAnsi" w:eastAsia="Times New Roman" w:hAnsiTheme="minorHAnsi"/>
          <w:sz w:val="24"/>
          <w:szCs w:val="24"/>
          <w:lang w:eastAsia="cs-CZ"/>
        </w:rPr>
        <w:t xml:space="preserve"> stanoveny jako funkční závislost</w:t>
      </w:r>
      <w:r w:rsidR="00BA444C" w:rsidRPr="00BA444C">
        <w:rPr>
          <w:rFonts w:asciiTheme="minorHAnsi" w:eastAsia="Times New Roman" w:hAnsiTheme="minorHAnsi"/>
          <w:sz w:val="24"/>
          <w:szCs w:val="24"/>
          <w:lang w:eastAsia="cs-CZ"/>
        </w:rPr>
        <w:t>, případně jako na sebe navazující funkční závislosti.</w:t>
      </w:r>
      <w:r w:rsidR="004D6AF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DED4434" w14:textId="67D49A41" w:rsidR="002A7259" w:rsidRDefault="002B14B2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436DF">
        <w:rPr>
          <w:rFonts w:asciiTheme="minorHAnsi" w:eastAsiaTheme="minorHAnsi" w:hAnsiTheme="minorHAnsi" w:cstheme="minorHAnsi"/>
          <w:sz w:val="24"/>
          <w:szCs w:val="24"/>
        </w:rPr>
        <w:t>V</w:t>
      </w:r>
      <w:r>
        <w:rPr>
          <w:rFonts w:asciiTheme="minorHAnsi" w:eastAsiaTheme="minorHAnsi" w:hAnsiTheme="minorHAnsi" w:cstheme="minorHAnsi"/>
          <w:sz w:val="24"/>
          <w:szCs w:val="24"/>
        </w:rPr>
        <w:t> 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ukazatelích N</w:t>
      </w:r>
      <w:r w:rsidRPr="00692D5B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Pr="00692D5B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provedly některé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meziroční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změny</w:t>
      </w:r>
      <w:r w:rsidR="00CC472B">
        <w:rPr>
          <w:rFonts w:asciiTheme="minorHAnsi" w:eastAsiaTheme="minorHAnsi" w:hAnsiTheme="minorHAnsi" w:cstheme="minorHAnsi"/>
          <w:sz w:val="24"/>
          <w:szCs w:val="24"/>
        </w:rPr>
        <w:t>.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 Snížení ukazatele </w:t>
      </w:r>
      <w:r w:rsidR="00A3721C"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="00015CA9">
        <w:rPr>
          <w:rFonts w:asciiTheme="minorHAnsi" w:eastAsiaTheme="minorHAnsi" w:hAnsiTheme="minorHAnsi" w:cstheme="minorHAnsi"/>
          <w:sz w:val="16"/>
          <w:szCs w:val="16"/>
        </w:rPr>
        <w:t>p</w:t>
      </w:r>
      <w:r w:rsidR="00A3721C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A3721C" w:rsidRPr="00DF1C28">
        <w:rPr>
          <w:rFonts w:asciiTheme="minorHAnsi" w:eastAsiaTheme="minorHAnsi" w:hAnsiTheme="minorHAnsi" w:cstheme="minorHAnsi"/>
          <w:sz w:val="24"/>
          <w:szCs w:val="24"/>
        </w:rPr>
        <w:t>oproti loňskému roku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 provedly </w:t>
      </w:r>
      <w:r w:rsidR="006F0DC5">
        <w:rPr>
          <w:rFonts w:asciiTheme="minorHAnsi" w:eastAsiaTheme="minorHAnsi" w:hAnsiTheme="minorHAnsi" w:cstheme="minorHAnsi"/>
          <w:sz w:val="24"/>
          <w:szCs w:val="24"/>
        </w:rPr>
        <w:t>t</w:t>
      </w:r>
      <w:r w:rsidR="007637A8">
        <w:rPr>
          <w:rFonts w:asciiTheme="minorHAnsi" w:eastAsiaTheme="minorHAnsi" w:hAnsiTheme="minorHAnsi" w:cstheme="minorHAnsi"/>
          <w:sz w:val="24"/>
          <w:szCs w:val="24"/>
        </w:rPr>
        <w:t>ři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, </w:t>
      </w:r>
      <w:r w:rsidR="006F0DC5">
        <w:rPr>
          <w:rFonts w:asciiTheme="minorHAnsi" w:eastAsiaTheme="minorHAnsi" w:hAnsiTheme="minorHAnsi" w:cstheme="minorHAnsi"/>
          <w:sz w:val="24"/>
          <w:szCs w:val="24"/>
        </w:rPr>
        <w:t>dva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 xml:space="preserve"> ukazatel </w:t>
      </w:r>
      <w:proofErr w:type="spellStart"/>
      <w:r w:rsidR="00A3721C"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="006F0DC5" w:rsidRPr="000963F6">
        <w:rPr>
          <w:rFonts w:asciiTheme="minorHAnsi" w:eastAsiaTheme="minorHAnsi" w:hAnsiTheme="minorHAnsi" w:cstheme="minorHAnsi"/>
          <w:sz w:val="16"/>
          <w:szCs w:val="16"/>
        </w:rPr>
        <w:t>p</w:t>
      </w:r>
      <w:proofErr w:type="spellEnd"/>
      <w:r w:rsidR="00A3721C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A3721C">
        <w:rPr>
          <w:rFonts w:asciiTheme="minorHAnsi" w:eastAsiaTheme="minorHAnsi" w:hAnsiTheme="minorHAnsi" w:cstheme="minorHAnsi"/>
          <w:sz w:val="24"/>
          <w:szCs w:val="24"/>
        </w:rPr>
        <w:t>navýšil</w:t>
      </w:r>
      <w:r w:rsidR="001F06D1">
        <w:rPr>
          <w:rFonts w:asciiTheme="minorHAnsi" w:eastAsiaTheme="minorHAnsi" w:hAnsiTheme="minorHAnsi" w:cstheme="minorHAnsi"/>
          <w:sz w:val="24"/>
          <w:szCs w:val="24"/>
        </w:rPr>
        <w:t xml:space="preserve">y pro </w:t>
      </w:r>
      <w:r w:rsidR="00556174">
        <w:rPr>
          <w:rFonts w:asciiTheme="minorHAnsi" w:eastAsiaTheme="minorHAnsi" w:hAnsiTheme="minorHAnsi" w:cstheme="minorHAnsi"/>
          <w:sz w:val="24"/>
          <w:szCs w:val="24"/>
        </w:rPr>
        <w:t>určité</w:t>
      </w:r>
      <w:r w:rsidR="001F06D1">
        <w:rPr>
          <w:rFonts w:asciiTheme="minorHAnsi" w:eastAsiaTheme="minorHAnsi" w:hAnsiTheme="minorHAnsi" w:cstheme="minorHAnsi"/>
          <w:sz w:val="24"/>
          <w:szCs w:val="24"/>
        </w:rPr>
        <w:t xml:space="preserve"> jednotky výkonu</w:t>
      </w:r>
      <w:r w:rsidR="00A3721C" w:rsidRPr="00FA458E">
        <w:rPr>
          <w:rFonts w:asciiTheme="minorHAnsi" w:eastAsiaTheme="minorHAnsi" w:hAnsiTheme="minorHAnsi" w:cstheme="minorHAnsi"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>S</w:t>
      </w:r>
      <w:r>
        <w:rPr>
          <w:rFonts w:asciiTheme="minorHAnsi" w:eastAsiaTheme="minorHAnsi" w:hAnsiTheme="minorHAnsi" w:cstheme="minorHAnsi"/>
          <w:sz w:val="24"/>
          <w:szCs w:val="24"/>
        </w:rPr>
        <w:t>nížení ukazatel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>e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Pr="00692D5B">
        <w:rPr>
          <w:rFonts w:asciiTheme="minorHAnsi" w:eastAsiaTheme="minorHAnsi" w:hAnsiTheme="minorHAnsi" w:cstheme="minorHAnsi"/>
          <w:sz w:val="16"/>
          <w:szCs w:val="16"/>
        </w:rPr>
        <w:t>o</w:t>
      </w:r>
      <w:r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Pr="00DF1C28">
        <w:rPr>
          <w:rFonts w:asciiTheme="minorHAnsi" w:eastAsiaTheme="minorHAnsi" w:hAnsiTheme="minorHAnsi" w:cstheme="minorHAnsi"/>
          <w:sz w:val="24"/>
          <w:szCs w:val="24"/>
        </w:rPr>
        <w:t>oproti loňskému roku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 xml:space="preserve"> provedly dva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>, jeden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ský úřad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 xml:space="preserve"> ukazatel </w:t>
      </w:r>
      <w:r w:rsidR="00183ACF"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="00183ACF" w:rsidRPr="00692D5B">
        <w:rPr>
          <w:rFonts w:asciiTheme="minorHAnsi" w:eastAsiaTheme="minorHAnsi" w:hAnsiTheme="minorHAnsi" w:cstheme="minorHAnsi"/>
          <w:sz w:val="16"/>
          <w:szCs w:val="16"/>
        </w:rPr>
        <w:t>o</w:t>
      </w:r>
      <w:r w:rsidR="00183ACF">
        <w:rPr>
          <w:rFonts w:asciiTheme="minorHAnsi" w:eastAsiaTheme="minorHAnsi" w:hAnsiTheme="minorHAnsi" w:cstheme="minorHAnsi"/>
          <w:sz w:val="16"/>
          <w:szCs w:val="16"/>
        </w:rPr>
        <w:t xml:space="preserve"> </w:t>
      </w:r>
      <w:r w:rsidR="00183ACF">
        <w:rPr>
          <w:rFonts w:asciiTheme="minorHAnsi" w:eastAsiaTheme="minorHAnsi" w:hAnsiTheme="minorHAnsi" w:cstheme="minorHAnsi"/>
          <w:sz w:val="24"/>
          <w:szCs w:val="24"/>
        </w:rPr>
        <w:t>navýšil</w:t>
      </w:r>
      <w:r w:rsidRPr="00FA458E">
        <w:rPr>
          <w:rFonts w:asciiTheme="minorHAnsi" w:eastAsiaTheme="minorHAnsi" w:hAnsiTheme="minorHAnsi" w:cstheme="minorHAnsi"/>
          <w:sz w:val="24"/>
          <w:szCs w:val="24"/>
        </w:rPr>
        <w:t>.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bookmarkStart w:id="5" w:name="_Hlk82527266"/>
      <w:r w:rsidR="00E27D53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9068B7" w:rsidRPr="00941AA6">
        <w:rPr>
          <w:rFonts w:asciiTheme="minorHAnsi" w:eastAsia="Times New Roman" w:hAnsiTheme="minorHAnsi"/>
          <w:sz w:val="24"/>
          <w:szCs w:val="24"/>
          <w:lang w:eastAsia="cs-CZ"/>
        </w:rPr>
        <w:t>Středočesk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9068B7" w:rsidRPr="00941AA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>stanov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il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AB6507">
        <w:rPr>
          <w:rFonts w:asciiTheme="minorHAnsi" w:eastAsia="Times New Roman" w:hAnsiTheme="minorHAnsi"/>
          <w:sz w:val="24"/>
          <w:szCs w:val="24"/>
          <w:lang w:eastAsia="cs-CZ"/>
        </w:rPr>
        <w:t xml:space="preserve">jen </w:t>
      </w:r>
      <w:r w:rsidR="009068B7">
        <w:rPr>
          <w:rFonts w:cstheme="minorHAnsi"/>
          <w:bCs/>
          <w:sz w:val="24"/>
          <w:szCs w:val="24"/>
        </w:rPr>
        <w:t xml:space="preserve">ukazatel </w:t>
      </w:r>
      <w:proofErr w:type="spellStart"/>
      <w:r w:rsidR="009068B7" w:rsidRPr="00752C4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AB6507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proofErr w:type="spellEnd"/>
      <w:r w:rsidR="009068B7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.</w:t>
      </w:r>
      <w:r w:rsidR="009068B7">
        <w:rPr>
          <w:rFonts w:cstheme="minorHAnsi"/>
          <w:bCs/>
          <w:sz w:val="24"/>
          <w:szCs w:val="24"/>
        </w:rPr>
        <w:t xml:space="preserve"> Dvanáct kraj</w:t>
      </w:r>
      <w:r w:rsidR="00E27D53">
        <w:rPr>
          <w:rFonts w:cstheme="minorHAnsi"/>
          <w:bCs/>
          <w:sz w:val="24"/>
          <w:szCs w:val="24"/>
        </w:rPr>
        <w:t>ských úřad</w:t>
      </w:r>
      <w:r w:rsidR="009068B7">
        <w:rPr>
          <w:rFonts w:cstheme="minorHAnsi"/>
          <w:bCs/>
          <w:sz w:val="24"/>
          <w:szCs w:val="24"/>
        </w:rPr>
        <w:t>ů</w:t>
      </w:r>
      <w:r w:rsidR="00C858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>zvý</w:t>
      </w:r>
      <w:r w:rsidR="00C858FE">
        <w:rPr>
          <w:rFonts w:asciiTheme="minorHAnsi" w:eastAsiaTheme="minorHAnsi" w:hAnsiTheme="minorHAnsi" w:cstheme="minorHAnsi"/>
          <w:sz w:val="24"/>
          <w:szCs w:val="24"/>
        </w:rPr>
        <w:t>šil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>o</w:t>
      </w:r>
      <w:r w:rsidR="00C858FE">
        <w:rPr>
          <w:rFonts w:asciiTheme="minorHAnsi" w:eastAsiaTheme="minorHAnsi" w:hAnsiTheme="minorHAnsi" w:cstheme="minorHAnsi"/>
          <w:sz w:val="24"/>
          <w:szCs w:val="24"/>
        </w:rPr>
        <w:t xml:space="preserve"> ukazatel P</w:t>
      </w:r>
      <w:r w:rsidR="00C858FE" w:rsidRPr="00044BF0">
        <w:rPr>
          <w:rFonts w:asciiTheme="minorHAnsi" w:eastAsiaTheme="minorHAnsi" w:hAnsiTheme="minorHAnsi" w:cstheme="minorHAnsi"/>
          <w:sz w:val="16"/>
          <w:szCs w:val="16"/>
        </w:rPr>
        <w:t>p</w:t>
      </w:r>
      <w:r w:rsidR="00C858FE">
        <w:rPr>
          <w:rFonts w:asciiTheme="minorHAnsi" w:eastAsiaTheme="minorHAnsi" w:hAnsiTheme="minorHAnsi" w:cstheme="minorHAnsi"/>
          <w:sz w:val="24"/>
          <w:szCs w:val="24"/>
        </w:rPr>
        <w:t xml:space="preserve"> minimálně o 9 %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>.</w:t>
      </w:r>
      <w:r w:rsidR="00C858F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BA71C8">
        <w:rPr>
          <w:rFonts w:asciiTheme="minorHAnsi" w:eastAsiaTheme="minorHAnsi" w:hAnsiTheme="minorHAnsi" w:cstheme="minorHAnsi"/>
          <w:sz w:val="24"/>
          <w:szCs w:val="24"/>
        </w:rPr>
        <w:t>Karlovarsk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e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měl v roce 2020 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>ukazatel P</w:t>
      </w:r>
      <w:r w:rsidR="009068B7" w:rsidRPr="00A227A3">
        <w:rPr>
          <w:rFonts w:asciiTheme="minorHAnsi" w:eastAsiaTheme="minorHAnsi" w:hAnsiTheme="minorHAnsi" w:cstheme="minorHAnsi"/>
          <w:sz w:val="16"/>
          <w:szCs w:val="16"/>
        </w:rPr>
        <w:t>p</w:t>
      </w:r>
      <w:r w:rsidR="009068B7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nejvyšší, v roce 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 xml:space="preserve">2021 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jej zvýšil 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 xml:space="preserve">pouze 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o 3,3 %, i přesto má tento ukazatel v nadprůměrné výši. 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 xml:space="preserve">Krajský úřad </w:t>
      </w:r>
      <w:r w:rsidR="00BA71C8">
        <w:rPr>
          <w:rFonts w:asciiTheme="minorHAnsi" w:eastAsiaTheme="minorHAnsi" w:hAnsiTheme="minorHAnsi" w:cstheme="minorHAnsi"/>
          <w:sz w:val="24"/>
          <w:szCs w:val="24"/>
        </w:rPr>
        <w:t>Jihomoravsk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ého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e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 ukazatel P</w:t>
      </w:r>
      <w:r w:rsidR="002A7259" w:rsidRPr="00A227A3">
        <w:rPr>
          <w:rFonts w:asciiTheme="minorHAnsi" w:eastAsiaTheme="minorHAnsi" w:hAnsiTheme="minorHAnsi" w:cstheme="minorHAnsi"/>
          <w:sz w:val="16"/>
          <w:szCs w:val="16"/>
        </w:rPr>
        <w:t>p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 zvýšil o 7,4 %, má jej tak stejně jako v roce 2020 přibližně ve výši průměru v ČR</w:t>
      </w:r>
      <w:r w:rsidR="00BA71C8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701929">
        <w:rPr>
          <w:rFonts w:asciiTheme="minorHAnsi" w:eastAsiaTheme="minorHAnsi" w:hAnsiTheme="minorHAnsi" w:cstheme="minorHAnsi"/>
          <w:sz w:val="24"/>
          <w:szCs w:val="24"/>
        </w:rPr>
        <w:t>Všechny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70192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>navýši</w:t>
      </w:r>
      <w:r w:rsidR="007924CF">
        <w:rPr>
          <w:rFonts w:asciiTheme="minorHAnsi" w:eastAsiaTheme="minorHAnsi" w:hAnsiTheme="minorHAnsi" w:cstheme="minorHAnsi"/>
          <w:sz w:val="24"/>
          <w:szCs w:val="24"/>
        </w:rPr>
        <w:t>ly</w:t>
      </w:r>
      <w:r w:rsidR="0070192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70B8F">
        <w:rPr>
          <w:rFonts w:asciiTheme="minorHAnsi" w:eastAsiaTheme="minorHAnsi" w:hAnsiTheme="minorHAnsi" w:cstheme="minorHAnsi"/>
          <w:sz w:val="24"/>
          <w:szCs w:val="24"/>
        </w:rPr>
        <w:t xml:space="preserve">meziročně </w:t>
      </w:r>
      <w:r w:rsidR="00701929">
        <w:rPr>
          <w:rFonts w:asciiTheme="minorHAnsi" w:eastAsiaTheme="minorHAnsi" w:hAnsiTheme="minorHAnsi" w:cstheme="minorHAnsi"/>
          <w:sz w:val="24"/>
          <w:szCs w:val="24"/>
        </w:rPr>
        <w:t>ukazatel P</w:t>
      </w:r>
      <w:r w:rsidR="00701929" w:rsidRPr="00044BF0">
        <w:rPr>
          <w:rFonts w:asciiTheme="minorHAnsi" w:eastAsiaTheme="minorHAnsi" w:hAnsiTheme="minorHAnsi" w:cstheme="minorHAnsi"/>
          <w:sz w:val="16"/>
          <w:szCs w:val="16"/>
        </w:rPr>
        <w:t>o</w:t>
      </w:r>
      <w:r w:rsidR="0070192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7924CF">
        <w:rPr>
          <w:rFonts w:asciiTheme="minorHAnsi" w:eastAsiaTheme="minorHAnsi" w:hAnsiTheme="minorHAnsi" w:cstheme="minorHAnsi"/>
          <w:sz w:val="24"/>
          <w:szCs w:val="24"/>
        </w:rPr>
        <w:t>minimálně o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> </w:t>
      </w:r>
      <w:r w:rsidR="007924CF">
        <w:rPr>
          <w:rFonts w:asciiTheme="minorHAnsi" w:eastAsiaTheme="minorHAnsi" w:hAnsiTheme="minorHAnsi" w:cstheme="minorHAnsi"/>
          <w:sz w:val="24"/>
          <w:szCs w:val="24"/>
        </w:rPr>
        <w:t>4 %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>, dva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 xml:space="preserve">zvýšily 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>ukazatel P</w:t>
      </w:r>
      <w:r w:rsidR="00C807F9" w:rsidRPr="00044BF0">
        <w:rPr>
          <w:rFonts w:asciiTheme="minorHAnsi" w:eastAsiaTheme="minorHAnsi" w:hAnsiTheme="minorHAnsi" w:cstheme="minorHAnsi"/>
          <w:sz w:val="16"/>
          <w:szCs w:val="16"/>
        </w:rPr>
        <w:t>o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 xml:space="preserve"> vý</w:t>
      </w:r>
      <w:r w:rsidR="002A7259">
        <w:rPr>
          <w:rFonts w:asciiTheme="minorHAnsi" w:eastAsiaTheme="minorHAnsi" w:hAnsiTheme="minorHAnsi" w:cstheme="minorHAnsi"/>
          <w:sz w:val="24"/>
          <w:szCs w:val="24"/>
        </w:rPr>
        <w:t>razněji</w:t>
      </w:r>
      <w:r w:rsidR="00AF2C73">
        <w:rPr>
          <w:rFonts w:asciiTheme="minorHAnsi" w:eastAsiaTheme="minorHAnsi" w:hAnsiTheme="minorHAnsi" w:cstheme="minorHAnsi"/>
          <w:sz w:val="24"/>
          <w:szCs w:val="24"/>
        </w:rPr>
        <w:t xml:space="preserve"> (Karlovarský </w:t>
      </w:r>
      <w:r w:rsidR="00F6100E">
        <w:rPr>
          <w:rFonts w:asciiTheme="minorHAnsi" w:eastAsiaTheme="minorHAnsi" w:hAnsiTheme="minorHAnsi" w:cstheme="minorHAnsi"/>
          <w:sz w:val="24"/>
          <w:szCs w:val="24"/>
        </w:rPr>
        <w:t>o 13,6 %</w:t>
      </w:r>
      <w:r w:rsidR="006A233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AF2C73">
        <w:rPr>
          <w:rFonts w:asciiTheme="minorHAnsi" w:eastAsiaTheme="minorHAnsi" w:hAnsiTheme="minorHAnsi" w:cstheme="minorHAnsi"/>
          <w:sz w:val="24"/>
          <w:szCs w:val="24"/>
        </w:rPr>
        <w:t>a</w:t>
      </w:r>
      <w:r w:rsidR="006A233E">
        <w:rPr>
          <w:rFonts w:asciiTheme="minorHAnsi" w:eastAsiaTheme="minorHAnsi" w:hAnsiTheme="minorHAnsi" w:cstheme="minorHAnsi"/>
          <w:sz w:val="24"/>
          <w:szCs w:val="24"/>
        </w:rPr>
        <w:t> </w:t>
      </w:r>
      <w:r w:rsidR="00AF2C73">
        <w:rPr>
          <w:rFonts w:asciiTheme="minorHAnsi" w:eastAsiaTheme="minorHAnsi" w:hAnsiTheme="minorHAnsi" w:cstheme="minorHAnsi"/>
          <w:sz w:val="24"/>
          <w:szCs w:val="24"/>
        </w:rPr>
        <w:t xml:space="preserve">Pardubický </w:t>
      </w:r>
      <w:r w:rsidR="006A233E">
        <w:rPr>
          <w:rFonts w:asciiTheme="minorHAnsi" w:eastAsiaTheme="minorHAnsi" w:hAnsiTheme="minorHAnsi" w:cstheme="minorHAnsi"/>
          <w:sz w:val="24"/>
          <w:szCs w:val="24"/>
        </w:rPr>
        <w:t>o 21,6 %</w:t>
      </w:r>
      <w:r w:rsidR="00AF2C73">
        <w:rPr>
          <w:rFonts w:asciiTheme="minorHAnsi" w:eastAsiaTheme="minorHAnsi" w:hAnsiTheme="minorHAnsi" w:cstheme="minorHAnsi"/>
          <w:sz w:val="24"/>
          <w:szCs w:val="24"/>
        </w:rPr>
        <w:t>)</w:t>
      </w:r>
      <w:r w:rsidR="00C807F9">
        <w:rPr>
          <w:rFonts w:asciiTheme="minorHAnsi" w:eastAsiaTheme="minorHAnsi" w:hAnsiTheme="minorHAnsi" w:cstheme="minorHAnsi"/>
          <w:sz w:val="24"/>
          <w:szCs w:val="24"/>
        </w:rPr>
        <w:t>.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 xml:space="preserve"> Oba tyto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 xml:space="preserve"> měly v loňském roce stanoveny </w:t>
      </w:r>
      <w:r w:rsidR="00E91130" w:rsidRPr="00E91130">
        <w:rPr>
          <w:rFonts w:asciiTheme="minorHAnsi" w:eastAsiaTheme="minorHAnsi" w:hAnsiTheme="minorHAnsi" w:cstheme="minorHAnsi"/>
          <w:sz w:val="24"/>
          <w:szCs w:val="24"/>
        </w:rPr>
        <w:t>průměrn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>é</w:t>
      </w:r>
      <w:r w:rsidR="00E91130" w:rsidRPr="00E91130">
        <w:rPr>
          <w:rFonts w:asciiTheme="minorHAnsi" w:eastAsiaTheme="minorHAnsi" w:hAnsiTheme="minorHAnsi" w:cstheme="minorHAnsi"/>
          <w:sz w:val="24"/>
          <w:szCs w:val="24"/>
        </w:rPr>
        <w:t xml:space="preserve"> plat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>y</w:t>
      </w:r>
      <w:r w:rsidR="00E91130" w:rsidRPr="00E9113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>nepedagogických zaměstnanců pod</w:t>
      </w:r>
      <w:r w:rsidR="00E91130" w:rsidRPr="00E91130">
        <w:rPr>
          <w:rFonts w:asciiTheme="minorHAnsi" w:eastAsiaTheme="minorHAnsi" w:hAnsiTheme="minorHAnsi" w:cstheme="minorHAnsi"/>
          <w:sz w:val="24"/>
          <w:szCs w:val="24"/>
        </w:rPr>
        <w:t xml:space="preserve"> úrovn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>í</w:t>
      </w:r>
      <w:r w:rsidR="00E91130" w:rsidRPr="00E91130">
        <w:rPr>
          <w:rFonts w:asciiTheme="minorHAnsi" w:eastAsiaTheme="minorHAnsi" w:hAnsiTheme="minorHAnsi" w:cstheme="minorHAnsi"/>
          <w:sz w:val="24"/>
          <w:szCs w:val="24"/>
        </w:rPr>
        <w:t xml:space="preserve"> průměru</w:t>
      </w:r>
      <w:r w:rsidR="00E91130">
        <w:rPr>
          <w:rFonts w:asciiTheme="minorHAnsi" w:eastAsiaTheme="minorHAnsi" w:hAnsiTheme="minorHAnsi" w:cstheme="minorHAnsi"/>
          <w:sz w:val="24"/>
          <w:szCs w:val="24"/>
        </w:rPr>
        <w:t>.</w:t>
      </w:r>
      <w:r w:rsidR="00E91130" w:rsidRPr="00E91130" w:rsidDel="00BA444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7CEA602E" w14:textId="1106860A" w:rsidR="00BA444C" w:rsidRDefault="009068B7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zakomponovalo do stanovených normativů</w:t>
      </w:r>
      <w:r w:rsidRPr="00C9700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sedm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ských úřadů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Pr="00F27218">
        <w:rPr>
          <w:rFonts w:asciiTheme="minorHAnsi" w:eastAsia="Times New Roman" w:hAnsiTheme="minorHAnsi"/>
          <w:sz w:val="24"/>
          <w:szCs w:val="24"/>
          <w:lang w:eastAsia="cs-CZ"/>
        </w:rPr>
        <w:t>l. m. Praha, Plzeňský, Liberecký, Královéhradecký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F27218">
        <w:rPr>
          <w:rFonts w:asciiTheme="minorHAnsi" w:eastAsia="Times New Roman" w:hAnsiTheme="minorHAnsi"/>
          <w:sz w:val="24"/>
          <w:szCs w:val="24"/>
          <w:lang w:eastAsia="cs-CZ"/>
        </w:rPr>
        <w:t>Vysočina, Olomoucký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Pr="00F27218">
        <w:rPr>
          <w:rFonts w:asciiTheme="minorHAnsi" w:eastAsia="Times New Roman" w:hAnsiTheme="minorHAnsi"/>
          <w:sz w:val="24"/>
          <w:szCs w:val="24"/>
          <w:lang w:eastAsia="cs-CZ"/>
        </w:rPr>
        <w:t xml:space="preserve"> Moravskoslezský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).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Šest 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 xml:space="preserve">má stanoveny normativy tak, že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splňují od určitého počtu účastníků</w:t>
      </w:r>
      <w:r w:rsidR="00AB79CA">
        <w:rPr>
          <w:rFonts w:asciiTheme="minorHAnsi" w:eastAsia="Times New Roman" w:hAnsiTheme="minorHAnsi"/>
          <w:sz w:val="24"/>
          <w:szCs w:val="24"/>
          <w:lang w:eastAsia="cs-CZ"/>
        </w:rPr>
        <w:t>. O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d počtu </w:t>
      </w:r>
      <w:r w:rsidRPr="00006881">
        <w:rPr>
          <w:rFonts w:asciiTheme="minorHAnsi" w:eastAsia="Times New Roman" w:hAnsiTheme="minorHAnsi"/>
          <w:sz w:val="24"/>
          <w:szCs w:val="24"/>
          <w:lang w:eastAsia="cs-CZ"/>
        </w:rPr>
        <w:t>66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06881">
        <w:rPr>
          <w:rFonts w:asciiTheme="minorHAnsi" w:eastAsia="Times New Roman" w:hAnsiTheme="minorHAnsi"/>
          <w:sz w:val="24"/>
          <w:szCs w:val="24"/>
          <w:lang w:eastAsia="cs-CZ"/>
        </w:rPr>
        <w:t xml:space="preserve">účastníků 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>včetně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 xml:space="preserve"> pak již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MPZ</w:t>
      </w:r>
      <w:r w:rsidRPr="00152CFA">
        <w:rPr>
          <w:rFonts w:asciiTheme="minorHAnsi" w:eastAsia="Times New Roman" w:hAnsiTheme="minorHAnsi"/>
          <w:sz w:val="24"/>
          <w:szCs w:val="24"/>
          <w:lang w:eastAsia="cs-CZ"/>
        </w:rPr>
        <w:t xml:space="preserve"> spl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 xml:space="preserve">ňují normativy 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 xml:space="preserve">ve 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všech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ích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1BC4E9D9" w14:textId="17A43DA2" w:rsidR="001D121B" w:rsidRDefault="00E27D53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6" w:name="_Hlk84493486"/>
      <w:bookmarkEnd w:id="5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="009068B7" w:rsidRPr="00941AA6">
        <w:rPr>
          <w:rFonts w:asciiTheme="minorHAnsi" w:eastAsia="Times New Roman" w:hAnsiTheme="minorHAnsi"/>
          <w:sz w:val="24"/>
          <w:szCs w:val="24"/>
          <w:lang w:eastAsia="cs-CZ"/>
        </w:rPr>
        <w:t>Zlínsk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9068B7" w:rsidRPr="00941AA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 xml:space="preserve"> stanovil </w:t>
      </w:r>
      <w:r w:rsidR="002A7259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pro školní klub 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>v rozporu s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>vyhláškou</w:t>
      </w:r>
      <w:bookmarkEnd w:id="6"/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, neboť použil jinou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 xml:space="preserve"> jednotku výkonu</w:t>
      </w:r>
      <w:r w:rsidR="005651C2">
        <w:rPr>
          <w:rFonts w:asciiTheme="minorHAnsi" w:eastAsia="Times New Roman" w:hAnsiTheme="minorHAnsi"/>
          <w:sz w:val="24"/>
          <w:szCs w:val="24"/>
          <w:lang w:eastAsia="cs-CZ"/>
        </w:rPr>
        <w:t xml:space="preserve"> – žáci v pravidelné činnosti jsou </w:t>
      </w:r>
      <w:r w:rsidR="000F0025">
        <w:rPr>
          <w:rFonts w:asciiTheme="minorHAnsi" w:eastAsia="Times New Roman" w:hAnsiTheme="minorHAnsi"/>
          <w:sz w:val="24"/>
          <w:szCs w:val="24"/>
          <w:lang w:eastAsia="cs-CZ"/>
        </w:rPr>
        <w:t>pře</w:t>
      </w:r>
      <w:r w:rsidR="005651C2">
        <w:rPr>
          <w:rFonts w:asciiTheme="minorHAnsi" w:eastAsia="Times New Roman" w:hAnsiTheme="minorHAnsi"/>
          <w:sz w:val="24"/>
          <w:szCs w:val="24"/>
          <w:lang w:eastAsia="cs-CZ"/>
        </w:rPr>
        <w:t xml:space="preserve">počítáváni podle počtu hodin ve školním klubu (1 žák = </w:t>
      </w:r>
      <w:r w:rsidR="005651C2" w:rsidRPr="005651C2">
        <w:rPr>
          <w:rFonts w:asciiTheme="minorHAnsi" w:eastAsia="Times New Roman" w:hAnsiTheme="minorHAnsi"/>
          <w:sz w:val="24"/>
          <w:szCs w:val="24"/>
          <w:lang w:eastAsia="cs-CZ"/>
        </w:rPr>
        <w:t xml:space="preserve">25 hodin </w:t>
      </w:r>
      <w:r w:rsidR="005651C2">
        <w:rPr>
          <w:rFonts w:asciiTheme="minorHAnsi" w:eastAsia="Times New Roman" w:hAnsiTheme="minorHAnsi"/>
          <w:sz w:val="24"/>
          <w:szCs w:val="24"/>
          <w:lang w:eastAsia="cs-CZ"/>
        </w:rPr>
        <w:t xml:space="preserve">činnosti </w:t>
      </w:r>
      <w:r w:rsidR="005651C2" w:rsidRPr="005651C2">
        <w:rPr>
          <w:rFonts w:asciiTheme="minorHAnsi" w:eastAsia="Times New Roman" w:hAnsiTheme="minorHAnsi"/>
          <w:sz w:val="24"/>
          <w:szCs w:val="24"/>
          <w:lang w:eastAsia="cs-CZ"/>
        </w:rPr>
        <w:t>týdně</w:t>
      </w:r>
      <w:r w:rsidR="005651C2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C52225">
        <w:rPr>
          <w:rFonts w:asciiTheme="minorHAnsi" w:eastAsia="Times New Roman" w:hAnsiTheme="minorHAnsi"/>
          <w:sz w:val="24"/>
          <w:szCs w:val="24"/>
          <w:lang w:eastAsia="cs-CZ"/>
        </w:rPr>
        <w:t>. Do dalšího zpracování vč. stanovení normativů pro soukromé a církevní školství nebyly normativy Zlínského kraje zahrnuty</w:t>
      </w:r>
      <w:r w:rsidR="009068B7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2B4E4E" w14:textId="41B16BE0" w:rsidR="009068B7" w:rsidRDefault="009068B7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4E8441F9" w14:textId="77777777" w:rsidR="00512C2B" w:rsidRDefault="00512C2B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92A86B2" w14:textId="24A21A45" w:rsidR="001D121B" w:rsidRDefault="001D121B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43A80">
        <w:rPr>
          <w:rFonts w:asciiTheme="minorHAnsi" w:eastAsia="Times New Roman" w:hAnsiTheme="minorHAnsi"/>
          <w:b/>
          <w:sz w:val="24"/>
          <w:szCs w:val="24"/>
          <w:lang w:eastAsia="cs-CZ"/>
        </w:rPr>
        <w:t>Pedagogicko-psychologick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é</w:t>
      </w:r>
      <w:r w:rsidRPr="00843A80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poradn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y</w:t>
      </w:r>
    </w:p>
    <w:p w14:paraId="7E2C259D" w14:textId="35C16ADC" w:rsidR="006E00B1" w:rsidRDefault="00910A98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Všechny </w:t>
      </w:r>
      <w:r w:rsidR="006E00B1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EE596E">
        <w:rPr>
          <w:rFonts w:asciiTheme="minorHAnsi" w:eastAsia="Times New Roman" w:hAnsiTheme="minorHAnsi"/>
          <w:sz w:val="24"/>
          <w:szCs w:val="24"/>
          <w:lang w:eastAsia="cs-CZ"/>
        </w:rPr>
        <w:t xml:space="preserve"> stanovily normativy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jedním normativem</w:t>
      </w:r>
      <w:r w:rsidR="002D7557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6BE56197" w14:textId="498BAA05" w:rsidR="002E75F1" w:rsidRDefault="006E00B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Rok 2020 vzhledem k pandemické situaci částečně ovlivnil činnost pedagogicko-psychologických poraden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 (d</w:t>
      </w:r>
      <w:r w:rsidR="00102036"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>le jen „PPP“)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. Pro financování 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je rozhodným údajem počet klientů, kterým PPP v předcházejícím školním roce poskytovaly služby. Pro rok </w:t>
      </w:r>
      <w:r w:rsidR="007A6787">
        <w:rPr>
          <w:rFonts w:asciiTheme="minorHAnsi" w:eastAsia="Times New Roman" w:hAnsiTheme="minorHAnsi"/>
          <w:sz w:val="24"/>
          <w:szCs w:val="24"/>
          <w:lang w:eastAsia="cs-CZ"/>
        </w:rPr>
        <w:t xml:space="preserve">2021 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tak byl rozhodný údaj za školní rok 2019/2020, kdy v jarních měsících došlo k uzavření škol. V důsledku pandemie </w:t>
      </w:r>
      <w:bookmarkStart w:id="7" w:name="_Hlk83990264"/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>Covid-19</w:t>
      </w:r>
      <w:bookmarkEnd w:id="7"/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 však byl i</w:t>
      </w:r>
      <w:r w:rsidR="008D6DCB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menší zájem o služby PPP. Z důvodu, aby v roce </w:t>
      </w:r>
      <w:r w:rsidR="007A6787">
        <w:rPr>
          <w:rFonts w:asciiTheme="minorHAnsi" w:eastAsia="Times New Roman" w:hAnsiTheme="minorHAnsi"/>
          <w:sz w:val="24"/>
          <w:szCs w:val="24"/>
          <w:lang w:eastAsia="cs-CZ"/>
        </w:rPr>
        <w:t xml:space="preserve">2021 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byla zachována dostatečná úroveň finančních prostředků pro PPP, doporučilo MŠMT krajským úřadům upravit ukazatele rozhodné pro stanovení normativů. </w:t>
      </w:r>
    </w:p>
    <w:p w14:paraId="6DCF15B5" w14:textId="60693055" w:rsidR="00F76E93" w:rsidRDefault="00570A7F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Většina</w:t>
      </w:r>
      <w:r w:rsidR="007E3BEC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="007E3BEC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2F328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11A34">
        <w:rPr>
          <w:rFonts w:asciiTheme="minorHAnsi" w:eastAsia="Times New Roman" w:hAnsiTheme="minorHAnsi"/>
          <w:sz w:val="24"/>
          <w:szCs w:val="24"/>
          <w:lang w:eastAsia="cs-CZ"/>
        </w:rPr>
        <w:t xml:space="preserve">tak </w:t>
      </w:r>
      <w:r w:rsidR="002F328C">
        <w:rPr>
          <w:rFonts w:asciiTheme="minorHAnsi" w:eastAsia="Times New Roman" w:hAnsiTheme="minorHAnsi"/>
          <w:sz w:val="24"/>
          <w:szCs w:val="24"/>
          <w:lang w:eastAsia="cs-CZ"/>
        </w:rPr>
        <w:t>oproti roku 2020</w:t>
      </w:r>
      <w:r w:rsidR="007E3BE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9094B">
        <w:rPr>
          <w:rFonts w:asciiTheme="minorHAnsi" w:eastAsia="Times New Roman" w:hAnsiTheme="minorHAnsi"/>
          <w:sz w:val="24"/>
          <w:szCs w:val="24"/>
          <w:lang w:eastAsia="cs-CZ"/>
        </w:rPr>
        <w:t>snížil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39094B">
        <w:rPr>
          <w:rFonts w:asciiTheme="minorHAnsi" w:eastAsia="Times New Roman" w:hAnsiTheme="minorHAnsi"/>
          <w:sz w:val="24"/>
          <w:szCs w:val="24"/>
          <w:lang w:eastAsia="cs-CZ"/>
        </w:rPr>
        <w:t xml:space="preserve"> hodnoty ukazatelů </w:t>
      </w:r>
      <w:r w:rsidR="0039094B"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="0039094B" w:rsidRPr="00692D5B">
        <w:rPr>
          <w:rFonts w:asciiTheme="minorHAnsi" w:eastAsiaTheme="minorHAnsi" w:hAnsiTheme="minorHAnsi" w:cstheme="minorHAnsi"/>
          <w:sz w:val="16"/>
          <w:szCs w:val="16"/>
        </w:rPr>
        <w:t>p</w:t>
      </w:r>
      <w:r w:rsidR="0039094B" w:rsidRPr="00C436DF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="0039094B" w:rsidRPr="00692D5B">
        <w:rPr>
          <w:rFonts w:asciiTheme="minorHAnsi" w:eastAsiaTheme="minorHAnsi" w:hAnsiTheme="minorHAnsi" w:cstheme="minorHAnsi"/>
          <w:sz w:val="16"/>
          <w:szCs w:val="16"/>
        </w:rPr>
        <w:t>o</w:t>
      </w:r>
      <w:r w:rsidR="002F328C">
        <w:rPr>
          <w:rFonts w:asciiTheme="minorHAnsi" w:eastAsiaTheme="minorHAnsi" w:hAnsiTheme="minorHAnsi" w:cstheme="minorHAnsi"/>
          <w:sz w:val="24"/>
          <w:szCs w:val="24"/>
        </w:rPr>
        <w:t>, dva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="002F328C">
        <w:rPr>
          <w:rFonts w:asciiTheme="minorHAnsi" w:eastAsiaTheme="minorHAnsi" w:hAnsiTheme="minorHAnsi" w:cstheme="minorHAnsi"/>
          <w:sz w:val="24"/>
          <w:szCs w:val="24"/>
        </w:rPr>
        <w:t xml:space="preserve"> ukazatel </w:t>
      </w:r>
      <w:proofErr w:type="spellStart"/>
      <w:r w:rsidR="002F328C" w:rsidRPr="00C436DF">
        <w:rPr>
          <w:rFonts w:asciiTheme="minorHAnsi" w:eastAsiaTheme="minorHAnsi" w:hAnsiTheme="minorHAnsi" w:cstheme="minorHAnsi"/>
          <w:sz w:val="24"/>
          <w:szCs w:val="24"/>
        </w:rPr>
        <w:t>N</w:t>
      </w:r>
      <w:r w:rsidR="002F328C" w:rsidRPr="00692D5B">
        <w:rPr>
          <w:rFonts w:asciiTheme="minorHAnsi" w:eastAsiaTheme="minorHAnsi" w:hAnsiTheme="minorHAnsi" w:cstheme="minorHAnsi"/>
          <w:sz w:val="16"/>
          <w:szCs w:val="16"/>
        </w:rPr>
        <w:t>p</w:t>
      </w:r>
      <w:proofErr w:type="spellEnd"/>
      <w:r w:rsidR="002F328C">
        <w:rPr>
          <w:rFonts w:asciiTheme="minorHAnsi" w:eastAsiaTheme="minorHAnsi" w:hAnsiTheme="minorHAnsi" w:cstheme="minorHAnsi"/>
          <w:sz w:val="24"/>
          <w:szCs w:val="24"/>
        </w:rPr>
        <w:t xml:space="preserve"> zvýšil</w:t>
      </w:r>
      <w:r w:rsidR="005228C1">
        <w:rPr>
          <w:rFonts w:asciiTheme="minorHAnsi" w:eastAsiaTheme="minorHAnsi" w:hAnsiTheme="minorHAnsi" w:cstheme="minorHAnsi"/>
          <w:sz w:val="24"/>
          <w:szCs w:val="24"/>
        </w:rPr>
        <w:t>y</w:t>
      </w:r>
      <w:r w:rsidR="002F328C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76E93">
        <w:rPr>
          <w:rFonts w:asciiTheme="minorHAnsi" w:eastAsiaTheme="minorHAnsi" w:hAnsiTheme="minorHAnsi" w:cstheme="minorHAnsi"/>
          <w:sz w:val="24"/>
          <w:szCs w:val="24"/>
        </w:rPr>
        <w:t>(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>Ústecký o 11,8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 xml:space="preserve"> Liberecký o 23,6)</w:t>
      </w:r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>Jihomoravsk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E27D53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 xml:space="preserve"> ponechal ukazatel </w:t>
      </w:r>
      <w:proofErr w:type="spellStart"/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021E97"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021E97">
        <w:rPr>
          <w:rFonts w:asciiTheme="minorHAnsi" w:eastAsia="Times New Roman" w:hAnsiTheme="minorHAnsi"/>
          <w:sz w:val="24"/>
          <w:szCs w:val="24"/>
          <w:lang w:eastAsia="cs-CZ"/>
        </w:rPr>
        <w:t xml:space="preserve"> beze změny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>. Podrobně viz následující graf.</w:t>
      </w:r>
      <w:r w:rsidR="00F76E93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 xml:space="preserve">Snížení </w:t>
      </w:r>
      <w:r w:rsidR="00511A34" w:rsidRPr="00A829AE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ukazatelů 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>N</w:t>
      </w:r>
      <w:r w:rsidR="00511A34" w:rsidRPr="00A829AE">
        <w:rPr>
          <w:rFonts w:asciiTheme="minorHAnsi" w:eastAsiaTheme="minorHAnsi" w:hAnsiTheme="minorHAnsi" w:cstheme="minorHAnsi"/>
          <w:sz w:val="16"/>
          <w:szCs w:val="16"/>
        </w:rPr>
        <w:t>p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 xml:space="preserve"> a N</w:t>
      </w:r>
      <w:r w:rsidR="00511A34" w:rsidRPr="00A829AE">
        <w:rPr>
          <w:rFonts w:asciiTheme="minorHAnsi" w:eastAsiaTheme="minorHAnsi" w:hAnsiTheme="minorHAnsi" w:cstheme="minorHAnsi"/>
          <w:sz w:val="16"/>
          <w:szCs w:val="16"/>
        </w:rPr>
        <w:t>o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 xml:space="preserve"> znamená, že na jednoho pedagogického pracovníka či nepedagogického zaměstnance je normován menší počet klientů, a tím je </w:t>
      </w:r>
      <w:r w:rsidR="00F76E93" w:rsidRPr="00A829AE">
        <w:rPr>
          <w:rFonts w:asciiTheme="minorHAnsi" w:eastAsiaTheme="minorHAnsi" w:hAnsiTheme="minorHAnsi" w:cstheme="minorHAnsi"/>
          <w:sz w:val="24"/>
          <w:szCs w:val="24"/>
        </w:rPr>
        <w:t xml:space="preserve">možno zajistit srovnatelnou výši </w:t>
      </w:r>
      <w:r w:rsidR="000E5B95" w:rsidRPr="00A829AE">
        <w:rPr>
          <w:rFonts w:asciiTheme="minorHAnsi" w:eastAsiaTheme="minorHAnsi" w:hAnsiTheme="minorHAnsi" w:cstheme="minorHAnsi"/>
          <w:sz w:val="24"/>
          <w:szCs w:val="24"/>
        </w:rPr>
        <w:t>finančních prostředků jako v roce 2020</w:t>
      </w:r>
      <w:r w:rsidR="00F76E93" w:rsidRPr="00A829A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0E5B95" w:rsidRPr="00A829AE">
        <w:rPr>
          <w:rFonts w:asciiTheme="minorHAnsi" w:eastAsiaTheme="minorHAnsi" w:hAnsiTheme="minorHAnsi" w:cstheme="minorHAnsi"/>
          <w:sz w:val="24"/>
          <w:szCs w:val="24"/>
        </w:rPr>
        <w:t xml:space="preserve">i </w:t>
      </w:r>
      <w:r w:rsidR="00F76E93" w:rsidRPr="00A829AE">
        <w:rPr>
          <w:rFonts w:asciiTheme="minorHAnsi" w:eastAsiaTheme="minorHAnsi" w:hAnsiTheme="minorHAnsi" w:cstheme="minorHAnsi"/>
          <w:sz w:val="24"/>
          <w:szCs w:val="24"/>
        </w:rPr>
        <w:t>pro men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>ší poč</w:t>
      </w:r>
      <w:r w:rsidR="00F76E93" w:rsidRPr="00A829AE">
        <w:rPr>
          <w:rFonts w:asciiTheme="minorHAnsi" w:eastAsiaTheme="minorHAnsi" w:hAnsiTheme="minorHAnsi" w:cstheme="minorHAnsi"/>
          <w:sz w:val="24"/>
          <w:szCs w:val="24"/>
        </w:rPr>
        <w:t>e</w:t>
      </w:r>
      <w:r w:rsidR="00511A34" w:rsidRPr="00A829AE">
        <w:rPr>
          <w:rFonts w:asciiTheme="minorHAnsi" w:eastAsiaTheme="minorHAnsi" w:hAnsiTheme="minorHAnsi" w:cstheme="minorHAnsi"/>
          <w:sz w:val="24"/>
          <w:szCs w:val="24"/>
        </w:rPr>
        <w:t>t</w:t>
      </w:r>
      <w:r w:rsidR="00F76E93" w:rsidRPr="00A829AE">
        <w:rPr>
          <w:rFonts w:asciiTheme="minorHAnsi" w:eastAsiaTheme="minorHAnsi" w:hAnsiTheme="minorHAnsi" w:cstheme="minorHAnsi"/>
          <w:sz w:val="24"/>
          <w:szCs w:val="24"/>
        </w:rPr>
        <w:t xml:space="preserve"> klientů.</w:t>
      </w:r>
      <w:r w:rsidR="00511A34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42978EE9" w14:textId="77777777" w:rsidR="00512C2B" w:rsidRDefault="00512C2B" w:rsidP="005E3B49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br/>
      </w:r>
    </w:p>
    <w:p w14:paraId="2E807A16" w14:textId="77777777" w:rsidR="00512C2B" w:rsidRDefault="00512C2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br w:type="page"/>
      </w:r>
    </w:p>
    <w:p w14:paraId="4E1FCB08" w14:textId="4B524727" w:rsidR="005E3B49" w:rsidRPr="00324500" w:rsidRDefault="005E3B49" w:rsidP="005E3B49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ukazatele </w:t>
      </w:r>
      <w:proofErr w:type="spellStart"/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>N</w:t>
      </w:r>
      <w:r w:rsidRPr="00892E67">
        <w:rPr>
          <w:rFonts w:eastAsia="Times New Roman" w:cs="Calibri"/>
          <w:color w:val="000000"/>
          <w:sz w:val="16"/>
          <w:szCs w:val="16"/>
          <w:lang w:eastAsia="cs-CZ"/>
        </w:rPr>
        <w:t>p</w:t>
      </w:r>
      <w:proofErr w:type="spellEnd"/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cs-CZ"/>
        </w:rPr>
        <w:t>roku 2021 oproti roku 2020 absolutně</w:t>
      </w:r>
      <w:r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34BCC6A7" w14:textId="52F57D5A" w:rsidR="005E3B49" w:rsidRDefault="00E32889" w:rsidP="005E3B49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E32889">
        <w:rPr>
          <w:noProof/>
        </w:rPr>
        <w:t xml:space="preserve"> </w:t>
      </w:r>
      <w:r w:rsidR="00FB1E80">
        <w:rPr>
          <w:noProof/>
        </w:rPr>
        <w:drawing>
          <wp:inline distT="0" distB="0" distL="0" distR="0" wp14:anchorId="2ED6D87D" wp14:editId="778C1A84">
            <wp:extent cx="3945255" cy="2437026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817" cy="246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96847" w14:textId="525845A1" w:rsidR="005E3B49" w:rsidRDefault="005E3B49" w:rsidP="005E3B49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bookmarkStart w:id="8" w:name="_Hlk82528908"/>
      <w:r>
        <w:rPr>
          <w:rFonts w:eastAsia="Times New Roman" w:cs="Calibri"/>
          <w:color w:val="000000"/>
          <w:sz w:val="24"/>
          <w:szCs w:val="24"/>
          <w:lang w:eastAsia="cs-CZ"/>
        </w:rPr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ukazatele N</w:t>
      </w:r>
      <w:r>
        <w:rPr>
          <w:rFonts w:eastAsia="Times New Roman" w:cs="Calibri"/>
          <w:color w:val="000000"/>
          <w:sz w:val="16"/>
          <w:szCs w:val="16"/>
          <w:lang w:eastAsia="cs-CZ"/>
        </w:rPr>
        <w:t>o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cs-CZ"/>
        </w:rPr>
        <w:t>roku 2021 oproti roku 2020 absolutně</w:t>
      </w:r>
      <w:r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0F167DD1" w14:textId="4038E760" w:rsidR="00D61461" w:rsidRPr="00324500" w:rsidRDefault="00FE58A4" w:rsidP="005E3B49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5B1BE4F" wp14:editId="7EDEB0FD">
            <wp:extent cx="4457700" cy="2324100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8"/>
    <w:p w14:paraId="5F32208A" w14:textId="42E3BFE1" w:rsidR="005E3B49" w:rsidRDefault="005E3B49" w:rsidP="005E3B49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644ED16" w14:textId="77777777" w:rsidR="00512C2B" w:rsidRDefault="00512C2B" w:rsidP="005E3B49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0A8045BD" w14:textId="6C6DBF1D" w:rsidR="004711BF" w:rsidRDefault="004711BF" w:rsidP="007C5121">
      <w:pPr>
        <w:spacing w:after="60" w:line="24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V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ukazatelích P</w:t>
      </w:r>
      <w:r w:rsidRPr="00692D5B">
        <w:rPr>
          <w:rFonts w:asciiTheme="minorHAnsi" w:eastAsiaTheme="minorHAnsi" w:hAnsiTheme="minorHAnsi" w:cstheme="minorHAnsi"/>
          <w:sz w:val="16"/>
          <w:szCs w:val="16"/>
        </w:rPr>
        <w:t>p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a P</w:t>
      </w:r>
      <w:r w:rsidRPr="00692D5B">
        <w:rPr>
          <w:rFonts w:asciiTheme="minorHAnsi" w:eastAsiaTheme="minorHAnsi" w:hAnsiTheme="minorHAnsi" w:cstheme="minorHAnsi"/>
          <w:sz w:val="16"/>
          <w:szCs w:val="16"/>
        </w:rPr>
        <w:t>o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pak všechny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ské úřady</w:t>
      </w:r>
      <w:r w:rsidRPr="00C436DF">
        <w:rPr>
          <w:rFonts w:asciiTheme="minorHAnsi" w:eastAsiaTheme="minorHAnsi" w:hAnsiTheme="minorHAnsi" w:cstheme="minorHAnsi"/>
          <w:sz w:val="24"/>
          <w:szCs w:val="24"/>
        </w:rPr>
        <w:t xml:space="preserve"> promítly meziroční zvýšení platů</w:t>
      </w:r>
      <w:r w:rsidR="00F746E5">
        <w:rPr>
          <w:rFonts w:asciiTheme="minorHAnsi" w:eastAsiaTheme="minorHAnsi" w:hAnsiTheme="minorHAnsi" w:cstheme="minorHAnsi"/>
          <w:sz w:val="24"/>
          <w:szCs w:val="24"/>
        </w:rPr>
        <w:t xml:space="preserve">. </w:t>
      </w:r>
      <w:r w:rsidR="00764126">
        <w:rPr>
          <w:rFonts w:asciiTheme="minorHAnsi" w:eastAsiaTheme="minorHAnsi" w:hAnsiTheme="minorHAnsi" w:cstheme="minorHAnsi"/>
          <w:sz w:val="24"/>
          <w:szCs w:val="24"/>
        </w:rPr>
        <w:t>Liberecký výrazně navýšil ukazatel P</w:t>
      </w:r>
      <w:r w:rsidR="00764126" w:rsidRPr="00892E67">
        <w:rPr>
          <w:rFonts w:asciiTheme="minorHAnsi" w:eastAsiaTheme="minorHAnsi" w:hAnsiTheme="minorHAnsi" w:cstheme="minorHAnsi"/>
          <w:sz w:val="16"/>
          <w:szCs w:val="16"/>
        </w:rPr>
        <w:t>o</w:t>
      </w:r>
      <w:r w:rsidR="00764126">
        <w:rPr>
          <w:rFonts w:asciiTheme="minorHAnsi" w:eastAsiaTheme="minorHAnsi" w:hAnsiTheme="minorHAnsi" w:cstheme="minorHAnsi"/>
          <w:sz w:val="24"/>
          <w:szCs w:val="24"/>
        </w:rPr>
        <w:t xml:space="preserve"> (o 29,6 %), </w:t>
      </w:r>
      <w:r w:rsidR="00620FA6">
        <w:rPr>
          <w:rFonts w:asciiTheme="minorHAnsi" w:eastAsiaTheme="minorHAnsi" w:hAnsiTheme="minorHAnsi" w:cstheme="minorHAnsi"/>
          <w:sz w:val="24"/>
          <w:szCs w:val="24"/>
        </w:rPr>
        <w:t>d</w:t>
      </w:r>
      <w:r w:rsidR="008D5C7E">
        <w:rPr>
          <w:rFonts w:asciiTheme="minorHAnsi" w:eastAsiaTheme="minorHAnsi" w:hAnsiTheme="minorHAnsi" w:cstheme="minorHAnsi"/>
          <w:sz w:val="24"/>
          <w:szCs w:val="24"/>
        </w:rPr>
        <w:t xml:space="preserve">ůvodem je </w:t>
      </w:r>
      <w:r w:rsidR="00F76E93">
        <w:rPr>
          <w:rFonts w:asciiTheme="minorHAnsi" w:eastAsiaTheme="minorHAnsi" w:hAnsiTheme="minorHAnsi" w:cstheme="minorHAnsi"/>
          <w:sz w:val="24"/>
          <w:szCs w:val="24"/>
        </w:rPr>
        <w:t xml:space="preserve">pravděpodobně </w:t>
      </w:r>
      <w:r w:rsidR="008D5C7E">
        <w:rPr>
          <w:rFonts w:asciiTheme="minorHAnsi" w:eastAsiaTheme="minorHAnsi" w:hAnsiTheme="minorHAnsi" w:cstheme="minorHAnsi"/>
          <w:sz w:val="24"/>
          <w:szCs w:val="24"/>
        </w:rPr>
        <w:t xml:space="preserve">skutečnost, že </w:t>
      </w:r>
      <w:r w:rsidR="00764126">
        <w:rPr>
          <w:rFonts w:asciiTheme="minorHAnsi" w:eastAsiaTheme="minorHAnsi" w:hAnsiTheme="minorHAnsi" w:cstheme="minorHAnsi"/>
          <w:sz w:val="24"/>
          <w:szCs w:val="24"/>
        </w:rPr>
        <w:t xml:space="preserve">v loňském roce </w:t>
      </w:r>
      <w:r w:rsidR="00D20C47">
        <w:rPr>
          <w:rFonts w:asciiTheme="minorHAnsi" w:eastAsiaTheme="minorHAnsi" w:hAnsiTheme="minorHAnsi" w:cstheme="minorHAnsi"/>
          <w:sz w:val="24"/>
          <w:szCs w:val="24"/>
        </w:rPr>
        <w:t>nastavil</w:t>
      </w:r>
      <w:r w:rsidR="00764126">
        <w:rPr>
          <w:rFonts w:asciiTheme="minorHAnsi" w:eastAsiaTheme="minorHAnsi" w:hAnsiTheme="minorHAnsi" w:cstheme="minorHAnsi"/>
          <w:sz w:val="24"/>
          <w:szCs w:val="24"/>
        </w:rPr>
        <w:t xml:space="preserve"> nejnižší p</w:t>
      </w:r>
      <w:r w:rsidR="00D20C47">
        <w:rPr>
          <w:rFonts w:asciiTheme="minorHAnsi" w:eastAsiaTheme="minorHAnsi" w:hAnsiTheme="minorHAnsi" w:cstheme="minorHAnsi"/>
          <w:sz w:val="24"/>
          <w:szCs w:val="24"/>
        </w:rPr>
        <w:t xml:space="preserve">lat </w:t>
      </w:r>
      <w:r w:rsidR="00D20C47" w:rsidRPr="00D20C47">
        <w:rPr>
          <w:rFonts w:asciiTheme="minorHAnsi" w:eastAsiaTheme="minorHAnsi" w:hAnsiTheme="minorHAnsi" w:cstheme="minorHAnsi"/>
          <w:sz w:val="24"/>
          <w:szCs w:val="24"/>
        </w:rPr>
        <w:t xml:space="preserve">nepedagogických zaměstnanců </w:t>
      </w:r>
      <w:r w:rsidR="00D20C47">
        <w:rPr>
          <w:rFonts w:asciiTheme="minorHAnsi" w:eastAsiaTheme="minorHAnsi" w:hAnsiTheme="minorHAnsi" w:cstheme="minorHAnsi"/>
          <w:sz w:val="24"/>
          <w:szCs w:val="24"/>
        </w:rPr>
        <w:t>ze všech kraj</w:t>
      </w:r>
      <w:r w:rsidR="00E27D53">
        <w:rPr>
          <w:rFonts w:asciiTheme="minorHAnsi" w:eastAsiaTheme="minorHAnsi" w:hAnsiTheme="minorHAnsi" w:cstheme="minorHAnsi"/>
          <w:sz w:val="24"/>
          <w:szCs w:val="24"/>
        </w:rPr>
        <w:t>ských úřad</w:t>
      </w:r>
      <w:r w:rsidR="00D20C47">
        <w:rPr>
          <w:rFonts w:asciiTheme="minorHAnsi" w:eastAsiaTheme="minorHAnsi" w:hAnsiTheme="minorHAnsi" w:cstheme="minorHAnsi"/>
          <w:sz w:val="24"/>
          <w:szCs w:val="24"/>
        </w:rPr>
        <w:t xml:space="preserve">ů. </w:t>
      </w:r>
    </w:p>
    <w:p w14:paraId="3F11DEAE" w14:textId="77777777" w:rsidR="00FD1EED" w:rsidRDefault="00FD1EED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bookmarkStart w:id="9" w:name="_Hlk82528863"/>
    </w:p>
    <w:p w14:paraId="25CE8BB9" w14:textId="77777777" w:rsidR="00B64741" w:rsidRPr="0055124D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0" w:name="_Hlk83017265"/>
      <w:bookmarkEnd w:id="9"/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MP pedagogických pracovníků roku 2021 oproti roku 2020: </w:t>
      </w:r>
    </w:p>
    <w:bookmarkEnd w:id="10"/>
    <w:p w14:paraId="7FD2F51F" w14:textId="09461797" w:rsidR="00B64741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nárůst MP pedagogických pracovníků 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byl zaznamenán u</w:t>
      </w:r>
      <w:r w:rsidR="00AD27A2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Jihočesk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CD0B74">
        <w:rPr>
          <w:rFonts w:asciiTheme="minorHAnsi" w:eastAsia="Times New Roman" w:hAnsiTheme="minorHAnsi"/>
          <w:sz w:val="24"/>
          <w:szCs w:val="24"/>
          <w:lang w:eastAsia="cs-CZ"/>
        </w:rPr>
        <w:t>nárůst o</w:t>
      </w:r>
      <w:r w:rsidR="00AE1BB7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CD0B74">
        <w:rPr>
          <w:rFonts w:asciiTheme="minorHAnsi" w:eastAsia="Times New Roman" w:hAnsiTheme="minorHAnsi"/>
          <w:sz w:val="24"/>
          <w:szCs w:val="24"/>
          <w:lang w:eastAsia="cs-CZ"/>
        </w:rPr>
        <w:t xml:space="preserve">1 766 Kč/klienta, tj. o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61 %),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důvodem je 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>výrazné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bCs/>
          <w:sz w:val="24"/>
          <w:szCs w:val="24"/>
          <w:lang w:eastAsia="cs-CZ"/>
        </w:rPr>
        <w:t>snížení ukazatele N</w:t>
      </w:r>
      <w:r w:rsidRPr="0055124D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ejmenší meziroční nárůst MP pedagogických pracovníků 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byl zaznamenán v</w:t>
      </w:r>
      <w:r w:rsidR="00AD27A2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Ústeck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nárůst o 64 Kč</w:t>
      </w:r>
      <w:r w:rsidR="00CD0B74">
        <w:rPr>
          <w:rFonts w:asciiTheme="minorHAnsi" w:eastAsia="Times New Roman" w:hAnsiTheme="minorHAnsi"/>
          <w:sz w:val="24"/>
          <w:szCs w:val="24"/>
          <w:lang w:eastAsia="cs-CZ"/>
        </w:rPr>
        <w:t>/klienta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tj. o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2 %)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>, důvodem je</w:t>
      </w:r>
      <w:r w:rsidR="00EF66F8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 xml:space="preserve">zejména zvýšení ukazatele </w:t>
      </w:r>
      <w:r w:rsidR="00F76E93" w:rsidRPr="0055124D">
        <w:rPr>
          <w:rFonts w:asciiTheme="minorHAnsi" w:eastAsia="Times New Roman" w:hAnsiTheme="minorHAnsi"/>
          <w:bCs/>
          <w:sz w:val="24"/>
          <w:szCs w:val="24"/>
          <w:lang w:eastAsia="cs-CZ"/>
        </w:rPr>
        <w:t>N</w:t>
      </w:r>
      <w:r w:rsidR="00F76E93" w:rsidRPr="0055124D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. Meziroční pokles MP pedagogických pracovníků má jediný kraj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ský úřad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, a</w:t>
      </w:r>
      <w:r w:rsidR="00814D6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to Liberecký 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pokles o</w:t>
      </w:r>
      <w:r w:rsidR="00AE4D7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57</w:t>
      </w:r>
      <w:r w:rsidR="00AE4D7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Kč</w:t>
      </w:r>
      <w:r w:rsidR="00775196">
        <w:rPr>
          <w:rFonts w:asciiTheme="minorHAnsi" w:eastAsia="Times New Roman" w:hAnsiTheme="minorHAnsi"/>
          <w:sz w:val="24"/>
          <w:szCs w:val="24"/>
          <w:lang w:eastAsia="cs-CZ"/>
        </w:rPr>
        <w:t>/klienta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tj. o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2 %).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C38ED">
        <w:rPr>
          <w:rFonts w:asciiTheme="minorHAnsi" w:eastAsia="Times New Roman" w:hAnsiTheme="minorHAnsi"/>
          <w:sz w:val="24"/>
          <w:szCs w:val="24"/>
          <w:lang w:eastAsia="cs-CZ"/>
        </w:rPr>
        <w:t>Důvodem je zvýšení ukazatele N</w:t>
      </w:r>
      <w:r w:rsidR="008C38ED"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8C38ED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C94415">
        <w:rPr>
          <w:rFonts w:asciiTheme="minorHAnsi" w:eastAsia="Times New Roman" w:hAnsiTheme="minorHAnsi"/>
          <w:sz w:val="24"/>
          <w:szCs w:val="24"/>
          <w:lang w:eastAsia="cs-CZ"/>
        </w:rPr>
        <w:t>Podrobně viz následující graf.</w:t>
      </w:r>
    </w:p>
    <w:p w14:paraId="08964F94" w14:textId="77777777" w:rsidR="00F352E9" w:rsidRDefault="00F352E9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36C50BB6" w14:textId="77777777" w:rsidR="00512C2B" w:rsidRDefault="00512C2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br w:type="page"/>
      </w:r>
    </w:p>
    <w:p w14:paraId="73A8EA7F" w14:textId="11D86C72" w:rsidR="00B64741" w:rsidRDefault="002769CE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64741">
        <w:rPr>
          <w:rFonts w:eastAsia="Times New Roman" w:cs="Calibri"/>
          <w:color w:val="000000"/>
          <w:sz w:val="24"/>
          <w:szCs w:val="24"/>
          <w:lang w:eastAsia="cs-CZ"/>
        </w:rPr>
        <w:t xml:space="preserve">MP </w:t>
      </w:r>
      <w:r w:rsidR="00B64741" w:rsidRPr="00AA2CE4">
        <w:rPr>
          <w:rFonts w:eastAsia="Times New Roman" w:cs="Calibri"/>
          <w:color w:val="000000"/>
          <w:sz w:val="24"/>
          <w:szCs w:val="24"/>
          <w:lang w:eastAsia="cs-CZ"/>
        </w:rPr>
        <w:t xml:space="preserve">pedagogických </w:t>
      </w:r>
      <w:r w:rsidR="00B64741" w:rsidRPr="0055124D">
        <w:rPr>
          <w:rFonts w:asciiTheme="minorHAnsi" w:eastAsia="Times New Roman" w:hAnsiTheme="minorHAnsi"/>
          <w:sz w:val="24"/>
          <w:szCs w:val="24"/>
          <w:lang w:eastAsia="cs-CZ"/>
        </w:rPr>
        <w:t>pracovníků</w:t>
      </w:r>
      <w:r w:rsidR="00B64741"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B64741">
        <w:rPr>
          <w:rFonts w:eastAsia="Times New Roman" w:cs="Calibri"/>
          <w:color w:val="000000"/>
          <w:sz w:val="24"/>
          <w:szCs w:val="24"/>
          <w:lang w:eastAsia="cs-CZ"/>
        </w:rPr>
        <w:t>absolutně v Kč</w:t>
      </w:r>
      <w:r w:rsidR="00B64741" w:rsidRPr="00364E14">
        <w:rPr>
          <w:rFonts w:eastAsia="Times New Roman" w:cs="Calibri"/>
          <w:color w:val="000000"/>
          <w:lang w:eastAsia="cs-CZ"/>
        </w:rPr>
        <w:t>/</w:t>
      </w:r>
      <w:r w:rsidR="00B64741">
        <w:rPr>
          <w:rFonts w:eastAsia="Times New Roman" w:cs="Calibri"/>
          <w:color w:val="000000"/>
          <w:lang w:eastAsia="cs-CZ"/>
        </w:rPr>
        <w:t>klienta</w:t>
      </w:r>
      <w:r w:rsidR="00B64741" w:rsidRPr="00364E14">
        <w:rPr>
          <w:rFonts w:eastAsia="Times New Roman" w:cs="Calibri"/>
          <w:color w:val="000000"/>
          <w:lang w:eastAsia="cs-CZ"/>
        </w:rPr>
        <w:t>)</w:t>
      </w:r>
      <w:r w:rsidR="00B64741"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50E42236" w14:textId="05247C14" w:rsidR="00B64741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AA2CE4">
        <w:rPr>
          <w:noProof/>
        </w:rPr>
        <w:t xml:space="preserve"> </w:t>
      </w:r>
      <w:r w:rsidR="00E10E75">
        <w:rPr>
          <w:noProof/>
        </w:rPr>
        <w:drawing>
          <wp:inline distT="0" distB="0" distL="0" distR="0" wp14:anchorId="63B8C8EE" wp14:editId="54B321A5">
            <wp:extent cx="4330800" cy="2239200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0800" cy="22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8A394" w14:textId="6BF10F7D" w:rsidR="00B64741" w:rsidRPr="0055124D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Porovnání MP nepedagogických zaměstnanců</w:t>
      </w:r>
      <w:r w:rsidRPr="0055124D" w:rsidDel="009951E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roku 2021 oproti roku 2020: </w:t>
      </w:r>
    </w:p>
    <w:p w14:paraId="43C8407A" w14:textId="3706686C" w:rsidR="00B64741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meziroční nárůst MP nepedagogických zaměstnanců 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je u</w:t>
      </w:r>
      <w:r w:rsidR="00AD27A2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l. m. Prah</w:t>
      </w:r>
      <w:r w:rsidR="00AD27A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nárůst o</w:t>
      </w:r>
      <w:r w:rsidR="00693BD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310</w:t>
      </w:r>
      <w:r w:rsidR="000768A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Kč</w:t>
      </w:r>
      <w:r w:rsidR="00534F59">
        <w:rPr>
          <w:rFonts w:asciiTheme="minorHAnsi" w:eastAsia="Times New Roman" w:hAnsiTheme="minorHAnsi"/>
          <w:sz w:val="24"/>
          <w:szCs w:val="24"/>
          <w:lang w:eastAsia="cs-CZ"/>
        </w:rPr>
        <w:t>/klienta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tj. o 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300 %), důvodem je </w:t>
      </w:r>
      <w:r w:rsidR="00F76E93">
        <w:rPr>
          <w:rFonts w:asciiTheme="minorHAnsi" w:eastAsia="Times New Roman" w:hAnsiTheme="minorHAnsi"/>
          <w:sz w:val="24"/>
          <w:szCs w:val="24"/>
          <w:lang w:eastAsia="cs-CZ"/>
        </w:rPr>
        <w:t>výrazné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snížení ukazatele N</w:t>
      </w:r>
      <w:r w:rsidRPr="0055124D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5B8E3959" w14:textId="77777777" w:rsidR="00512C2B" w:rsidRDefault="00512C2B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65CB7AD6" w14:textId="553B35DD" w:rsidR="00B64741" w:rsidRPr="00324500" w:rsidRDefault="00B64741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Nárůst 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MP </w:t>
      </w:r>
      <w:r w:rsidRPr="00F2641D">
        <w:rPr>
          <w:rFonts w:eastAsia="Times New Roman" w:cs="Calibri"/>
          <w:color w:val="000000"/>
          <w:sz w:val="24"/>
          <w:szCs w:val="24"/>
          <w:lang w:eastAsia="cs-CZ"/>
        </w:rPr>
        <w:t>nepedagogických zaměstnanců</w:t>
      </w:r>
      <w:r w:rsidRPr="00F2641D" w:rsidDel="00F2641D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Pr="003C5710">
        <w:rPr>
          <w:rFonts w:eastAsia="Times New Roman" w:cs="Calibri"/>
          <w:color w:val="000000"/>
          <w:sz w:val="24"/>
          <w:szCs w:val="24"/>
          <w:lang w:eastAsia="cs-CZ"/>
        </w:rPr>
        <w:t>absolutně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 v Kč</w:t>
      </w:r>
      <w:r w:rsidRPr="00364E14">
        <w:rPr>
          <w:rFonts w:eastAsia="Times New Roman" w:cs="Calibri"/>
          <w:color w:val="000000"/>
          <w:lang w:eastAsia="cs-CZ"/>
        </w:rPr>
        <w:t>/</w:t>
      </w:r>
      <w:r>
        <w:rPr>
          <w:rFonts w:eastAsia="Times New Roman" w:cs="Calibri"/>
          <w:color w:val="000000"/>
          <w:lang w:eastAsia="cs-CZ"/>
        </w:rPr>
        <w:t>klienta</w:t>
      </w:r>
      <w:r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569A9035" w14:textId="77777777" w:rsidR="00B64741" w:rsidRDefault="00B6474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7E8EF9AA" wp14:editId="771E88AF">
            <wp:extent cx="4316400" cy="2217600"/>
            <wp:effectExtent l="0" t="0" r="825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6400" cy="221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A77E2" w14:textId="405F04BB" w:rsidR="00865BA3" w:rsidRDefault="00F76E93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11" w:name="_Hlk83111875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865BA3">
        <w:rPr>
          <w:rFonts w:asciiTheme="minorHAnsi" w:eastAsia="Times New Roman" w:hAnsiTheme="minorHAnsi"/>
          <w:sz w:val="24"/>
          <w:szCs w:val="24"/>
          <w:lang w:eastAsia="cs-CZ"/>
        </w:rPr>
        <w:t>MP v roce 2021</w:t>
      </w:r>
      <w:r w:rsidR="0040492A">
        <w:rPr>
          <w:rFonts w:asciiTheme="minorHAnsi" w:eastAsia="Times New Roman" w:hAnsiTheme="minorHAnsi"/>
          <w:sz w:val="24"/>
          <w:szCs w:val="24"/>
          <w:lang w:eastAsia="cs-CZ"/>
        </w:rPr>
        <w:t xml:space="preserve"> v Kč/klienta</w:t>
      </w:r>
      <w:r w:rsidR="00865BA3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bookmarkEnd w:id="11"/>
    <w:p w14:paraId="7AEA1DAC" w14:textId="4D9B354B" w:rsidR="00865BA3" w:rsidRDefault="00962691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6586605" wp14:editId="7A3AF1E8">
            <wp:extent cx="4287600" cy="2667600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7600" cy="26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EDBA1" w14:textId="77777777" w:rsidR="00AE4ECE" w:rsidRDefault="00AE4ECE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68427AB5" w14:textId="41FC6489" w:rsidR="009026E1" w:rsidRDefault="009026E1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66C3A">
        <w:rPr>
          <w:rFonts w:asciiTheme="minorHAnsi" w:eastAsia="Times New Roman" w:hAnsiTheme="minorHAnsi"/>
          <w:b/>
          <w:sz w:val="24"/>
          <w:szCs w:val="24"/>
          <w:lang w:eastAsia="cs-CZ"/>
        </w:rPr>
        <w:t>Speciálně pedagogická centra</w:t>
      </w:r>
    </w:p>
    <w:p w14:paraId="0608AA98" w14:textId="7007AB3C" w:rsidR="00A06044" w:rsidRDefault="00A0604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2640A5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bookmarkStart w:id="12" w:name="_Hlk84332698"/>
      <w:r w:rsidR="00533A28" w:rsidRPr="002640A5">
        <w:rPr>
          <w:rFonts w:asciiTheme="minorHAnsi" w:eastAsia="Times New Roman" w:hAnsiTheme="minorHAnsi"/>
          <w:sz w:val="24"/>
          <w:szCs w:val="24"/>
          <w:lang w:eastAsia="cs-CZ"/>
        </w:rPr>
        <w:t>speciálně pedagogická centra</w:t>
      </w:r>
      <w:r w:rsidR="002640A5" w:rsidRPr="002640A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End w:id="12"/>
      <w:r w:rsidR="00A377E2">
        <w:rPr>
          <w:rFonts w:asciiTheme="minorHAnsi" w:eastAsia="Times New Roman" w:hAnsiTheme="minorHAnsi"/>
          <w:sz w:val="24"/>
          <w:szCs w:val="24"/>
          <w:lang w:eastAsia="cs-CZ"/>
        </w:rPr>
        <w:t xml:space="preserve">(dále jen „SPC“) </w:t>
      </w:r>
      <w:r w:rsidRPr="002640A5">
        <w:rPr>
          <w:rFonts w:asciiTheme="minorHAnsi" w:eastAsia="Times New Roman" w:hAnsiTheme="minorHAnsi"/>
          <w:sz w:val="24"/>
          <w:szCs w:val="24"/>
          <w:lang w:eastAsia="cs-CZ"/>
        </w:rPr>
        <w:t>lze k normativu stanovit opravný koeficient, který může zohlednit</w:t>
      </w:r>
      <w:r w:rsidR="002640A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640A5" w:rsidRPr="00825EF2">
        <w:rPr>
          <w:rFonts w:asciiTheme="minorHAnsi" w:eastAsia="Times New Roman" w:hAnsiTheme="minorHAnsi"/>
          <w:sz w:val="24"/>
          <w:szCs w:val="24"/>
          <w:lang w:eastAsia="cs-CZ"/>
        </w:rPr>
        <w:t>druh znevýhodnění</w:t>
      </w:r>
      <w:r w:rsidR="002640A5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44AA065B" w14:textId="5CE15624" w:rsidR="00A06044" w:rsidRDefault="00A0604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ormativ bez opravného koeficientu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stanovilo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544B8">
        <w:rPr>
          <w:rFonts w:asciiTheme="minorHAnsi" w:eastAsia="Times New Roman" w:hAnsiTheme="minorHAnsi"/>
          <w:sz w:val="24"/>
          <w:szCs w:val="24"/>
          <w:lang w:eastAsia="cs-CZ"/>
        </w:rPr>
        <w:t>sedm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ů: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71291F" w:rsidRPr="00825EF2">
        <w:rPr>
          <w:rFonts w:asciiTheme="minorHAnsi" w:eastAsia="Times New Roman" w:hAnsiTheme="minorHAnsi"/>
          <w:sz w:val="24"/>
          <w:szCs w:val="24"/>
          <w:lang w:eastAsia="cs-CZ"/>
        </w:rPr>
        <w:t>l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. m. Praha, Plzeňský, </w:t>
      </w:r>
      <w:r w:rsidR="009544B8" w:rsidRPr="008E6D83">
        <w:rPr>
          <w:rFonts w:asciiTheme="minorHAnsi" w:eastAsia="Times New Roman" w:hAnsiTheme="minorHAnsi"/>
          <w:sz w:val="24"/>
          <w:szCs w:val="24"/>
          <w:lang w:eastAsia="cs-CZ"/>
        </w:rPr>
        <w:t>Ústecký</w:t>
      </w:r>
      <w:r w:rsidR="009544B8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9544B8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>Pardubický, Vysočina, Jihomoravský a Olomoucký</w:t>
      </w:r>
      <w:r w:rsidR="00B13436">
        <w:rPr>
          <w:rFonts w:asciiTheme="minorHAnsi" w:eastAsia="Times New Roman" w:hAnsiTheme="minorHAnsi"/>
          <w:sz w:val="24"/>
          <w:szCs w:val="24"/>
          <w:lang w:eastAsia="cs-CZ"/>
        </w:rPr>
        <w:t xml:space="preserve"> (z toho šest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="00B13436">
        <w:rPr>
          <w:rFonts w:asciiTheme="minorHAnsi" w:eastAsia="Times New Roman" w:hAnsiTheme="minorHAnsi"/>
          <w:sz w:val="24"/>
          <w:szCs w:val="24"/>
          <w:lang w:eastAsia="cs-CZ"/>
        </w:rPr>
        <w:t>ů stanovilo normativ jednou hodnotou)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>Zlínsk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35352">
        <w:rPr>
          <w:rFonts w:asciiTheme="minorHAnsi" w:eastAsia="Times New Roman" w:hAnsiTheme="minorHAnsi"/>
          <w:sz w:val="24"/>
          <w:szCs w:val="24"/>
          <w:lang w:eastAsia="cs-CZ"/>
        </w:rPr>
        <w:t>stanovil dva různé normativy (tj.</w:t>
      </w:r>
      <w:r w:rsidR="00AE68AE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>opravné koeficienty</w:t>
      </w:r>
      <w:r w:rsidR="00035352" w:rsidRPr="0003535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35352" w:rsidRPr="00825EF2">
        <w:rPr>
          <w:rFonts w:asciiTheme="minorHAnsi" w:eastAsia="Times New Roman" w:hAnsiTheme="minorHAnsi"/>
          <w:sz w:val="24"/>
          <w:szCs w:val="24"/>
          <w:lang w:eastAsia="cs-CZ"/>
        </w:rPr>
        <w:t>neuvádí</w:t>
      </w:r>
      <w:r w:rsidR="00035352">
        <w:rPr>
          <w:rFonts w:asciiTheme="minorHAnsi" w:eastAsia="Times New Roman" w:hAnsiTheme="minorHAnsi"/>
          <w:sz w:val="24"/>
          <w:szCs w:val="24"/>
          <w:lang w:eastAsia="cs-CZ"/>
        </w:rPr>
        <w:t>).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>Ústeck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478E1">
        <w:rPr>
          <w:rFonts w:asciiTheme="minorHAnsi" w:eastAsia="Times New Roman" w:hAnsiTheme="minorHAnsi"/>
          <w:sz w:val="24"/>
          <w:szCs w:val="24"/>
          <w:lang w:eastAsia="cs-CZ"/>
        </w:rPr>
        <w:t xml:space="preserve">jako jediný 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má </w:t>
      </w:r>
      <w:r w:rsidR="00C478E1">
        <w:rPr>
          <w:rFonts w:asciiTheme="minorHAnsi" w:eastAsia="Times New Roman" w:hAnsiTheme="minorHAnsi"/>
          <w:sz w:val="24"/>
          <w:szCs w:val="24"/>
          <w:lang w:eastAsia="cs-CZ"/>
        </w:rPr>
        <w:t xml:space="preserve">stanoven 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>normativ</w:t>
      </w:r>
      <w:r w:rsidR="00EE1E3F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8E6D83" w:rsidRPr="008E6D83">
        <w:rPr>
          <w:rFonts w:asciiTheme="minorHAnsi" w:eastAsia="Times New Roman" w:hAnsiTheme="minorHAnsi"/>
          <w:sz w:val="24"/>
          <w:szCs w:val="24"/>
          <w:lang w:eastAsia="cs-CZ"/>
        </w:rPr>
        <w:t xml:space="preserve"> jako funkční závislost na výkonech</w:t>
      </w:r>
      <w:r w:rsidR="003A0B9F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0F49A6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EE1E3F">
        <w:rPr>
          <w:rFonts w:asciiTheme="minorHAnsi" w:eastAsia="Times New Roman" w:hAnsiTheme="minorHAnsi"/>
          <w:sz w:val="24"/>
          <w:szCs w:val="24"/>
          <w:lang w:eastAsia="cs-CZ"/>
        </w:rPr>
        <w:t xml:space="preserve">další </w:t>
      </w:r>
      <w:r w:rsidR="000F49A6">
        <w:rPr>
          <w:rFonts w:asciiTheme="minorHAnsi" w:eastAsia="Times New Roman" w:hAnsiTheme="minorHAnsi"/>
          <w:sz w:val="24"/>
          <w:szCs w:val="24"/>
          <w:lang w:eastAsia="cs-CZ"/>
        </w:rPr>
        <w:t xml:space="preserve">zpracování jsou použity hodnoty </w:t>
      </w:r>
      <w:r w:rsidR="003A0B9F">
        <w:rPr>
          <w:rFonts w:asciiTheme="minorHAnsi" w:eastAsia="Times New Roman" w:hAnsiTheme="minorHAnsi"/>
          <w:sz w:val="24"/>
          <w:szCs w:val="24"/>
          <w:lang w:eastAsia="cs-CZ"/>
        </w:rPr>
        <w:t>pro 500</w:t>
      </w:r>
      <w:r w:rsidR="000F49A6">
        <w:rPr>
          <w:rFonts w:asciiTheme="minorHAnsi" w:eastAsia="Times New Roman" w:hAnsiTheme="minorHAnsi"/>
          <w:sz w:val="24"/>
          <w:szCs w:val="24"/>
          <w:lang w:eastAsia="cs-CZ"/>
        </w:rPr>
        <w:t xml:space="preserve"> klientů</w:t>
      </w:r>
      <w:r w:rsidR="003A0B9F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C478E1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8725A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>Zbylé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stanov</w:t>
      </w:r>
      <w:r w:rsidR="0061307B">
        <w:rPr>
          <w:rFonts w:asciiTheme="minorHAnsi" w:eastAsia="Times New Roman" w:hAnsiTheme="minorHAnsi"/>
          <w:sz w:val="24"/>
          <w:szCs w:val="24"/>
          <w:lang w:eastAsia="cs-CZ"/>
        </w:rPr>
        <w:t>ily</w:t>
      </w:r>
      <w:r w:rsidR="009026E1"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opravné koeficienty podle druhu znevýhodnění</w:t>
      </w:r>
      <w:r w:rsidR="009026E1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9026E1" w:rsidRPr="008D60C1">
        <w:rPr>
          <w:rFonts w:asciiTheme="minorHAnsi" w:eastAsia="Times New Roman" w:hAnsiTheme="minorHAnsi"/>
          <w:sz w:val="24"/>
          <w:szCs w:val="24"/>
          <w:lang w:eastAsia="cs-CZ"/>
        </w:rPr>
        <w:t>Středočeský, Jihočeský, Karlovarský, Liberecký, Královéhradecký</w:t>
      </w:r>
      <w:r w:rsidR="009026E1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9026E1" w:rsidRPr="008D60C1">
        <w:rPr>
          <w:rFonts w:asciiTheme="minorHAnsi" w:eastAsia="Times New Roman" w:hAnsiTheme="minorHAnsi"/>
          <w:sz w:val="24"/>
          <w:szCs w:val="24"/>
          <w:lang w:eastAsia="cs-CZ"/>
        </w:rPr>
        <w:t>Moravskoslezský</w:t>
      </w:r>
      <w:r w:rsidR="001D0ACE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137EBF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137EBF" w:rsidRPr="00137EB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137EBF">
        <w:rPr>
          <w:rFonts w:asciiTheme="minorHAnsi" w:eastAsia="Times New Roman" w:hAnsiTheme="minorHAnsi"/>
          <w:sz w:val="24"/>
          <w:szCs w:val="24"/>
          <w:lang w:eastAsia="cs-CZ"/>
        </w:rPr>
        <w:t>Liberecký tak stanovil</w:t>
      </w:r>
      <w:bookmarkStart w:id="13" w:name="_Hlk84227610"/>
      <w:r w:rsidR="00137EBF">
        <w:rPr>
          <w:rFonts w:asciiTheme="minorHAnsi" w:eastAsia="Times New Roman" w:hAnsiTheme="minorHAnsi"/>
          <w:sz w:val="24"/>
          <w:szCs w:val="24"/>
          <w:lang w:eastAsia="cs-CZ"/>
        </w:rPr>
        <w:t xml:space="preserve"> celkem sedm normativů, </w:t>
      </w:r>
      <w:bookmarkEnd w:id="13"/>
      <w:r w:rsidR="00137EBF" w:rsidRPr="002D348C">
        <w:rPr>
          <w:rFonts w:asciiTheme="minorHAnsi" w:eastAsia="Times New Roman" w:hAnsiTheme="minorHAnsi"/>
          <w:sz w:val="24"/>
          <w:szCs w:val="24"/>
          <w:lang w:eastAsia="cs-CZ"/>
        </w:rPr>
        <w:t>Moravskoslezský</w:t>
      </w:r>
      <w:r w:rsidR="00137EBF">
        <w:rPr>
          <w:rFonts w:asciiTheme="minorHAnsi" w:eastAsia="Times New Roman" w:hAnsiTheme="minorHAnsi"/>
          <w:sz w:val="24"/>
          <w:szCs w:val="24"/>
          <w:lang w:eastAsia="cs-CZ"/>
        </w:rPr>
        <w:t xml:space="preserve"> šest normativů, Královéhradecký pět normativů, Jihočeský tři normativy</w:t>
      </w:r>
      <w:r w:rsidR="00787517">
        <w:rPr>
          <w:rFonts w:asciiTheme="minorHAnsi" w:eastAsia="Times New Roman" w:hAnsiTheme="minorHAnsi"/>
          <w:sz w:val="24"/>
          <w:szCs w:val="24"/>
          <w:lang w:eastAsia="cs-CZ"/>
        </w:rPr>
        <w:t xml:space="preserve"> a</w:t>
      </w:r>
      <w:r w:rsidR="00137EBF">
        <w:rPr>
          <w:rFonts w:asciiTheme="minorHAnsi" w:eastAsia="Times New Roman" w:hAnsiTheme="minorHAnsi"/>
          <w:sz w:val="24"/>
          <w:szCs w:val="24"/>
          <w:lang w:eastAsia="cs-CZ"/>
        </w:rPr>
        <w:t xml:space="preserve"> Středočeský dva normativy.</w:t>
      </w:r>
    </w:p>
    <w:p w14:paraId="1EFE5F70" w14:textId="1966756F" w:rsidR="002218AC" w:rsidRDefault="00640D1A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Použití opravného koeficientu je v těchto krajích rozdílné. </w:t>
      </w:r>
      <w:r w:rsidR="001C40AD">
        <w:rPr>
          <w:rFonts w:asciiTheme="minorHAnsi" w:eastAsia="Times New Roman" w:hAnsiTheme="minorHAnsi"/>
          <w:sz w:val="24"/>
          <w:szCs w:val="24"/>
          <w:lang w:eastAsia="cs-CZ"/>
        </w:rPr>
        <w:t xml:space="preserve">Jihočeský, 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>Liberecký a</w:t>
      </w:r>
      <w:r w:rsidR="001C40A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Královéhradecký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započítávají opravný koeficient </w:t>
      </w:r>
      <w:r w:rsidR="00F912D9">
        <w:rPr>
          <w:rFonts w:asciiTheme="minorHAnsi" w:eastAsia="Times New Roman" w:hAnsiTheme="minorHAnsi"/>
          <w:sz w:val="24"/>
          <w:szCs w:val="24"/>
          <w:lang w:eastAsia="cs-CZ"/>
        </w:rPr>
        <w:t>do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 MP i ONIV, ostatní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 jej započítávají pouze </w:t>
      </w:r>
      <w:r w:rsidR="00F912D9">
        <w:rPr>
          <w:rFonts w:asciiTheme="minorHAnsi" w:eastAsia="Times New Roman" w:hAnsiTheme="minorHAnsi"/>
          <w:sz w:val="24"/>
          <w:szCs w:val="24"/>
          <w:lang w:eastAsia="cs-CZ"/>
        </w:rPr>
        <w:t>do</w:t>
      </w:r>
      <w:r w:rsidRPr="00640D1A">
        <w:rPr>
          <w:rFonts w:asciiTheme="minorHAnsi" w:eastAsia="Times New Roman" w:hAnsiTheme="minorHAnsi"/>
          <w:sz w:val="24"/>
          <w:szCs w:val="24"/>
          <w:lang w:eastAsia="cs-CZ"/>
        </w:rPr>
        <w:t xml:space="preserve"> MP.</w:t>
      </w:r>
      <w:r w:rsidR="00F912D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B8F1EDC" w14:textId="45AB7959" w:rsidR="00D23372" w:rsidRDefault="00236316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D50978">
        <w:rPr>
          <w:rFonts w:asciiTheme="minorHAnsi" w:eastAsia="Times New Roman" w:hAnsiTheme="minorHAnsi"/>
          <w:sz w:val="24"/>
          <w:szCs w:val="24"/>
          <w:lang w:eastAsia="cs-CZ"/>
        </w:rPr>
        <w:t xml:space="preserve">odobně jako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 případě </w:t>
      </w:r>
      <w:r w:rsidRPr="00D50978">
        <w:rPr>
          <w:rFonts w:asciiTheme="minorHAnsi" w:eastAsia="Times New Roman" w:hAnsiTheme="minorHAnsi"/>
          <w:sz w:val="24"/>
          <w:szCs w:val="24"/>
          <w:lang w:eastAsia="cs-CZ"/>
        </w:rPr>
        <w:t>PPP ovlivnila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</w:t>
      </w:r>
      <w:r w:rsidR="00D23372" w:rsidRPr="00D50978">
        <w:rPr>
          <w:rFonts w:asciiTheme="minorHAnsi" w:eastAsia="Times New Roman" w:hAnsiTheme="minorHAnsi"/>
          <w:sz w:val="24"/>
          <w:szCs w:val="24"/>
          <w:lang w:eastAsia="cs-CZ"/>
        </w:rPr>
        <w:t xml:space="preserve">andemie </w:t>
      </w:r>
      <w:r w:rsidR="00D23372">
        <w:rPr>
          <w:rFonts w:asciiTheme="minorHAnsi" w:eastAsia="Times New Roman" w:hAnsiTheme="minorHAnsi"/>
          <w:sz w:val="24"/>
          <w:szCs w:val="24"/>
          <w:lang w:eastAsia="cs-CZ"/>
        </w:rPr>
        <w:t xml:space="preserve">Covid-19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i </w:t>
      </w:r>
      <w:r w:rsidR="00D23372" w:rsidRPr="00D50978">
        <w:rPr>
          <w:rFonts w:asciiTheme="minorHAnsi" w:eastAsia="Times New Roman" w:hAnsiTheme="minorHAnsi"/>
          <w:sz w:val="24"/>
          <w:szCs w:val="24"/>
          <w:lang w:eastAsia="cs-CZ"/>
        </w:rPr>
        <w:t xml:space="preserve">činnost speciálně pedagogických </w:t>
      </w:r>
      <w:r w:rsidR="00D23372" w:rsidRPr="008176BF">
        <w:rPr>
          <w:rFonts w:asciiTheme="minorHAnsi" w:eastAsia="Times New Roman" w:hAnsiTheme="minorHAnsi"/>
          <w:sz w:val="24"/>
          <w:szCs w:val="24"/>
          <w:lang w:eastAsia="cs-CZ"/>
        </w:rPr>
        <w:t>center</w:t>
      </w:r>
      <w:r w:rsidR="00D23372" w:rsidRPr="006914B7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D23372">
        <w:rPr>
          <w:rFonts w:asciiTheme="minorHAnsi" w:eastAsia="Times New Roman" w:hAnsiTheme="minorHAnsi"/>
          <w:sz w:val="24"/>
          <w:szCs w:val="24"/>
          <w:lang w:eastAsia="cs-CZ"/>
        </w:rPr>
        <w:t xml:space="preserve"> což se projevilo poklesem výkonů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rozhodných pro stanovení objemu finančních prostředků na</w:t>
      </w:r>
      <w:r w:rsidR="000E1C2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činnost SPC pro rok 2021</w:t>
      </w:r>
      <w:r w:rsidR="00D23372" w:rsidRPr="00D50978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F16049" w:rsidRPr="00F16049">
        <w:t xml:space="preserve"> </w:t>
      </w:r>
      <w:r w:rsidR="00212199" w:rsidRPr="006914B7">
        <w:rPr>
          <w:sz w:val="24"/>
        </w:rPr>
        <w:t>Proto i u S</w:t>
      </w:r>
      <w:r w:rsidR="00DB5220" w:rsidRPr="006914B7">
        <w:rPr>
          <w:sz w:val="24"/>
        </w:rPr>
        <w:t>PC bylo doporučeno upravit normativy podle skutečné potřeby zařízení.</w:t>
      </w:r>
      <w:r w:rsidR="00DB5220">
        <w:t xml:space="preserve"> </w:t>
      </w:r>
      <w:r w:rsidR="00F16049">
        <w:t>Např. s</w:t>
      </w:r>
      <w:r w:rsidR="00F16049" w:rsidRPr="00F16049">
        <w:rPr>
          <w:rFonts w:asciiTheme="minorHAnsi" w:eastAsia="Times New Roman" w:hAnsiTheme="minorHAnsi"/>
          <w:sz w:val="24"/>
          <w:szCs w:val="24"/>
          <w:lang w:eastAsia="cs-CZ"/>
        </w:rPr>
        <w:t>nížení ukazatelů N</w:t>
      </w:r>
      <w:r w:rsidR="00F16049" w:rsidRPr="00E265A1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F16049" w:rsidRPr="00F16049">
        <w:rPr>
          <w:rFonts w:asciiTheme="minorHAnsi" w:eastAsia="Times New Roman" w:hAnsiTheme="minorHAnsi"/>
          <w:sz w:val="24"/>
          <w:szCs w:val="24"/>
          <w:lang w:eastAsia="cs-CZ"/>
        </w:rPr>
        <w:t xml:space="preserve"> a N</w:t>
      </w:r>
      <w:r w:rsidR="00F16049" w:rsidRPr="00E265A1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F16049" w:rsidRPr="00F16049">
        <w:rPr>
          <w:rFonts w:asciiTheme="minorHAnsi" w:eastAsia="Times New Roman" w:hAnsiTheme="minorHAnsi"/>
          <w:sz w:val="24"/>
          <w:szCs w:val="24"/>
          <w:lang w:eastAsia="cs-CZ"/>
        </w:rPr>
        <w:t xml:space="preserve"> znamená, že na jednoho pedagogického pracovníka či nepedagogického zaměstnance je normován menší počet klientů, a tím je možno zajistit srovnatelnou výši finančních prostředků jako v roce 2020</w:t>
      </w:r>
      <w:r w:rsidR="00F16049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F16049" w:rsidRPr="00F1604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E185398" w14:textId="62E743E5" w:rsidR="00AE0CEC" w:rsidRDefault="00E9313C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BE240F">
        <w:rPr>
          <w:rFonts w:asciiTheme="minorHAnsi" w:eastAsia="Times New Roman" w:hAnsiTheme="minorHAnsi"/>
          <w:sz w:val="24"/>
          <w:szCs w:val="24"/>
          <w:lang w:eastAsia="cs-CZ"/>
        </w:rPr>
        <w:t xml:space="preserve">Ukazatel </w:t>
      </w:r>
      <w:proofErr w:type="spellStart"/>
      <w:r w:rsidRPr="00BE240F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Pr="00BE240F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Pr="00BE240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BE240F">
        <w:rPr>
          <w:rFonts w:asciiTheme="minorHAnsi" w:eastAsia="Times New Roman" w:hAnsiTheme="minorHAnsi"/>
          <w:sz w:val="24"/>
          <w:szCs w:val="24"/>
          <w:lang w:eastAsia="cs-CZ"/>
        </w:rPr>
        <w:t>výrazně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093EE3">
        <w:rPr>
          <w:rFonts w:asciiTheme="minorHAnsi" w:eastAsia="Times New Roman" w:hAnsiTheme="minorHAnsi"/>
          <w:sz w:val="24"/>
          <w:szCs w:val="24"/>
          <w:lang w:eastAsia="cs-CZ"/>
        </w:rPr>
        <w:t xml:space="preserve">meziročně 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snížil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>Karlovarsk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>, a to o 115</w:t>
      </w:r>
      <w:r w:rsidR="00582F12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>Ústeck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 se</w:t>
      </w:r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 xml:space="preserve"> snížil ukazatel </w:t>
      </w:r>
      <w:proofErr w:type="spellStart"/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BE240F" w:rsidRPr="006914B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 xml:space="preserve"> o</w:t>
      </w:r>
      <w:r w:rsidR="00C53594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BE240F">
        <w:rPr>
          <w:rFonts w:asciiTheme="minorHAnsi" w:eastAsia="Times New Roman" w:hAnsiTheme="minorHAnsi"/>
          <w:sz w:val="24"/>
          <w:szCs w:val="24"/>
          <w:lang w:eastAsia="cs-CZ"/>
        </w:rPr>
        <w:t>10</w:t>
      </w:r>
      <w:r w:rsidR="00582F12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F258AA">
        <w:rPr>
          <w:rFonts w:asciiTheme="minorHAnsi" w:eastAsia="Times New Roman" w:hAnsiTheme="minorHAnsi"/>
          <w:sz w:val="24"/>
          <w:szCs w:val="24"/>
          <w:lang w:eastAsia="cs-CZ"/>
        </w:rPr>
        <w:t>Pardubick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F258AA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6B232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="006B2327">
        <w:rPr>
          <w:rFonts w:asciiTheme="minorHAnsi" w:eastAsia="Times New Roman" w:hAnsiTheme="minorHAnsi"/>
          <w:sz w:val="24"/>
          <w:szCs w:val="24"/>
          <w:lang w:eastAsia="cs-CZ"/>
        </w:rPr>
        <w:t xml:space="preserve">zvýšil ukazatel </w:t>
      </w:r>
      <w:proofErr w:type="spellStart"/>
      <w:r w:rsidR="006B2327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6B2327" w:rsidRPr="006914B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6B2327">
        <w:rPr>
          <w:rFonts w:asciiTheme="minorHAnsi" w:eastAsia="Times New Roman" w:hAnsiTheme="minorHAnsi"/>
          <w:sz w:val="24"/>
          <w:szCs w:val="24"/>
          <w:lang w:eastAsia="cs-CZ"/>
        </w:rPr>
        <w:t xml:space="preserve"> o 6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>Moravskoslezsk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 se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4" w:name="_Hlk84336341"/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zvýšil ukazatel </w:t>
      </w:r>
      <w:proofErr w:type="spellStart"/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D223DB" w:rsidRPr="006914B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 o 8</w:t>
      </w:r>
      <w:bookmarkEnd w:id="14"/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>Libereck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 se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zvýšil ukazatel </w:t>
      </w:r>
      <w:proofErr w:type="spellStart"/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F07220" w:rsidRPr="003B681F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o 1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F258A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261F8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>kazatel N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>výrazně snížil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 v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Ústeck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(o 136) </w:t>
      </w:r>
      <w:r w:rsidRPr="00E9313C">
        <w:rPr>
          <w:rFonts w:asciiTheme="minorHAnsi" w:eastAsia="Times New Roman" w:hAnsiTheme="minorHAnsi"/>
          <w:sz w:val="24"/>
          <w:szCs w:val="24"/>
          <w:lang w:eastAsia="cs-CZ"/>
        </w:rPr>
        <w:t>a Zlínsk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 (o 185)</w:t>
      </w:r>
      <w:r w:rsidR="00566536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6B36D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71291F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D223DB">
        <w:rPr>
          <w:rFonts w:asciiTheme="minorHAnsi" w:eastAsia="Times New Roman" w:hAnsiTheme="minorHAnsi"/>
          <w:sz w:val="24"/>
          <w:szCs w:val="24"/>
          <w:lang w:eastAsia="cs-CZ"/>
        </w:rPr>
        <w:t xml:space="preserve"> Vysočina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se </w:t>
      </w:r>
      <w:r w:rsidR="004B2A2B">
        <w:rPr>
          <w:rFonts w:asciiTheme="minorHAnsi" w:eastAsia="Times New Roman" w:hAnsiTheme="minorHAnsi"/>
          <w:sz w:val="24"/>
          <w:szCs w:val="24"/>
          <w:lang w:eastAsia="cs-CZ"/>
        </w:rPr>
        <w:t>též snížil ukazatel N</w:t>
      </w:r>
      <w:r w:rsidR="008D5CB2" w:rsidRPr="006914B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4B2A2B">
        <w:rPr>
          <w:rFonts w:asciiTheme="minorHAnsi" w:eastAsia="Times New Roman" w:hAnsiTheme="minorHAnsi"/>
          <w:sz w:val="24"/>
          <w:szCs w:val="24"/>
          <w:lang w:eastAsia="cs-CZ"/>
        </w:rPr>
        <w:t xml:space="preserve">, a to o 50.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>Pardubick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i se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zvýšil ukazatel N</w:t>
      </w:r>
      <w:r w:rsidR="00F07220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o </w:t>
      </w:r>
      <w:r w:rsidR="00EB78A7">
        <w:rPr>
          <w:rFonts w:asciiTheme="minorHAnsi" w:eastAsia="Times New Roman" w:hAnsiTheme="minorHAnsi"/>
          <w:sz w:val="24"/>
          <w:szCs w:val="24"/>
          <w:lang w:eastAsia="cs-CZ"/>
        </w:rPr>
        <w:t>43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>Moravskoslezsk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i se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zvýšil ukazatel </w:t>
      </w:r>
      <w:proofErr w:type="spellStart"/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F07220" w:rsidRPr="003B681F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proofErr w:type="spellEnd"/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 o </w:t>
      </w:r>
      <w:r w:rsidR="00EB78A7">
        <w:rPr>
          <w:rFonts w:asciiTheme="minorHAnsi" w:eastAsia="Times New Roman" w:hAnsiTheme="minorHAnsi"/>
          <w:sz w:val="24"/>
          <w:szCs w:val="24"/>
          <w:lang w:eastAsia="cs-CZ"/>
        </w:rPr>
        <w:t>34</w:t>
      </w:r>
      <w:r w:rsidR="00F07220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1D558E">
        <w:rPr>
          <w:rFonts w:asciiTheme="minorHAnsi" w:eastAsia="Times New Roman" w:hAnsiTheme="minorHAnsi"/>
          <w:sz w:val="24"/>
          <w:szCs w:val="24"/>
          <w:lang w:eastAsia="cs-CZ"/>
        </w:rPr>
        <w:t>Podrobně viz následující graf.</w:t>
      </w:r>
    </w:p>
    <w:p w14:paraId="6D9B0E22" w14:textId="77777777" w:rsidR="00512C2B" w:rsidRDefault="00512C2B" w:rsidP="00AB563B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1CAD7187" w14:textId="77777777" w:rsidR="00512C2B" w:rsidRDefault="00512C2B" w:rsidP="00AB563B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1925B984" w14:textId="1793D05E" w:rsidR="00AB563B" w:rsidRDefault="00AB563B" w:rsidP="00AB563B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ukazatele </w:t>
      </w:r>
      <w:proofErr w:type="spellStart"/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>N</w:t>
      </w:r>
      <w:r w:rsidRPr="00692D5B">
        <w:rPr>
          <w:rFonts w:eastAsia="Times New Roman" w:cs="Calibri"/>
          <w:color w:val="000000"/>
          <w:sz w:val="16"/>
          <w:szCs w:val="16"/>
          <w:lang w:eastAsia="cs-CZ"/>
        </w:rPr>
        <w:t>p</w:t>
      </w:r>
      <w:proofErr w:type="spellEnd"/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cs-CZ"/>
        </w:rPr>
        <w:t>roku 2021 oproti roku 2020 absolutně</w:t>
      </w:r>
      <w:r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17E06BCA" w14:textId="77777777" w:rsidR="00512C2B" w:rsidRDefault="009A350B" w:rsidP="00AB563B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533CB8" wp14:editId="3A0896F3">
            <wp:simplePos x="723900" y="5448300"/>
            <wp:positionH relativeFrom="column">
              <wp:align>left</wp:align>
            </wp:positionH>
            <wp:positionV relativeFrom="paragraph">
              <wp:align>top</wp:align>
            </wp:positionV>
            <wp:extent cx="4781550" cy="2324100"/>
            <wp:effectExtent l="0" t="0" r="0" b="0"/>
            <wp:wrapSquare wrapText="bothSides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173F">
        <w:rPr>
          <w:rFonts w:eastAsia="Times New Roman" w:cs="Calibri"/>
          <w:color w:val="000000"/>
          <w:sz w:val="24"/>
          <w:szCs w:val="24"/>
          <w:lang w:eastAsia="cs-CZ"/>
        </w:rPr>
        <w:br w:type="textWrapping" w:clear="all"/>
      </w:r>
    </w:p>
    <w:p w14:paraId="523AF39C" w14:textId="707A1E11" w:rsidR="00AB563B" w:rsidRPr="00324500" w:rsidRDefault="00AB563B" w:rsidP="00AB563B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ukazatele N</w:t>
      </w:r>
      <w:r>
        <w:rPr>
          <w:rFonts w:eastAsia="Times New Roman" w:cs="Calibri"/>
          <w:color w:val="000000"/>
          <w:sz w:val="16"/>
          <w:szCs w:val="16"/>
          <w:lang w:eastAsia="cs-CZ"/>
        </w:rPr>
        <w:t>o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cs-CZ"/>
        </w:rPr>
        <w:t>roku 2021 oproti roku 2020 absolutně</w:t>
      </w:r>
      <w:r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3AA08A0E" w14:textId="5623BA6E" w:rsidR="00AB563B" w:rsidRDefault="005E4F45" w:rsidP="00AB563B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3B3E8B3" wp14:editId="17F2F398">
            <wp:extent cx="4781550" cy="2295525"/>
            <wp:effectExtent l="0" t="0" r="0" b="952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5E59" w:rsidRPr="00D25E59">
        <w:rPr>
          <w:noProof/>
        </w:rPr>
        <w:t xml:space="preserve"> </w:t>
      </w:r>
    </w:p>
    <w:p w14:paraId="5B271A6D" w14:textId="2788945B" w:rsidR="000E38A7" w:rsidRPr="00892E67" w:rsidRDefault="000E38A7" w:rsidP="000E38A7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92E67">
        <w:rPr>
          <w:rFonts w:asciiTheme="minorHAnsi" w:eastAsia="Times New Roman" w:hAnsiTheme="minorHAnsi"/>
          <w:sz w:val="24"/>
          <w:szCs w:val="24"/>
          <w:lang w:eastAsia="cs-CZ"/>
        </w:rPr>
        <w:t xml:space="preserve">Největší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meziroční </w:t>
      </w:r>
      <w:r w:rsidRPr="00892E67">
        <w:rPr>
          <w:rFonts w:asciiTheme="minorHAnsi" w:eastAsia="Times New Roman" w:hAnsiTheme="minorHAnsi"/>
          <w:sz w:val="24"/>
          <w:szCs w:val="24"/>
          <w:lang w:eastAsia="cs-CZ"/>
        </w:rPr>
        <w:t xml:space="preserve">nárůst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ukazatelů 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vykazuje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Ústecký kraj. Ukazatel 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se zvýšil o </w:t>
      </w:r>
      <w:r w:rsidRPr="0063739D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3</w:t>
      </w:r>
      <w:r w:rsidRPr="0063739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280</w:t>
      </w:r>
      <w:r w:rsidRPr="0063739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Kč</w:t>
      </w:r>
      <w:r w:rsidR="008A1EF9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tj. o 42 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%),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ukazatel P</w:t>
      </w:r>
      <w:r w:rsidRPr="00892E6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se zvýšil o </w:t>
      </w:r>
      <w:r w:rsidRPr="00D64C2D">
        <w:rPr>
          <w:rFonts w:asciiTheme="minorHAnsi" w:eastAsia="Times New Roman" w:hAnsiTheme="minorHAnsi"/>
          <w:sz w:val="24"/>
          <w:szCs w:val="24"/>
          <w:lang w:eastAsia="cs-CZ"/>
        </w:rPr>
        <w:t>12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64C2D">
        <w:rPr>
          <w:rFonts w:asciiTheme="minorHAnsi" w:eastAsia="Times New Roman" w:hAnsiTheme="minorHAnsi"/>
          <w:sz w:val="24"/>
          <w:szCs w:val="24"/>
          <w:lang w:eastAsia="cs-CZ"/>
        </w:rPr>
        <w:t>677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Kč </w:t>
      </w:r>
      <w:r w:rsidR="008A1EF9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tj. o 77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%)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Tento výrazný nárůst navazuje na změnu mezi roky 2020 a 2019, kdy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 úřad 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>Ústeck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 meziročně snížil ukazatel P</w:t>
      </w:r>
      <w:r w:rsidR="005E3B49" w:rsidRPr="00892E6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 o 17,5 % a ukazatel P</w:t>
      </w:r>
      <w:r w:rsidR="005E3B49" w:rsidRPr="00892E6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 o 21,2 %. </w:t>
      </w:r>
      <w:r w:rsidR="002726E5">
        <w:rPr>
          <w:rFonts w:asciiTheme="minorHAnsi" w:eastAsia="Times New Roman" w:hAnsiTheme="minorHAnsi"/>
          <w:sz w:val="24"/>
          <w:szCs w:val="24"/>
          <w:lang w:eastAsia="cs-CZ"/>
        </w:rPr>
        <w:t xml:space="preserve">Tyto </w:t>
      </w:r>
      <w:r w:rsidR="005E3B49">
        <w:rPr>
          <w:rFonts w:asciiTheme="minorHAnsi" w:eastAsia="Times New Roman" w:hAnsiTheme="minorHAnsi"/>
          <w:sz w:val="24"/>
          <w:szCs w:val="24"/>
          <w:lang w:eastAsia="cs-CZ"/>
        </w:rPr>
        <w:t xml:space="preserve">dvě </w:t>
      </w:r>
      <w:r w:rsidR="002726E5" w:rsidRPr="006914B7">
        <w:rPr>
          <w:rFonts w:asciiTheme="minorHAnsi" w:eastAsia="Times New Roman" w:hAnsiTheme="minorHAnsi"/>
          <w:sz w:val="24"/>
          <w:szCs w:val="24"/>
          <w:lang w:eastAsia="cs-CZ"/>
        </w:rPr>
        <w:t>změn</w:t>
      </w:r>
      <w:r w:rsidR="002726E5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2726E5" w:rsidRPr="006914B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6914B7">
        <w:rPr>
          <w:rFonts w:asciiTheme="minorHAnsi" w:eastAsia="Times New Roman" w:hAnsiTheme="minorHAnsi"/>
          <w:sz w:val="24"/>
          <w:szCs w:val="24"/>
          <w:lang w:eastAsia="cs-CZ"/>
        </w:rPr>
        <w:t>ukazatelů P</w:t>
      </w:r>
      <w:r w:rsidRPr="006914B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6914B7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6914B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6914B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726E5">
        <w:rPr>
          <w:rFonts w:asciiTheme="minorHAnsi" w:eastAsia="Times New Roman" w:hAnsiTheme="minorHAnsi"/>
          <w:sz w:val="24"/>
          <w:szCs w:val="24"/>
          <w:lang w:eastAsia="cs-CZ"/>
        </w:rPr>
        <w:t>způsobily</w:t>
      </w:r>
      <w:r w:rsidR="008C77BA">
        <w:rPr>
          <w:rFonts w:asciiTheme="minorHAnsi" w:eastAsia="Times New Roman" w:hAnsiTheme="minorHAnsi"/>
          <w:sz w:val="24"/>
          <w:szCs w:val="24"/>
          <w:lang w:eastAsia="cs-CZ"/>
        </w:rPr>
        <w:t>, že</w:t>
      </w:r>
      <w:r w:rsidR="005F6D6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v </w:t>
      </w:r>
      <w:r w:rsidR="00705548" w:rsidRPr="00705548">
        <w:rPr>
          <w:rFonts w:asciiTheme="minorHAnsi" w:eastAsia="Times New Roman" w:hAnsiTheme="minorHAnsi"/>
          <w:sz w:val="24"/>
          <w:szCs w:val="24"/>
          <w:lang w:eastAsia="cs-CZ"/>
        </w:rPr>
        <w:t>Ústeck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ém</w:t>
      </w:r>
      <w:r w:rsidR="00705548" w:rsidRPr="00705548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i</w:t>
      </w:r>
      <w:r w:rsidR="001357C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="001D356C">
        <w:rPr>
          <w:rFonts w:asciiTheme="minorHAnsi" w:eastAsia="Times New Roman" w:hAnsiTheme="minorHAnsi"/>
          <w:sz w:val="24"/>
          <w:szCs w:val="24"/>
          <w:lang w:eastAsia="cs-CZ"/>
        </w:rPr>
        <w:t xml:space="preserve">v roce 2021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normován </w:t>
      </w:r>
      <w:r w:rsidR="005F6D64">
        <w:rPr>
          <w:rFonts w:asciiTheme="minorHAnsi" w:eastAsia="Times New Roman" w:hAnsiTheme="minorHAnsi"/>
          <w:sz w:val="24"/>
          <w:szCs w:val="24"/>
          <w:lang w:eastAsia="cs-CZ"/>
        </w:rPr>
        <w:t xml:space="preserve">nejvyšší průměrný plat pedagogických pracovníků i nepedagogických zaměstnanců </w:t>
      </w:r>
      <w:r w:rsidR="001357C4">
        <w:rPr>
          <w:rFonts w:asciiTheme="minorHAnsi" w:eastAsia="Times New Roman" w:hAnsiTheme="minorHAnsi"/>
          <w:sz w:val="24"/>
          <w:szCs w:val="24"/>
          <w:lang w:eastAsia="cs-CZ"/>
        </w:rPr>
        <w:t>ve srovnání s </w:t>
      </w:r>
      <w:r w:rsidR="002678B2">
        <w:rPr>
          <w:rFonts w:asciiTheme="minorHAnsi" w:eastAsia="Times New Roman" w:hAnsiTheme="minorHAnsi"/>
          <w:sz w:val="24"/>
          <w:szCs w:val="24"/>
          <w:lang w:eastAsia="cs-CZ"/>
        </w:rPr>
        <w:t>ostat</w:t>
      </w:r>
      <w:r w:rsidR="008A56EA">
        <w:rPr>
          <w:rFonts w:asciiTheme="minorHAnsi" w:eastAsia="Times New Roman" w:hAnsiTheme="minorHAnsi"/>
          <w:sz w:val="24"/>
          <w:szCs w:val="24"/>
          <w:lang w:eastAsia="cs-CZ"/>
        </w:rPr>
        <w:t>ní</w:t>
      </w:r>
      <w:r w:rsidR="001357C4">
        <w:rPr>
          <w:rFonts w:asciiTheme="minorHAnsi" w:eastAsia="Times New Roman" w:hAnsiTheme="minorHAnsi"/>
          <w:sz w:val="24"/>
          <w:szCs w:val="24"/>
          <w:lang w:eastAsia="cs-CZ"/>
        </w:rPr>
        <w:t>mi kraji</w:t>
      </w:r>
      <w:r w:rsidR="00C745E8">
        <w:rPr>
          <w:rFonts w:asciiTheme="minorHAnsi" w:eastAsia="Times New Roman" w:hAnsiTheme="minorHAnsi"/>
          <w:sz w:val="24"/>
          <w:szCs w:val="24"/>
          <w:lang w:eastAsia="cs-CZ"/>
        </w:rPr>
        <w:t xml:space="preserve"> (zatímco v roce 2020 měl stanoven </w:t>
      </w:r>
      <w:r w:rsidR="007174AE">
        <w:rPr>
          <w:rFonts w:asciiTheme="minorHAnsi" w:eastAsia="Times New Roman" w:hAnsiTheme="minorHAnsi"/>
          <w:sz w:val="24"/>
          <w:szCs w:val="24"/>
          <w:lang w:eastAsia="cs-CZ"/>
        </w:rPr>
        <w:t xml:space="preserve">oba tyto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průměrné </w:t>
      </w:r>
      <w:r w:rsidR="007174AE">
        <w:rPr>
          <w:rFonts w:asciiTheme="minorHAnsi" w:eastAsia="Times New Roman" w:hAnsiTheme="minorHAnsi"/>
          <w:sz w:val="24"/>
          <w:szCs w:val="24"/>
          <w:lang w:eastAsia="cs-CZ"/>
        </w:rPr>
        <w:t xml:space="preserve">platy </w:t>
      </w:r>
      <w:r w:rsidR="00C745E8">
        <w:rPr>
          <w:rFonts w:asciiTheme="minorHAnsi" w:eastAsia="Times New Roman" w:hAnsiTheme="minorHAnsi"/>
          <w:sz w:val="24"/>
          <w:szCs w:val="24"/>
          <w:lang w:eastAsia="cs-CZ"/>
        </w:rPr>
        <w:t>nejnižší ze všech krajů</w:t>
      </w:r>
      <w:r w:rsidR="00CE7CC2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1357C4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1A0D0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6EA5A43" w14:textId="77777777" w:rsidR="000F11CE" w:rsidRDefault="00FE1CF0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Porovnání MP pedagogických pracovníků</w:t>
      </w:r>
      <w:r w:rsidRPr="0055124D" w:rsidDel="00A0697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roku 2021 oproti roku 2020: </w:t>
      </w:r>
    </w:p>
    <w:p w14:paraId="7C8F8885" w14:textId="7A084625" w:rsidR="00FE1CF0" w:rsidRDefault="00FE1CF0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Největší meziroční nárůst MP pedagogických pracovníků</w:t>
      </w:r>
      <w:r w:rsidRPr="0055124D" w:rsidDel="00A0697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je u</w:t>
      </w:r>
      <w:r w:rsidR="009379DA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Karlovarsk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nárůst o </w:t>
      </w:r>
      <w:r w:rsidRPr="0063739D">
        <w:rPr>
          <w:rFonts w:asciiTheme="minorHAnsi" w:eastAsia="Times New Roman" w:hAnsiTheme="minorHAnsi"/>
          <w:sz w:val="24"/>
          <w:szCs w:val="24"/>
          <w:lang w:eastAsia="cs-CZ"/>
        </w:rPr>
        <w:t xml:space="preserve">1 622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Kč, tj.</w:t>
      </w:r>
      <w:r w:rsidR="0056378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56378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8</w:t>
      </w:r>
      <w:r w:rsidR="000B1E54">
        <w:rPr>
          <w:rFonts w:asciiTheme="minorHAnsi" w:eastAsia="Times New Roman" w:hAnsiTheme="minorHAnsi"/>
          <w:sz w:val="24"/>
          <w:szCs w:val="24"/>
          <w:lang w:eastAsia="cs-CZ"/>
        </w:rPr>
        <w:t>7,8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%), důvodem je </w:t>
      </w:r>
      <w:r w:rsidR="00F544A0">
        <w:rPr>
          <w:rFonts w:asciiTheme="minorHAnsi" w:eastAsia="Times New Roman" w:hAnsiTheme="minorHAnsi"/>
          <w:sz w:val="24"/>
          <w:szCs w:val="24"/>
          <w:lang w:eastAsia="cs-CZ"/>
        </w:rPr>
        <w:t>ji</w:t>
      </w:r>
      <w:r w:rsidR="00BF1B87">
        <w:rPr>
          <w:rFonts w:asciiTheme="minorHAnsi" w:eastAsia="Times New Roman" w:hAnsiTheme="minorHAnsi"/>
          <w:sz w:val="24"/>
          <w:szCs w:val="24"/>
          <w:lang w:eastAsia="cs-CZ"/>
        </w:rPr>
        <w:t xml:space="preserve">ž </w:t>
      </w:r>
      <w:r w:rsidR="00F544A0">
        <w:rPr>
          <w:rFonts w:asciiTheme="minorHAnsi" w:eastAsia="Times New Roman" w:hAnsiTheme="minorHAnsi"/>
          <w:sz w:val="24"/>
          <w:szCs w:val="24"/>
          <w:lang w:eastAsia="cs-CZ"/>
        </w:rPr>
        <w:t>uvede</w:t>
      </w:r>
      <w:r w:rsidR="00BF1B87">
        <w:rPr>
          <w:rFonts w:asciiTheme="minorHAnsi" w:eastAsia="Times New Roman" w:hAnsiTheme="minorHAnsi"/>
          <w:sz w:val="24"/>
          <w:szCs w:val="24"/>
          <w:lang w:eastAsia="cs-CZ"/>
        </w:rPr>
        <w:t xml:space="preserve">né </w:t>
      </w:r>
      <w:r w:rsidR="001D5A77">
        <w:rPr>
          <w:rFonts w:asciiTheme="minorHAnsi" w:eastAsia="Times New Roman" w:hAnsiTheme="minorHAnsi"/>
          <w:sz w:val="24"/>
          <w:szCs w:val="24"/>
          <w:lang w:eastAsia="cs-CZ"/>
        </w:rPr>
        <w:t>výrazné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snížení ukazatele N</w:t>
      </w:r>
      <w:r w:rsidRPr="0055124D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p.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5" w:name="_Hlk83214144"/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Meziroční pokles MP pedagogických pracovníků</w:t>
      </w:r>
      <w:r w:rsidRPr="0055124D" w:rsidDel="00A0697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 w:rsidRPr="0055124D">
        <w:rPr>
          <w:rFonts w:asciiTheme="minorHAnsi" w:eastAsia="Times New Roman" w:hAnsiTheme="minorHAnsi"/>
          <w:sz w:val="24"/>
          <w:szCs w:val="24"/>
          <w:lang w:eastAsia="cs-CZ"/>
        </w:rPr>
        <w:t>ne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vykazuje</w:t>
      </w:r>
      <w:r w:rsidR="009379DA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žádný z krajů.</w:t>
      </w:r>
      <w:r w:rsidRPr="00FF160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6" w:name="_Hlk84404408"/>
      <w:bookmarkEnd w:id="15"/>
      <w:r>
        <w:rPr>
          <w:rFonts w:asciiTheme="minorHAnsi" w:eastAsia="Times New Roman" w:hAnsiTheme="minorHAnsi"/>
          <w:sz w:val="24"/>
          <w:szCs w:val="24"/>
          <w:lang w:eastAsia="cs-CZ"/>
        </w:rPr>
        <w:t>Podrobně viz následující graf.</w:t>
      </w:r>
      <w:bookmarkEnd w:id="16"/>
    </w:p>
    <w:p w14:paraId="1641B92D" w14:textId="77777777" w:rsidR="00396924" w:rsidRDefault="00396924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</w:p>
    <w:p w14:paraId="7EE89275" w14:textId="7221D051" w:rsidR="00FE1CF0" w:rsidRPr="00EF7971" w:rsidRDefault="00FE1CF0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Nárůst 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MP </w:t>
      </w:r>
      <w:r w:rsidRPr="00AA2CE4">
        <w:rPr>
          <w:rFonts w:eastAsia="Times New Roman" w:cs="Calibri"/>
          <w:color w:val="000000"/>
          <w:sz w:val="24"/>
          <w:szCs w:val="24"/>
          <w:lang w:eastAsia="cs-CZ"/>
        </w:rPr>
        <w:t xml:space="preserve">pedagogických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pracovníků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>
        <w:rPr>
          <w:rFonts w:eastAsia="Times New Roman" w:cs="Calibri"/>
          <w:color w:val="000000"/>
          <w:sz w:val="24"/>
          <w:szCs w:val="24"/>
          <w:lang w:eastAsia="cs-CZ"/>
        </w:rPr>
        <w:t xml:space="preserve">absolutně v </w:t>
      </w:r>
      <w:r w:rsidRPr="00EF7971">
        <w:rPr>
          <w:rFonts w:eastAsia="Times New Roman" w:cs="Calibri"/>
          <w:color w:val="000000"/>
          <w:sz w:val="24"/>
          <w:szCs w:val="24"/>
          <w:lang w:eastAsia="cs-CZ"/>
        </w:rPr>
        <w:t>Kč</w:t>
      </w:r>
      <w:r w:rsidRPr="00892E67">
        <w:rPr>
          <w:rFonts w:eastAsia="Times New Roman" w:cs="Calibri"/>
          <w:color w:val="000000"/>
          <w:sz w:val="24"/>
          <w:szCs w:val="24"/>
          <w:lang w:eastAsia="cs-CZ"/>
        </w:rPr>
        <w:t>/</w:t>
      </w:r>
      <w:r w:rsidR="003B3F13" w:rsidRPr="00892E67">
        <w:rPr>
          <w:rFonts w:eastAsia="Times New Roman" w:cs="Calibri"/>
          <w:color w:val="000000"/>
          <w:sz w:val="24"/>
          <w:szCs w:val="24"/>
          <w:lang w:eastAsia="cs-CZ"/>
        </w:rPr>
        <w:t>klienta</w:t>
      </w:r>
      <w:r w:rsidRPr="00EF7971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446F28F2" w14:textId="77777777" w:rsidR="00FE1CF0" w:rsidRDefault="00FE1CF0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B2562A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7ACD7C" wp14:editId="7629B502">
            <wp:extent cx="4448175" cy="2286000"/>
            <wp:effectExtent l="0" t="0" r="9525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59031" w14:textId="77777777" w:rsidR="00E85A85" w:rsidRDefault="00FE1CF0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Porovnání MP nepedagogických zaměstnanců</w:t>
      </w:r>
      <w:r w:rsidRPr="0055124D" w:rsidDel="005D597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roku 2021 oproti roku 2020: </w:t>
      </w:r>
    </w:p>
    <w:p w14:paraId="6B821EBF" w14:textId="505014D0" w:rsidR="00FE1CF0" w:rsidRDefault="00FE1CF0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Největší meziroční nárůst MP nepedagogických zaměstnanců</w:t>
      </w:r>
      <w:r w:rsidRPr="0055124D" w:rsidDel="002E09C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>vykazuje</w:t>
      </w:r>
      <w:r w:rsidR="009379DA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Ústecký </w:t>
      </w:r>
      <w:r w:rsidR="009379DA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kraj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Pr="00037AFB">
        <w:rPr>
          <w:rFonts w:asciiTheme="minorHAnsi" w:eastAsia="Times New Roman" w:hAnsiTheme="minorHAnsi"/>
          <w:sz w:val="24"/>
          <w:szCs w:val="24"/>
          <w:lang w:eastAsia="cs-CZ"/>
        </w:rPr>
        <w:t xml:space="preserve">nárůst o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887 Kč, tj.</w:t>
      </w:r>
      <w:r w:rsidR="0056378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</w:t>
      </w:r>
      <w:r w:rsidR="00E85A85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5A49E0">
        <w:rPr>
          <w:rFonts w:asciiTheme="minorHAnsi" w:eastAsia="Times New Roman" w:hAnsiTheme="minorHAnsi"/>
          <w:sz w:val="24"/>
          <w:szCs w:val="24"/>
          <w:lang w:eastAsia="cs-CZ"/>
        </w:rPr>
        <w:t>73,5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%). </w:t>
      </w:r>
      <w:r w:rsidR="0026130B">
        <w:rPr>
          <w:rFonts w:asciiTheme="minorHAnsi" w:eastAsia="Times New Roman" w:hAnsiTheme="minorHAnsi"/>
          <w:sz w:val="24"/>
          <w:szCs w:val="24"/>
          <w:lang w:eastAsia="cs-CZ"/>
        </w:rPr>
        <w:t>Mírný</w:t>
      </w:r>
      <w:r w:rsidR="0026130B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6130B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164589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eziroční pokles MP </w:t>
      </w:r>
      <w:r w:rsidR="00164589">
        <w:rPr>
          <w:rFonts w:asciiTheme="minorHAnsi" w:eastAsia="Times New Roman" w:hAnsiTheme="minorHAnsi"/>
          <w:sz w:val="24"/>
          <w:szCs w:val="24"/>
          <w:lang w:eastAsia="cs-CZ"/>
        </w:rPr>
        <w:t>ne</w:t>
      </w:r>
      <w:r w:rsidR="00164589"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pedagogických </w:t>
      </w:r>
      <w:r w:rsidR="00164589">
        <w:rPr>
          <w:rFonts w:asciiTheme="minorHAnsi" w:eastAsia="Times New Roman" w:hAnsiTheme="minorHAnsi"/>
          <w:sz w:val="24"/>
          <w:szCs w:val="24"/>
          <w:lang w:eastAsia="cs-CZ"/>
        </w:rPr>
        <w:t>zaměstnanc</w:t>
      </w:r>
      <w:r w:rsidR="00164589" w:rsidRPr="0055124D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164589" w:rsidRPr="0055124D" w:rsidDel="00A0697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9379DA">
        <w:rPr>
          <w:rFonts w:asciiTheme="minorHAnsi" w:eastAsia="Times New Roman" w:hAnsiTheme="minorHAnsi"/>
          <w:sz w:val="24"/>
          <w:szCs w:val="24"/>
          <w:lang w:eastAsia="cs-CZ"/>
        </w:rPr>
        <w:t xml:space="preserve">vykazují </w:t>
      </w:r>
      <w:r w:rsidR="00164589">
        <w:rPr>
          <w:rFonts w:asciiTheme="minorHAnsi" w:eastAsia="Times New Roman" w:hAnsiTheme="minorHAnsi"/>
          <w:sz w:val="24"/>
          <w:szCs w:val="24"/>
          <w:lang w:eastAsia="cs-CZ"/>
        </w:rPr>
        <w:t>dva kraje</w:t>
      </w:r>
      <w:r w:rsidR="00BE1B52">
        <w:rPr>
          <w:rFonts w:asciiTheme="minorHAnsi" w:eastAsia="Times New Roman" w:hAnsiTheme="minorHAnsi"/>
          <w:sz w:val="24"/>
          <w:szCs w:val="24"/>
          <w:lang w:eastAsia="cs-CZ"/>
        </w:rPr>
        <w:t xml:space="preserve"> (pokles o 1 %</w:t>
      </w:r>
      <w:r w:rsidR="00E6227E">
        <w:rPr>
          <w:rFonts w:asciiTheme="minorHAnsi" w:eastAsia="Times New Roman" w:hAnsiTheme="minorHAnsi"/>
          <w:sz w:val="24"/>
          <w:szCs w:val="24"/>
          <w:lang w:eastAsia="cs-CZ"/>
        </w:rPr>
        <w:t xml:space="preserve"> Pardubický kraj</w:t>
      </w:r>
      <w:r w:rsidR="00BE1B52">
        <w:rPr>
          <w:rFonts w:asciiTheme="minorHAnsi" w:eastAsia="Times New Roman" w:hAnsiTheme="minorHAnsi"/>
          <w:sz w:val="24"/>
          <w:szCs w:val="24"/>
          <w:lang w:eastAsia="cs-CZ"/>
        </w:rPr>
        <w:t xml:space="preserve"> a </w:t>
      </w:r>
      <w:r w:rsidR="000036D4">
        <w:rPr>
          <w:rFonts w:asciiTheme="minorHAnsi" w:eastAsia="Times New Roman" w:hAnsiTheme="minorHAnsi"/>
          <w:sz w:val="24"/>
          <w:szCs w:val="24"/>
          <w:lang w:eastAsia="cs-CZ"/>
        </w:rPr>
        <w:t xml:space="preserve">pokles </w:t>
      </w:r>
      <w:r w:rsidR="00A1417D">
        <w:rPr>
          <w:rFonts w:asciiTheme="minorHAnsi" w:eastAsia="Times New Roman" w:hAnsiTheme="minorHAnsi"/>
          <w:sz w:val="24"/>
          <w:szCs w:val="24"/>
          <w:lang w:eastAsia="cs-CZ"/>
        </w:rPr>
        <w:t xml:space="preserve">o </w:t>
      </w:r>
      <w:r w:rsidR="00BE1B52">
        <w:rPr>
          <w:rFonts w:asciiTheme="minorHAnsi" w:eastAsia="Times New Roman" w:hAnsiTheme="minorHAnsi"/>
          <w:sz w:val="24"/>
          <w:szCs w:val="24"/>
          <w:lang w:eastAsia="cs-CZ"/>
        </w:rPr>
        <w:t>5 %</w:t>
      </w:r>
      <w:r w:rsidR="00E6227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6227E" w:rsidRPr="002D348C">
        <w:rPr>
          <w:rFonts w:asciiTheme="minorHAnsi" w:eastAsia="Times New Roman" w:hAnsiTheme="minorHAnsi"/>
          <w:sz w:val="24"/>
          <w:szCs w:val="24"/>
          <w:lang w:eastAsia="cs-CZ"/>
        </w:rPr>
        <w:t>Moravskoslezský</w:t>
      </w:r>
      <w:r w:rsidR="00E6227E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BE1B52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164589" w:rsidRPr="0055124D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164589" w:rsidRPr="00FF160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>Meziroční porovnání MP nepedagogických zaměstnanců</w:t>
      </w:r>
      <w:r w:rsidRPr="0055124D" w:rsidDel="002E09C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55124D">
        <w:rPr>
          <w:rFonts w:asciiTheme="minorHAnsi" w:eastAsia="Times New Roman" w:hAnsiTheme="minorHAnsi"/>
          <w:sz w:val="24"/>
          <w:szCs w:val="24"/>
          <w:lang w:eastAsia="cs-CZ"/>
        </w:rPr>
        <w:t xml:space="preserve">nelze stanovit pro kraje Středočeský a Plzeňský, oba tyto kraje v roce 2020 neměly stanoven normativ MP nepedagogických zaměstnanců. </w:t>
      </w:r>
      <w:r w:rsidR="00F75B35">
        <w:rPr>
          <w:rFonts w:asciiTheme="minorHAnsi" w:eastAsia="Times New Roman" w:hAnsiTheme="minorHAnsi"/>
          <w:sz w:val="24"/>
          <w:szCs w:val="24"/>
          <w:lang w:eastAsia="cs-CZ"/>
        </w:rPr>
        <w:t>Podrobně viz následující graf.</w:t>
      </w:r>
    </w:p>
    <w:p w14:paraId="0048D955" w14:textId="7E977D63" w:rsidR="00FE1CF0" w:rsidRDefault="002769CE" w:rsidP="007C5121">
      <w:pPr>
        <w:spacing w:after="60" w:line="240" w:lineRule="auto"/>
        <w:jc w:val="both"/>
        <w:rPr>
          <w:rFonts w:eastAsia="Times New Roman" w:cs="Calibri"/>
          <w:color w:val="000000"/>
          <w:sz w:val="24"/>
          <w:szCs w:val="24"/>
          <w:lang w:eastAsia="cs-CZ"/>
        </w:rPr>
      </w:pPr>
      <w:r>
        <w:rPr>
          <w:rFonts w:eastAsia="Times New Roman" w:cs="Calibri"/>
          <w:color w:val="000000"/>
          <w:sz w:val="24"/>
          <w:szCs w:val="24"/>
          <w:lang w:eastAsia="cs-CZ"/>
        </w:rPr>
        <w:lastRenderedPageBreak/>
        <w:t>Změna</w:t>
      </w:r>
      <w:r w:rsidRPr="00A87010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FE1CF0">
        <w:rPr>
          <w:rFonts w:eastAsia="Times New Roman" w:cs="Calibri"/>
          <w:color w:val="000000"/>
          <w:sz w:val="24"/>
          <w:szCs w:val="24"/>
          <w:lang w:eastAsia="cs-CZ"/>
        </w:rPr>
        <w:t xml:space="preserve">MP </w:t>
      </w:r>
      <w:r w:rsidR="00FE1CF0" w:rsidRPr="00F2641D">
        <w:rPr>
          <w:rFonts w:eastAsia="Times New Roman" w:cs="Calibri"/>
          <w:color w:val="000000"/>
          <w:sz w:val="24"/>
          <w:szCs w:val="24"/>
          <w:lang w:eastAsia="cs-CZ"/>
        </w:rPr>
        <w:t>nepedagogických zaměstnanců</w:t>
      </w:r>
      <w:r w:rsidR="00FE1CF0" w:rsidRPr="00F2641D" w:rsidDel="00F2641D">
        <w:rPr>
          <w:rFonts w:eastAsia="Times New Roman" w:cs="Calibri"/>
          <w:color w:val="000000"/>
          <w:sz w:val="24"/>
          <w:szCs w:val="24"/>
          <w:lang w:eastAsia="cs-CZ"/>
        </w:rPr>
        <w:t xml:space="preserve"> </w:t>
      </w:r>
      <w:r w:rsidR="00FE1CF0" w:rsidRPr="003C5710">
        <w:rPr>
          <w:rFonts w:eastAsia="Times New Roman" w:cs="Calibri"/>
          <w:color w:val="000000"/>
          <w:sz w:val="24"/>
          <w:szCs w:val="24"/>
          <w:lang w:eastAsia="cs-CZ"/>
        </w:rPr>
        <w:t>absolutně</w:t>
      </w:r>
      <w:r w:rsidR="00FE1CF0">
        <w:rPr>
          <w:rFonts w:eastAsia="Times New Roman" w:cs="Calibri"/>
          <w:color w:val="000000"/>
          <w:sz w:val="24"/>
          <w:szCs w:val="24"/>
          <w:lang w:eastAsia="cs-CZ"/>
        </w:rPr>
        <w:t xml:space="preserve"> v Kč</w:t>
      </w:r>
      <w:r w:rsidR="00FE1CF0" w:rsidRPr="00364E14">
        <w:rPr>
          <w:rFonts w:eastAsia="Times New Roman" w:cs="Calibri"/>
          <w:color w:val="000000"/>
          <w:lang w:eastAsia="cs-CZ"/>
        </w:rPr>
        <w:t>/</w:t>
      </w:r>
      <w:r w:rsidR="003B3F13">
        <w:rPr>
          <w:rFonts w:eastAsia="Times New Roman" w:cs="Calibri"/>
          <w:color w:val="000000"/>
          <w:lang w:eastAsia="cs-CZ"/>
        </w:rPr>
        <w:t>klienta</w:t>
      </w:r>
      <w:r w:rsidR="00FE1CF0" w:rsidRPr="00324500">
        <w:rPr>
          <w:rFonts w:eastAsia="Times New Roman" w:cs="Calibri"/>
          <w:color w:val="000000"/>
          <w:sz w:val="24"/>
          <w:szCs w:val="24"/>
          <w:lang w:eastAsia="cs-CZ"/>
        </w:rPr>
        <w:t>:</w:t>
      </w:r>
    </w:p>
    <w:p w14:paraId="23A17740" w14:textId="2994872C" w:rsidR="00FE1CF0" w:rsidRPr="0055124D" w:rsidRDefault="0094491E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2127EB2" wp14:editId="5A935917">
            <wp:extent cx="4829175" cy="2295525"/>
            <wp:effectExtent l="0" t="0" r="9525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229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1CF0" w:rsidRPr="00B2562A">
        <w:rPr>
          <w:noProof/>
        </w:rPr>
        <w:t xml:space="preserve"> </w:t>
      </w:r>
      <w:r w:rsidR="008C56DD" w:rsidRPr="008C56DD">
        <w:rPr>
          <w:noProof/>
        </w:rPr>
        <w:t xml:space="preserve"> </w:t>
      </w:r>
    </w:p>
    <w:p w14:paraId="5B84EF10" w14:textId="77777777" w:rsidR="00396924" w:rsidRDefault="0039692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6BCC21E" w14:textId="7269AFAA" w:rsidR="00083BA7" w:rsidRDefault="00EE38E8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083BA7">
        <w:rPr>
          <w:rFonts w:asciiTheme="minorHAnsi" w:eastAsia="Times New Roman" w:hAnsiTheme="minorHAnsi"/>
          <w:sz w:val="24"/>
          <w:szCs w:val="24"/>
          <w:lang w:eastAsia="cs-CZ"/>
        </w:rPr>
        <w:t xml:space="preserve">MP </w:t>
      </w:r>
      <w:r w:rsidR="005203C1">
        <w:rPr>
          <w:rFonts w:asciiTheme="minorHAnsi" w:eastAsia="Times New Roman" w:hAnsiTheme="minorHAnsi"/>
          <w:sz w:val="24"/>
          <w:szCs w:val="24"/>
          <w:lang w:eastAsia="cs-CZ"/>
        </w:rPr>
        <w:t xml:space="preserve">bez specifikace postižení </w:t>
      </w:r>
      <w:r w:rsidR="00083BA7">
        <w:rPr>
          <w:rFonts w:asciiTheme="minorHAnsi" w:eastAsia="Times New Roman" w:hAnsiTheme="minorHAnsi"/>
          <w:sz w:val="24"/>
          <w:szCs w:val="24"/>
          <w:lang w:eastAsia="cs-CZ"/>
        </w:rPr>
        <w:t>v roce 2021</w:t>
      </w:r>
      <w:r w:rsidR="0040492A">
        <w:rPr>
          <w:rFonts w:asciiTheme="minorHAnsi" w:eastAsia="Times New Roman" w:hAnsiTheme="minorHAnsi"/>
          <w:sz w:val="24"/>
          <w:szCs w:val="24"/>
          <w:lang w:eastAsia="cs-CZ"/>
        </w:rPr>
        <w:t xml:space="preserve"> v Kč/klienta</w:t>
      </w:r>
      <w:r w:rsidR="00083BA7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26CFF9CC" w14:textId="77777777" w:rsidR="00B20304" w:rsidRDefault="00B2030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6D4C942C" w14:textId="69BEA1DC" w:rsidR="00AA2481" w:rsidRDefault="00B2030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51545940" wp14:editId="2BF0CE68">
            <wp:extent cx="5200650" cy="2486025"/>
            <wp:effectExtent l="0" t="0" r="0" b="9525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5A9" w:rsidDel="00E3228A">
        <w:rPr>
          <w:noProof/>
        </w:rPr>
        <w:t xml:space="preserve"> </w:t>
      </w:r>
    </w:p>
    <w:p w14:paraId="0EFF5C00" w14:textId="7DB89A63" w:rsidR="00F75B35" w:rsidRDefault="00F75B35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Poznámka: </w:t>
      </w:r>
      <w:r w:rsidR="00080677" w:rsidRPr="006914B7">
        <w:rPr>
          <w:rFonts w:asciiTheme="minorHAnsi" w:eastAsia="Times New Roman" w:hAnsiTheme="minorHAnsi"/>
          <w:sz w:val="24"/>
          <w:szCs w:val="24"/>
          <w:lang w:eastAsia="cs-CZ"/>
        </w:rPr>
        <w:t>Do grafu byl použit nižší norma</w:t>
      </w:r>
      <w:r w:rsidR="00080677" w:rsidRPr="008B0FEB">
        <w:rPr>
          <w:rFonts w:asciiTheme="minorHAnsi" w:eastAsia="Times New Roman" w:hAnsiTheme="minorHAnsi"/>
          <w:sz w:val="24"/>
          <w:szCs w:val="24"/>
          <w:lang w:eastAsia="cs-CZ"/>
        </w:rPr>
        <w:t xml:space="preserve">tiv </w:t>
      </w:r>
      <w:r w:rsidRPr="008B0FEB">
        <w:rPr>
          <w:rFonts w:asciiTheme="minorHAnsi" w:eastAsia="Times New Roman" w:hAnsiTheme="minorHAnsi"/>
          <w:sz w:val="24"/>
          <w:szCs w:val="24"/>
          <w:lang w:eastAsia="cs-CZ"/>
        </w:rPr>
        <w:t>Zlínsk</w:t>
      </w:r>
      <w:r w:rsidR="00686884" w:rsidRPr="002C49E3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Pr="002076D1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686884" w:rsidRPr="00780846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B0FEB" w:rsidRPr="00780846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780846">
        <w:rPr>
          <w:rFonts w:asciiTheme="minorHAnsi" w:eastAsia="Times New Roman" w:hAnsiTheme="minorHAnsi"/>
          <w:sz w:val="24"/>
          <w:szCs w:val="24"/>
          <w:lang w:eastAsia="cs-CZ"/>
        </w:rPr>
        <w:t>nižší</w:t>
      </w:r>
      <w:r w:rsidR="008B0FEB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</w:t>
      </w:r>
      <w:r w:rsidR="008B0FEB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="00877BA7">
        <w:rPr>
          <w:rFonts w:asciiTheme="minorHAnsi" w:eastAsia="Times New Roman" w:hAnsiTheme="minorHAnsi"/>
          <w:sz w:val="24"/>
          <w:szCs w:val="24"/>
          <w:lang w:eastAsia="cs-CZ"/>
        </w:rPr>
        <w:t>vytyčen</w:t>
      </w:r>
      <w:r w:rsidR="008B0FEB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CB2787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pro </w:t>
      </w:r>
      <w:r w:rsidR="003C2F9C" w:rsidRPr="00780846">
        <w:rPr>
          <w:rFonts w:asciiTheme="minorHAnsi" w:eastAsia="Times New Roman" w:hAnsiTheme="minorHAnsi"/>
          <w:sz w:val="24"/>
          <w:szCs w:val="24"/>
          <w:lang w:eastAsia="cs-CZ"/>
        </w:rPr>
        <w:t>více</w:t>
      </w:r>
      <w:r w:rsidR="00CB2787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druh</w:t>
      </w:r>
      <w:r w:rsidR="003C2F9C" w:rsidRPr="00780846"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CB2787" w:rsidRP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postižení</w:t>
      </w:r>
      <w:r w:rsidR="00780846">
        <w:rPr>
          <w:rFonts w:asciiTheme="minorHAnsi" w:eastAsia="Times New Roman" w:hAnsiTheme="minorHAnsi"/>
          <w:sz w:val="24"/>
          <w:szCs w:val="24"/>
          <w:lang w:eastAsia="cs-CZ"/>
        </w:rPr>
        <w:t xml:space="preserve"> než vyšší normativ</w:t>
      </w:r>
      <w:r w:rsidR="008B0FEB" w:rsidRPr="00780846">
        <w:rPr>
          <w:rFonts w:asciiTheme="minorHAnsi" w:eastAsia="Times New Roman" w:hAnsiTheme="minorHAnsi"/>
          <w:sz w:val="24"/>
          <w:szCs w:val="24"/>
          <w:lang w:eastAsia="cs-CZ"/>
        </w:rPr>
        <w:t>).</w:t>
      </w:r>
      <w:r w:rsidR="00CB278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00AD3E5" w14:textId="77777777" w:rsidR="00E82459" w:rsidRPr="00892E67" w:rsidRDefault="00E82459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21240EF6" w14:textId="79F9A01C" w:rsidR="000F7DD8" w:rsidRDefault="000F7DD8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66C3A"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</w:t>
      </w:r>
    </w:p>
    <w:p w14:paraId="553C3B3E" w14:textId="77777777" w:rsidR="00B31412" w:rsidRDefault="00BD2745" w:rsidP="007C512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Od roku 202</w:t>
      </w:r>
      <w:r w:rsidR="00030E21">
        <w:rPr>
          <w:rFonts w:cstheme="minorHAnsi"/>
          <w:bCs/>
          <w:sz w:val="24"/>
          <w:szCs w:val="24"/>
        </w:rPr>
        <w:t xml:space="preserve">0 je jednotkou výkonu rodinná skupina. Tato jednotka výkonu však neumožnila zohlednit velikost </w:t>
      </w:r>
      <w:r w:rsidR="00B31412">
        <w:rPr>
          <w:rFonts w:cstheme="minorHAnsi"/>
          <w:bCs/>
          <w:sz w:val="24"/>
          <w:szCs w:val="24"/>
        </w:rPr>
        <w:t xml:space="preserve">(tj. počet rodinných skupin) </w:t>
      </w:r>
      <w:r w:rsidR="00030E21">
        <w:rPr>
          <w:rFonts w:cstheme="minorHAnsi"/>
          <w:bCs/>
          <w:sz w:val="24"/>
          <w:szCs w:val="24"/>
        </w:rPr>
        <w:t xml:space="preserve">dětského domova. Od roku 2021 tak lze stanovit opravné koeficienty a zohlednit tak počet rodinných skupin. </w:t>
      </w:r>
    </w:p>
    <w:p w14:paraId="5F4817DC" w14:textId="4E662AAF" w:rsidR="00B31412" w:rsidRDefault="00B31412" w:rsidP="007C5121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Možnost stanovit opravný koeficient využily nově č</w:t>
      </w:r>
      <w:r w:rsidR="00CC4396" w:rsidRPr="00CC4396">
        <w:rPr>
          <w:rFonts w:cstheme="minorHAnsi"/>
          <w:bCs/>
          <w:sz w:val="24"/>
          <w:szCs w:val="24"/>
        </w:rPr>
        <w:t>tyři kraj</w:t>
      </w:r>
      <w:r w:rsidR="0000430C">
        <w:rPr>
          <w:rFonts w:cstheme="minorHAnsi"/>
          <w:bCs/>
          <w:sz w:val="24"/>
          <w:szCs w:val="24"/>
        </w:rPr>
        <w:t>ské úřady</w:t>
      </w:r>
      <w:r>
        <w:rPr>
          <w:rFonts w:cstheme="minorHAnsi"/>
          <w:bCs/>
          <w:sz w:val="24"/>
          <w:szCs w:val="24"/>
        </w:rPr>
        <w:t xml:space="preserve"> (Liberecký, Královéhradecký, Zlínský a</w:t>
      </w:r>
      <w:r w:rsidR="009D2501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>Moravskoslezský).</w:t>
      </w:r>
      <w:r w:rsidR="00CC4396" w:rsidRPr="00CC4396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Použití opravného koeficientu je však rozdílné. Pouze </w:t>
      </w:r>
      <w:r w:rsidR="0000430C">
        <w:rPr>
          <w:rFonts w:cstheme="minorHAnsi"/>
          <w:bCs/>
          <w:sz w:val="24"/>
          <w:szCs w:val="24"/>
        </w:rPr>
        <w:t xml:space="preserve">krajský úřad </w:t>
      </w:r>
      <w:r>
        <w:rPr>
          <w:rFonts w:cstheme="minorHAnsi"/>
          <w:bCs/>
          <w:sz w:val="24"/>
          <w:szCs w:val="24"/>
        </w:rPr>
        <w:t>Libereck</w:t>
      </w:r>
      <w:r w:rsidR="0000430C">
        <w:rPr>
          <w:rFonts w:cstheme="minorHAnsi"/>
          <w:bCs/>
          <w:sz w:val="24"/>
          <w:szCs w:val="24"/>
        </w:rPr>
        <w:t>ého</w:t>
      </w:r>
      <w:r>
        <w:rPr>
          <w:rFonts w:cstheme="minorHAnsi"/>
          <w:bCs/>
          <w:sz w:val="24"/>
          <w:szCs w:val="24"/>
        </w:rPr>
        <w:t xml:space="preserve"> kraj</w:t>
      </w:r>
      <w:r w:rsidR="0000430C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 aplikuje opravný koeficient na MP i ONIV, ostatní kraj</w:t>
      </w:r>
      <w:r w:rsidR="0000430C">
        <w:rPr>
          <w:rFonts w:cstheme="minorHAnsi"/>
          <w:bCs/>
          <w:sz w:val="24"/>
          <w:szCs w:val="24"/>
        </w:rPr>
        <w:t>ské úřady</w:t>
      </w:r>
      <w:r>
        <w:rPr>
          <w:rFonts w:cstheme="minorHAnsi"/>
          <w:bCs/>
          <w:sz w:val="24"/>
          <w:szCs w:val="24"/>
        </w:rPr>
        <w:t xml:space="preserve"> jej aplikují </w:t>
      </w:r>
      <w:r w:rsidR="00B512FC">
        <w:rPr>
          <w:rFonts w:cstheme="minorHAnsi"/>
          <w:bCs/>
          <w:sz w:val="24"/>
          <w:szCs w:val="24"/>
        </w:rPr>
        <w:t>pouze</w:t>
      </w:r>
      <w:r w:rsidR="00D209FD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>na MP.</w:t>
      </w:r>
    </w:p>
    <w:p w14:paraId="6F12D0F7" w14:textId="5152E755" w:rsidR="00BD2745" w:rsidRPr="00224B14" w:rsidRDefault="00781898" w:rsidP="007C5121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cstheme="minorHAnsi"/>
          <w:bCs/>
          <w:sz w:val="24"/>
          <w:szCs w:val="24"/>
        </w:rPr>
        <w:t xml:space="preserve">Krajský úřad </w:t>
      </w:r>
      <w:r w:rsidR="00A3185B">
        <w:rPr>
          <w:rFonts w:cstheme="minorHAnsi"/>
          <w:bCs/>
          <w:sz w:val="24"/>
          <w:szCs w:val="24"/>
        </w:rPr>
        <w:t>Libereck</w:t>
      </w:r>
      <w:r>
        <w:rPr>
          <w:rFonts w:cstheme="minorHAnsi"/>
          <w:bCs/>
          <w:sz w:val="24"/>
          <w:szCs w:val="24"/>
        </w:rPr>
        <w:t>ého</w:t>
      </w:r>
      <w:r w:rsidR="00A3185B">
        <w:rPr>
          <w:rFonts w:cstheme="minorHAnsi"/>
          <w:bCs/>
          <w:sz w:val="24"/>
          <w:szCs w:val="24"/>
        </w:rPr>
        <w:t xml:space="preserve"> kraj</w:t>
      </w:r>
      <w:r>
        <w:rPr>
          <w:rFonts w:cstheme="minorHAnsi"/>
          <w:bCs/>
          <w:sz w:val="24"/>
          <w:szCs w:val="24"/>
        </w:rPr>
        <w:t>e</w:t>
      </w:r>
      <w:r w:rsidR="00A3185B">
        <w:rPr>
          <w:rFonts w:cstheme="minorHAnsi"/>
          <w:bCs/>
          <w:sz w:val="24"/>
          <w:szCs w:val="24"/>
        </w:rPr>
        <w:t xml:space="preserve"> </w:t>
      </w:r>
      <w:r w:rsidR="00181820">
        <w:rPr>
          <w:rFonts w:cstheme="minorHAnsi"/>
          <w:bCs/>
          <w:sz w:val="24"/>
          <w:szCs w:val="24"/>
        </w:rPr>
        <w:t xml:space="preserve">tak </w:t>
      </w:r>
      <w:r w:rsidR="00A3185B">
        <w:rPr>
          <w:rFonts w:cstheme="minorHAnsi"/>
          <w:bCs/>
          <w:sz w:val="24"/>
          <w:szCs w:val="24"/>
        </w:rPr>
        <w:t xml:space="preserve">stanovil </w:t>
      </w:r>
      <w:r w:rsidR="005E5A32">
        <w:rPr>
          <w:rFonts w:cstheme="minorHAnsi"/>
          <w:bCs/>
          <w:sz w:val="24"/>
          <w:szCs w:val="24"/>
        </w:rPr>
        <w:t>celkem</w:t>
      </w:r>
      <w:r w:rsidR="005A1E05">
        <w:rPr>
          <w:rFonts w:cstheme="minorHAnsi"/>
          <w:bCs/>
          <w:sz w:val="24"/>
          <w:szCs w:val="24"/>
        </w:rPr>
        <w:t xml:space="preserve"> pět normativů</w:t>
      </w:r>
      <w:r w:rsidR="00A3185B">
        <w:rPr>
          <w:rFonts w:cstheme="minorHAnsi"/>
          <w:bCs/>
          <w:sz w:val="24"/>
          <w:szCs w:val="24"/>
        </w:rPr>
        <w:t xml:space="preserve">, </w:t>
      </w:r>
      <w:r>
        <w:rPr>
          <w:rFonts w:cstheme="minorHAnsi"/>
          <w:bCs/>
          <w:sz w:val="24"/>
          <w:szCs w:val="24"/>
        </w:rPr>
        <w:t>krajský úřad</w:t>
      </w:r>
      <w:r w:rsidRPr="00825EF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E6ADF" w:rsidRPr="00825EF2">
        <w:rPr>
          <w:rFonts w:asciiTheme="minorHAnsi" w:eastAsia="Times New Roman" w:hAnsiTheme="minorHAnsi"/>
          <w:sz w:val="24"/>
          <w:szCs w:val="24"/>
          <w:lang w:eastAsia="cs-CZ"/>
        </w:rPr>
        <w:t>Moravskoslezsk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A3185B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A3185B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17" w:name="_Hlk83897028"/>
      <w:r w:rsidR="005A1E05">
        <w:rPr>
          <w:rFonts w:cstheme="minorHAnsi"/>
          <w:bCs/>
          <w:sz w:val="24"/>
          <w:szCs w:val="24"/>
        </w:rPr>
        <w:t>čtyři normativy</w:t>
      </w:r>
      <w:bookmarkEnd w:id="17"/>
      <w:r w:rsidR="00A3185B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>
        <w:rPr>
          <w:rFonts w:cstheme="minorHAnsi"/>
          <w:bCs/>
          <w:sz w:val="24"/>
          <w:szCs w:val="24"/>
        </w:rPr>
        <w:t>krajský úřad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A3185B">
        <w:rPr>
          <w:rFonts w:asciiTheme="minorHAnsi" w:eastAsia="Times New Roman" w:hAnsiTheme="minorHAnsi"/>
          <w:sz w:val="24"/>
          <w:szCs w:val="24"/>
          <w:lang w:eastAsia="cs-CZ"/>
        </w:rPr>
        <w:t>Zlínsk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A3185B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2E5EE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3759">
        <w:rPr>
          <w:rFonts w:cstheme="minorHAnsi"/>
          <w:bCs/>
          <w:sz w:val="24"/>
          <w:szCs w:val="24"/>
        </w:rPr>
        <w:t>tři normativy</w:t>
      </w:r>
      <w:r w:rsidR="00BF0C0E">
        <w:rPr>
          <w:rFonts w:cstheme="minorHAnsi"/>
          <w:bCs/>
          <w:sz w:val="24"/>
          <w:szCs w:val="24"/>
        </w:rPr>
        <w:t xml:space="preserve"> </w:t>
      </w:r>
      <w:r w:rsidR="00B31412">
        <w:rPr>
          <w:rFonts w:cstheme="minorHAnsi"/>
          <w:bCs/>
          <w:sz w:val="24"/>
          <w:szCs w:val="24"/>
        </w:rPr>
        <w:t xml:space="preserve">a </w:t>
      </w:r>
      <w:r>
        <w:rPr>
          <w:rFonts w:cstheme="minorHAnsi"/>
          <w:bCs/>
          <w:sz w:val="24"/>
          <w:szCs w:val="24"/>
        </w:rPr>
        <w:t>krajský úřad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6B1868">
        <w:rPr>
          <w:rFonts w:asciiTheme="minorHAnsi" w:eastAsia="Times New Roman" w:hAnsiTheme="minorHAnsi"/>
          <w:sz w:val="24"/>
          <w:szCs w:val="24"/>
          <w:lang w:eastAsia="cs-CZ"/>
        </w:rPr>
        <w:t>Královéhradeck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 w:rsidR="006B1868"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6B186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43759">
        <w:rPr>
          <w:rFonts w:cstheme="minorHAnsi"/>
          <w:bCs/>
          <w:sz w:val="24"/>
          <w:szCs w:val="24"/>
        </w:rPr>
        <w:t>dva normativy</w:t>
      </w:r>
      <w:r w:rsidR="005F4BAA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="00EE6AD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31412">
        <w:rPr>
          <w:rFonts w:asciiTheme="minorHAnsi" w:eastAsia="Times New Roman" w:hAnsiTheme="minorHAnsi"/>
          <w:sz w:val="24"/>
          <w:szCs w:val="24"/>
          <w:lang w:eastAsia="cs-CZ"/>
        </w:rPr>
        <w:t>Ostatních deset kraj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="00B31412">
        <w:rPr>
          <w:rFonts w:asciiTheme="minorHAnsi" w:eastAsia="Times New Roman" w:hAnsiTheme="minorHAnsi"/>
          <w:sz w:val="24"/>
          <w:szCs w:val="24"/>
          <w:lang w:eastAsia="cs-CZ"/>
        </w:rPr>
        <w:t xml:space="preserve">ů má tedy stanoven </w:t>
      </w:r>
      <w:r w:rsidR="000B3479">
        <w:rPr>
          <w:rFonts w:asciiTheme="minorHAnsi" w:eastAsia="Times New Roman" w:hAnsiTheme="minorHAnsi"/>
          <w:sz w:val="24"/>
          <w:szCs w:val="24"/>
          <w:lang w:eastAsia="cs-CZ"/>
        </w:rPr>
        <w:t>stejný</w:t>
      </w:r>
      <w:r w:rsidR="00B31412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 pro </w:t>
      </w:r>
      <w:r w:rsidR="000B3479">
        <w:rPr>
          <w:rFonts w:asciiTheme="minorHAnsi" w:eastAsia="Times New Roman" w:hAnsiTheme="minorHAnsi"/>
          <w:sz w:val="24"/>
          <w:szCs w:val="24"/>
          <w:lang w:eastAsia="cs-CZ"/>
        </w:rPr>
        <w:t>všechny velikosti dětských domovů</w:t>
      </w:r>
      <w:r w:rsidR="00391A44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CFCB46E" w14:textId="55BB64B7" w:rsidR="008A72FA" w:rsidRDefault="00367D2D" w:rsidP="00962B9B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lastRenderedPageBreak/>
        <w:t>V ukazatelích N</w:t>
      </w:r>
      <w:r w:rsidRPr="006914B7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a N</w:t>
      </w:r>
      <w:r w:rsidRPr="006914B7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provedly některé kraj</w:t>
      </w:r>
      <w:r w:rsidR="001553F2">
        <w:rPr>
          <w:rFonts w:asciiTheme="minorHAnsi" w:eastAsia="Times New Roman" w:hAnsiTheme="minorHAnsi"/>
          <w:bCs/>
          <w:sz w:val="24"/>
          <w:szCs w:val="24"/>
          <w:lang w:eastAsia="cs-CZ"/>
        </w:rPr>
        <w:t>sk</w:t>
      </w:r>
      <w:r w:rsidR="00781898">
        <w:rPr>
          <w:rFonts w:asciiTheme="minorHAnsi" w:eastAsia="Times New Roman" w:hAnsiTheme="minorHAnsi"/>
          <w:bCs/>
          <w:sz w:val="24"/>
          <w:szCs w:val="24"/>
          <w:lang w:eastAsia="cs-CZ"/>
        </w:rPr>
        <w:t>é úřady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drobné meziroční změny. </w:t>
      </w:r>
    </w:p>
    <w:p w14:paraId="2FA39BCE" w14:textId="0B5FE8E8" w:rsidR="00962B9B" w:rsidRPr="00C26187" w:rsidRDefault="00367D2D" w:rsidP="00962B9B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>Do ukazatel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</w:t>
      </w:r>
      <w:r w:rsidRPr="006914B7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F82BA7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třináct </w:t>
      </w:r>
      <w:r w:rsidR="00781898">
        <w:rPr>
          <w:rFonts w:cstheme="minorHAnsi"/>
          <w:bCs/>
          <w:sz w:val="24"/>
          <w:szCs w:val="24"/>
        </w:rPr>
        <w:t>krajských úřadů</w:t>
      </w:r>
      <w:r w:rsidR="00781898" w:rsidRPr="00367D2D" w:rsidDel="0078189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>promítl</w:t>
      </w:r>
      <w:r w:rsidR="00F82BA7">
        <w:rPr>
          <w:rFonts w:asciiTheme="minorHAnsi" w:eastAsia="Times New Roman" w:hAnsiTheme="minorHAnsi"/>
          <w:bCs/>
          <w:sz w:val="24"/>
          <w:szCs w:val="24"/>
          <w:lang w:eastAsia="cs-CZ"/>
        </w:rPr>
        <w:t>o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meziroční zvýšení </w:t>
      </w:r>
      <w:r w:rsidR="0078189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prostředků na </w:t>
      </w:r>
      <w:r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>plat</w:t>
      </w:r>
      <w:r w:rsidR="00781898">
        <w:rPr>
          <w:rFonts w:asciiTheme="minorHAnsi" w:eastAsia="Times New Roman" w:hAnsiTheme="minorHAnsi"/>
          <w:bCs/>
          <w:sz w:val="24"/>
          <w:szCs w:val="24"/>
          <w:lang w:eastAsia="cs-CZ"/>
        </w:rPr>
        <w:t>y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>, u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>kazatel P</w:t>
      </w:r>
      <w:r w:rsidR="00962B9B" w:rsidRPr="00213A5A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navýšil</w:t>
      </w:r>
      <w:r w:rsidR="007B41CA">
        <w:rPr>
          <w:rFonts w:asciiTheme="minorHAnsi" w:eastAsia="Times New Roman" w:hAnsiTheme="minorHAnsi"/>
          <w:bCs/>
          <w:sz w:val="24"/>
          <w:szCs w:val="24"/>
          <w:lang w:eastAsia="cs-CZ"/>
        </w:rPr>
        <w:t>y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7B41C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tyto </w:t>
      </w:r>
      <w:r w:rsidR="00781898">
        <w:rPr>
          <w:rFonts w:cstheme="minorHAnsi"/>
          <w:bCs/>
          <w:sz w:val="24"/>
          <w:szCs w:val="24"/>
        </w:rPr>
        <w:t>krajské úřady</w:t>
      </w:r>
      <w:r w:rsidR="00F758C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>v </w:t>
      </w:r>
      <w:r w:rsidR="006F4DEA">
        <w:rPr>
          <w:rFonts w:asciiTheme="minorHAnsi" w:eastAsia="Times New Roman" w:hAnsiTheme="minorHAnsi"/>
          <w:bCs/>
          <w:sz w:val="24"/>
          <w:szCs w:val="24"/>
          <w:lang w:eastAsia="cs-CZ"/>
        </w:rPr>
        <w:t>rozpětí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od 9 % do 13 %</w:t>
      </w:r>
      <w:r w:rsidR="007B41CA">
        <w:rPr>
          <w:rFonts w:asciiTheme="minorHAnsi" w:eastAsia="Times New Roman" w:hAnsiTheme="minorHAnsi"/>
          <w:bCs/>
          <w:sz w:val="24"/>
          <w:szCs w:val="24"/>
          <w:lang w:eastAsia="cs-CZ"/>
        </w:rPr>
        <w:t>.</w:t>
      </w:r>
      <w:r w:rsidR="00962B9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781898">
        <w:rPr>
          <w:rFonts w:cstheme="minorHAnsi"/>
          <w:bCs/>
          <w:sz w:val="24"/>
          <w:szCs w:val="24"/>
        </w:rPr>
        <w:t>Krajský úřad</w:t>
      </w:r>
      <w:r w:rsidR="00781898" w:rsidRPr="00E44FF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E44FF4" w:rsidRPr="00E44FF4">
        <w:rPr>
          <w:rFonts w:asciiTheme="minorHAnsi" w:eastAsia="Times New Roman" w:hAnsiTheme="minorHAnsi"/>
          <w:bCs/>
          <w:sz w:val="24"/>
          <w:szCs w:val="24"/>
          <w:lang w:eastAsia="cs-CZ"/>
        </w:rPr>
        <w:t>Jihomoravsk</w:t>
      </w:r>
      <w:r w:rsidR="00781898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E44FF4" w:rsidRPr="00E44FF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E44FF4">
        <w:rPr>
          <w:rFonts w:asciiTheme="minorHAnsi" w:eastAsia="Times New Roman" w:hAnsiTheme="minorHAnsi"/>
          <w:bCs/>
          <w:sz w:val="24"/>
          <w:szCs w:val="24"/>
          <w:lang w:eastAsia="cs-CZ"/>
        </w:rPr>
        <w:t>kraj</w:t>
      </w:r>
      <w:r w:rsidR="00781898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E44FF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>navýšil ukazatel P</w:t>
      </w:r>
      <w:r w:rsidR="00824382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="007B41CA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7B41CA" w:rsidRPr="006914B7">
        <w:rPr>
          <w:rFonts w:asciiTheme="minorHAnsi" w:eastAsia="Times New Roman" w:hAnsiTheme="minorHAnsi"/>
          <w:bCs/>
          <w:sz w:val="24"/>
          <w:szCs w:val="24"/>
          <w:lang w:eastAsia="cs-CZ"/>
        </w:rPr>
        <w:t>nejméně, a to</w:t>
      </w:r>
      <w:r w:rsidR="0084217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o </w:t>
      </w:r>
      <w:r w:rsidR="00824382">
        <w:rPr>
          <w:rFonts w:asciiTheme="minorHAnsi" w:eastAsia="Times New Roman" w:hAnsiTheme="minorHAnsi"/>
          <w:bCs/>
          <w:sz w:val="24"/>
          <w:szCs w:val="24"/>
          <w:lang w:eastAsia="cs-CZ"/>
        </w:rPr>
        <w:t>4,3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% (v roce </w:t>
      </w:r>
      <w:r w:rsidR="00842172">
        <w:rPr>
          <w:rFonts w:asciiTheme="minorHAnsi" w:eastAsia="Times New Roman" w:hAnsiTheme="minorHAnsi"/>
          <w:bCs/>
          <w:sz w:val="24"/>
          <w:szCs w:val="24"/>
          <w:lang w:eastAsia="cs-CZ"/>
        </w:rPr>
        <w:t>2021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m</w:t>
      </w:r>
      <w:r w:rsidR="00824382">
        <w:rPr>
          <w:rFonts w:asciiTheme="minorHAnsi" w:eastAsia="Times New Roman" w:hAnsiTheme="minorHAnsi"/>
          <w:bCs/>
          <w:sz w:val="24"/>
          <w:szCs w:val="24"/>
          <w:lang w:eastAsia="cs-CZ"/>
        </w:rPr>
        <w:t>á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stanoven ukazatel P</w:t>
      </w:r>
      <w:r w:rsidR="00E216F2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="00824382" w:rsidRPr="00165B4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824382">
        <w:rPr>
          <w:rFonts w:asciiTheme="minorHAnsi" w:eastAsia="Times New Roman" w:hAnsiTheme="minorHAnsi"/>
          <w:bCs/>
          <w:sz w:val="24"/>
          <w:szCs w:val="24"/>
          <w:lang w:eastAsia="cs-CZ"/>
        </w:rPr>
        <w:t>jako nejnižší v ČR).</w:t>
      </w:r>
      <w:r w:rsidR="00E216F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>Do ukazatel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</w:t>
      </w:r>
      <w:r w:rsidR="005E72B4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3134C5">
        <w:rPr>
          <w:rFonts w:asciiTheme="minorHAnsi" w:eastAsia="Times New Roman" w:hAnsiTheme="minorHAnsi"/>
          <w:bCs/>
          <w:sz w:val="24"/>
          <w:szCs w:val="24"/>
          <w:lang w:eastAsia="cs-CZ"/>
        </w:rPr>
        <w:t>jede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náct </w:t>
      </w:r>
      <w:r w:rsidR="00D54DDC">
        <w:rPr>
          <w:rFonts w:cstheme="minorHAnsi"/>
          <w:bCs/>
          <w:sz w:val="24"/>
          <w:szCs w:val="24"/>
        </w:rPr>
        <w:t>krajský úřadů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promítl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>o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meziroční zvýšení 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prostředků na </w:t>
      </w:r>
      <w:r w:rsidR="005E72B4" w:rsidRPr="00367D2D">
        <w:rPr>
          <w:rFonts w:asciiTheme="minorHAnsi" w:eastAsia="Times New Roman" w:hAnsiTheme="minorHAnsi"/>
          <w:bCs/>
          <w:sz w:val="24"/>
          <w:szCs w:val="24"/>
          <w:lang w:eastAsia="cs-CZ"/>
        </w:rPr>
        <w:t>plat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y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>, ukazatel P</w:t>
      </w:r>
      <w:r w:rsidR="005E72B4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navýšily tyto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ské úřady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v rozpětí od </w:t>
      </w:r>
      <w:r w:rsidR="00BF5739">
        <w:rPr>
          <w:rFonts w:asciiTheme="minorHAnsi" w:eastAsia="Times New Roman" w:hAnsiTheme="minorHAnsi"/>
          <w:bCs/>
          <w:sz w:val="24"/>
          <w:szCs w:val="24"/>
          <w:lang w:eastAsia="cs-CZ"/>
        </w:rPr>
        <w:t>4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do </w:t>
      </w:r>
      <w:r w:rsidR="00BF5739">
        <w:rPr>
          <w:rFonts w:asciiTheme="minorHAnsi" w:eastAsia="Times New Roman" w:hAnsiTheme="minorHAnsi"/>
          <w:bCs/>
          <w:sz w:val="24"/>
          <w:szCs w:val="24"/>
          <w:lang w:eastAsia="cs-CZ"/>
        </w:rPr>
        <w:t>6,4</w:t>
      </w:r>
      <w:r w:rsidR="005E72B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%. </w:t>
      </w:r>
      <w:r w:rsidR="00D54DDC">
        <w:rPr>
          <w:rFonts w:cstheme="minorHAnsi"/>
          <w:bCs/>
          <w:sz w:val="24"/>
          <w:szCs w:val="24"/>
        </w:rPr>
        <w:t>Krajský úřad</w:t>
      </w:r>
      <w:r w:rsidR="00D54DDC" w:rsidRPr="00B1689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631982" w:rsidRPr="00B1689B">
        <w:rPr>
          <w:rFonts w:asciiTheme="minorHAnsi" w:eastAsia="Times New Roman" w:hAnsiTheme="minorHAnsi"/>
          <w:bCs/>
          <w:sz w:val="24"/>
          <w:szCs w:val="24"/>
          <w:lang w:eastAsia="cs-CZ"/>
        </w:rPr>
        <w:t>Středočesk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bookmarkStart w:id="18" w:name="_Hlk84322141"/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navýšil </w:t>
      </w:r>
      <w:bookmarkStart w:id="19" w:name="_Hlk84408992"/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>ukazatel</w:t>
      </w:r>
      <w:r w:rsidR="006F555A">
        <w:rPr>
          <w:rFonts w:asciiTheme="minorHAnsi" w:eastAsia="Times New Roman" w:hAnsiTheme="minorHAnsi"/>
          <w:bCs/>
          <w:sz w:val="24"/>
          <w:szCs w:val="24"/>
          <w:lang w:eastAsia="cs-CZ"/>
        </w:rPr>
        <w:t> </w:t>
      </w:r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>P</w:t>
      </w:r>
      <w:r w:rsidR="00631982" w:rsidRPr="006914B7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bookmarkEnd w:id="18"/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>ze všech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ských úřad</w:t>
      </w:r>
      <w:r w:rsidR="0063198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ů 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>nejméně</w:t>
      </w:r>
      <w:r w:rsidR="000F4B8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(o 2,7 %)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, </w:t>
      </w:r>
      <w:bookmarkEnd w:id="19"/>
      <w:r w:rsidR="00D54DDC">
        <w:rPr>
          <w:rFonts w:cstheme="minorHAnsi"/>
          <w:bCs/>
          <w:sz w:val="24"/>
          <w:szCs w:val="24"/>
        </w:rPr>
        <w:t>krajský úřad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>Libereck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6175E3">
        <w:rPr>
          <w:rFonts w:asciiTheme="minorHAnsi" w:eastAsia="Times New Roman" w:hAnsiTheme="minorHAnsi"/>
          <w:bCs/>
          <w:sz w:val="24"/>
          <w:szCs w:val="24"/>
          <w:lang w:eastAsia="cs-CZ"/>
        </w:rPr>
        <w:t>navýšil ukazatel P</w:t>
      </w:r>
      <w:r w:rsidR="006175E3" w:rsidRPr="006914B7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6175E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>nejvíce</w:t>
      </w:r>
      <w:r w:rsidR="000F4B8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(o 28,9 %)</w:t>
      </w:r>
      <w:r w:rsidR="00F8384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. </w:t>
      </w:r>
      <w:r w:rsidR="00D54DDC">
        <w:rPr>
          <w:rFonts w:cstheme="minorHAnsi"/>
          <w:bCs/>
          <w:sz w:val="24"/>
          <w:szCs w:val="24"/>
        </w:rPr>
        <w:t>Krajský úřad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>Královéhradeck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navýšil ukazatel P</w:t>
      </w:r>
      <w:r w:rsidR="00A72AD3" w:rsidRPr="009A057A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o </w:t>
      </w:r>
      <w:r w:rsidR="00B12F6D">
        <w:rPr>
          <w:rFonts w:asciiTheme="minorHAnsi" w:eastAsia="Times New Roman" w:hAnsiTheme="minorHAnsi"/>
          <w:bCs/>
          <w:sz w:val="24"/>
          <w:szCs w:val="24"/>
          <w:lang w:eastAsia="cs-CZ"/>
        </w:rPr>
        <w:t>9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>,</w:t>
      </w:r>
      <w:r w:rsidR="00B12F6D">
        <w:rPr>
          <w:rFonts w:asciiTheme="minorHAnsi" w:eastAsia="Times New Roman" w:hAnsiTheme="minorHAnsi"/>
          <w:bCs/>
          <w:sz w:val="24"/>
          <w:szCs w:val="24"/>
          <w:lang w:eastAsia="cs-CZ"/>
        </w:rPr>
        <w:t>2</w:t>
      </w:r>
      <w:r w:rsidR="00A72AD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%. </w:t>
      </w:r>
    </w:p>
    <w:p w14:paraId="7C2A2F9C" w14:textId="05040421" w:rsidR="00DA7538" w:rsidRDefault="00DA7538" w:rsidP="00DA7538">
      <w:pPr>
        <w:autoSpaceDE w:val="0"/>
        <w:autoSpaceDN w:val="0"/>
        <w:adjustRightInd w:val="0"/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sz w:val="24"/>
          <w:szCs w:val="24"/>
        </w:rPr>
        <w:t>V roce 2020 činil republikový normativ ONIV 16 000 Kč. Pro rok 2021 byl republikový n</w:t>
      </w:r>
      <w:r w:rsidRPr="00B72FAA">
        <w:rPr>
          <w:sz w:val="24"/>
          <w:szCs w:val="24"/>
        </w:rPr>
        <w:t>ormativ</w:t>
      </w:r>
      <w:r>
        <w:rPr>
          <w:sz w:val="24"/>
          <w:szCs w:val="24"/>
        </w:rPr>
        <w:t xml:space="preserve"> ONIV</w:t>
      </w:r>
      <w:r w:rsidR="00D54DDC">
        <w:rPr>
          <w:sz w:val="24"/>
          <w:szCs w:val="24"/>
        </w:rPr>
        <w:t xml:space="preserve"> jednorázově</w:t>
      </w:r>
      <w:r>
        <w:rPr>
          <w:sz w:val="24"/>
          <w:szCs w:val="24"/>
        </w:rPr>
        <w:t xml:space="preserve"> navýšen na 57 536 Kč (tj. o 41 536 Kč). Z tohoto činí zvýšení</w:t>
      </w:r>
      <w:r w:rsidRPr="00B72FAA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 36 706 Kč </w:t>
      </w:r>
      <w:r w:rsidRPr="00302630">
        <w:rPr>
          <w:sz w:val="24"/>
          <w:szCs w:val="24"/>
        </w:rPr>
        <w:t>mimořádn</w:t>
      </w:r>
      <w:r>
        <w:rPr>
          <w:sz w:val="24"/>
          <w:szCs w:val="24"/>
        </w:rPr>
        <w:t>é</w:t>
      </w:r>
      <w:r w:rsidRPr="00302630">
        <w:rPr>
          <w:sz w:val="24"/>
          <w:szCs w:val="24"/>
        </w:rPr>
        <w:t xml:space="preserve"> a jednorázov</w:t>
      </w:r>
      <w:r>
        <w:rPr>
          <w:sz w:val="24"/>
          <w:szCs w:val="24"/>
        </w:rPr>
        <w:t>é</w:t>
      </w:r>
      <w:r w:rsidRPr="00B72FAA">
        <w:rPr>
          <w:sz w:val="24"/>
          <w:szCs w:val="24"/>
        </w:rPr>
        <w:t xml:space="preserve"> navýšen</w:t>
      </w:r>
      <w:r>
        <w:rPr>
          <w:sz w:val="24"/>
          <w:szCs w:val="24"/>
        </w:rPr>
        <w:t>í</w:t>
      </w:r>
      <w:r w:rsidRPr="00B72F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ONIV </w:t>
      </w:r>
      <w:r w:rsidRPr="00B72FAA">
        <w:rPr>
          <w:sz w:val="24"/>
          <w:szCs w:val="24"/>
        </w:rPr>
        <w:t>v souvislosti se zvýšenými výdaji po dobu nouzového stavu vyhlášeného v</w:t>
      </w:r>
      <w:r>
        <w:rPr>
          <w:sz w:val="24"/>
          <w:szCs w:val="24"/>
        </w:rPr>
        <w:t> </w:t>
      </w:r>
      <w:r w:rsidR="002B03F6">
        <w:rPr>
          <w:sz w:val="24"/>
          <w:szCs w:val="24"/>
        </w:rPr>
        <w:t>kontextu</w:t>
      </w:r>
      <w:r w:rsidRPr="00B72FAA">
        <w:rPr>
          <w:sz w:val="24"/>
          <w:szCs w:val="24"/>
        </w:rPr>
        <w:t xml:space="preserve"> </w:t>
      </w:r>
      <w:r>
        <w:rPr>
          <w:sz w:val="24"/>
          <w:szCs w:val="24"/>
        </w:rPr>
        <w:t>epidemi</w:t>
      </w:r>
      <w:r w:rsidR="00712858">
        <w:rPr>
          <w:sz w:val="24"/>
          <w:szCs w:val="24"/>
        </w:rPr>
        <w:t>e</w:t>
      </w:r>
      <w:r>
        <w:rPr>
          <w:sz w:val="24"/>
          <w:szCs w:val="24"/>
        </w:rPr>
        <w:t xml:space="preserve"> Covid-19. Dále byl ukazatel ONIV zvýšen z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důvodu </w:t>
      </w:r>
      <w:r w:rsidRPr="00044338">
        <w:rPr>
          <w:rFonts w:asciiTheme="minorHAnsi" w:eastAsia="Times New Roman" w:hAnsiTheme="minorHAnsi"/>
          <w:sz w:val="24"/>
          <w:szCs w:val="24"/>
          <w:lang w:eastAsia="cs-CZ"/>
        </w:rPr>
        <w:t>zrušení tzv. karenční doby a s tím spojené povinnosti vyplácení náhrad za první tři dny nemoci zaměstnanců školských zařízení.</w:t>
      </w:r>
    </w:p>
    <w:p w14:paraId="7971645C" w14:textId="23A713BB" w:rsidR="00DA7538" w:rsidRDefault="00DA7538" w:rsidP="00DA7538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bookmarkStart w:id="20" w:name="_Hlk84862406"/>
      <w:r w:rsidRPr="00044338">
        <w:rPr>
          <w:rFonts w:asciiTheme="minorHAnsi" w:eastAsia="Times New Roman" w:hAnsiTheme="minorHAnsi"/>
          <w:bCs/>
          <w:sz w:val="24"/>
          <w:szCs w:val="24"/>
          <w:lang w:eastAsia="cs-CZ"/>
        </w:rPr>
        <w:t>Výrazn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á </w:t>
      </w:r>
      <w:r w:rsidRPr="00044338">
        <w:rPr>
          <w:rFonts w:asciiTheme="minorHAnsi" w:eastAsia="Times New Roman" w:hAnsiTheme="minorHAnsi"/>
          <w:bCs/>
          <w:sz w:val="24"/>
          <w:szCs w:val="24"/>
          <w:lang w:eastAsia="cs-CZ"/>
        </w:rPr>
        <w:t>meziroční změn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a ONIV v republikových</w:t>
      </w:r>
      <w:r w:rsidRPr="000443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215C36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normativech </w:t>
      </w:r>
      <w:r w:rsidRPr="00044338">
        <w:rPr>
          <w:rFonts w:asciiTheme="minorHAnsi" w:eastAsia="Times New Roman" w:hAnsiTheme="minorHAnsi"/>
          <w:bCs/>
          <w:sz w:val="24"/>
          <w:szCs w:val="24"/>
          <w:lang w:eastAsia="cs-CZ"/>
        </w:rPr>
        <w:t>se projevil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a i</w:t>
      </w:r>
      <w:r w:rsidRPr="0004433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v meziročním nárůstu ONIV </w:t>
      </w:r>
      <w:bookmarkEnd w:id="20"/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v krajských normativech ve 12 krajích (viz graf níže). </w:t>
      </w:r>
    </w:p>
    <w:p w14:paraId="0E2424D2" w14:textId="50C813DA" w:rsidR="00DA7538" w:rsidRDefault="00DA7538" w:rsidP="00DA7538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  <w:r w:rsidRPr="00EF6BA5">
        <w:rPr>
          <w:rFonts w:asciiTheme="minorHAnsi" w:eastAsia="Times New Roman" w:hAnsiTheme="minorHAnsi"/>
          <w:bCs/>
          <w:sz w:val="24"/>
          <w:szCs w:val="24"/>
          <w:lang w:eastAsia="cs-CZ"/>
        </w:rPr>
        <w:t>V tomto ohledu se vymyka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jí dva</w:t>
      </w:r>
      <w:r w:rsidRPr="00EF6BA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Pr="00EF6BA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(Středočeský a Plzeňský). </w:t>
      </w:r>
      <w:r w:rsidR="00D54DDC">
        <w:rPr>
          <w:rFonts w:cstheme="minorHAnsi"/>
          <w:bCs/>
          <w:sz w:val="24"/>
          <w:szCs w:val="24"/>
        </w:rPr>
        <w:t>Krajský úřad</w:t>
      </w:r>
      <w:r w:rsidR="00D54DDC" w:rsidRPr="00AF722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Pr="00AF7222">
        <w:rPr>
          <w:rFonts w:asciiTheme="minorHAnsi" w:eastAsia="Times New Roman" w:hAnsiTheme="minorHAnsi"/>
          <w:bCs/>
          <w:sz w:val="24"/>
          <w:szCs w:val="24"/>
          <w:lang w:eastAsia="cs-CZ"/>
        </w:rPr>
        <w:t>Středočesk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Pr="00AF7222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stanovil v roce 2020 ONIV ve výši 30 496 Kč na rodinnou skupinu, tj. vysoko nad průměrem</w:t>
      </w:r>
      <w:r w:rsidR="006F555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(ve výši 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14 328 Kč</w:t>
      </w:r>
      <w:r w:rsidR="006F555A">
        <w:rPr>
          <w:rFonts w:asciiTheme="minorHAnsi" w:eastAsia="Times New Roman" w:hAnsiTheme="minorHAnsi"/>
          <w:bCs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na rodinnou skupinu. Proto pravděpodobně stejnou výši ONIV ponecha</w:t>
      </w:r>
      <w:r w:rsidR="006F555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l 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i v roce 2021. </w:t>
      </w:r>
      <w:r w:rsidR="00D54DDC">
        <w:rPr>
          <w:rFonts w:cstheme="minorHAnsi"/>
          <w:bCs/>
          <w:sz w:val="24"/>
          <w:szCs w:val="24"/>
        </w:rPr>
        <w:t>Krajský úřad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E965AB">
        <w:rPr>
          <w:rFonts w:asciiTheme="minorHAnsi" w:eastAsia="Times New Roman" w:hAnsiTheme="minorHAnsi"/>
          <w:bCs/>
          <w:sz w:val="24"/>
          <w:szCs w:val="24"/>
          <w:lang w:eastAsia="cs-CZ"/>
        </w:rPr>
        <w:t>Plzeňsk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E965A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E965AB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měl </w:t>
      </w:r>
      <w:r w:rsidR="005831A3">
        <w:rPr>
          <w:rFonts w:asciiTheme="minorHAnsi" w:eastAsia="Times New Roman" w:hAnsiTheme="minorHAnsi"/>
          <w:bCs/>
          <w:sz w:val="24"/>
          <w:szCs w:val="24"/>
          <w:lang w:eastAsia="cs-CZ"/>
        </w:rPr>
        <w:t>v loňském roce nastaven normativ ONIV jako druhý nejnižší ze všech krajů, letos jej zvýšil o 3 465 Kč</w:t>
      </w:r>
      <w:r w:rsidR="002D109C" w:rsidRPr="002D109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2D109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na rodinnou skupinu </w:t>
      </w:r>
      <w:r w:rsidR="006758D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a v porovnání s ostatními kraji má letos normativ ONIV nejnižší. </w:t>
      </w:r>
    </w:p>
    <w:p w14:paraId="1BA54876" w14:textId="77777777" w:rsidR="00DA7538" w:rsidRDefault="00DA7538" w:rsidP="00DA7538">
      <w:pPr>
        <w:spacing w:after="60" w:line="240" w:lineRule="auto"/>
        <w:jc w:val="both"/>
        <w:rPr>
          <w:rFonts w:asciiTheme="minorHAnsi" w:eastAsia="Times New Roman" w:hAnsiTheme="minorHAnsi"/>
          <w:bCs/>
          <w:sz w:val="24"/>
          <w:szCs w:val="24"/>
          <w:lang w:eastAsia="cs-CZ"/>
        </w:rPr>
      </w:pPr>
    </w:p>
    <w:p w14:paraId="2ED984E0" w14:textId="77777777" w:rsidR="00DA7538" w:rsidRDefault="00DA7538" w:rsidP="00DA7538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Nárůst</w:t>
      </w:r>
      <w:r w:rsidRPr="00E72BA7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ONIV</w:t>
      </w:r>
      <w:r w:rsidRPr="009951E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absolutně </w:t>
      </w:r>
      <w:r w:rsidRPr="00E72BA7">
        <w:rPr>
          <w:rFonts w:asciiTheme="minorHAnsi" w:eastAsia="Times New Roman" w:hAnsiTheme="minorHAnsi"/>
          <w:sz w:val="24"/>
          <w:szCs w:val="24"/>
          <w:lang w:eastAsia="cs-CZ"/>
        </w:rPr>
        <w:t>roku 2021 oproti roku 2020</w:t>
      </w:r>
      <w:r w:rsidRPr="00A5223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 Kč/</w:t>
      </w:r>
      <w:r w:rsidRPr="003145AB">
        <w:rPr>
          <w:rFonts w:asciiTheme="minorHAnsi" w:eastAsia="Times New Roman" w:hAnsiTheme="minorHAnsi"/>
          <w:sz w:val="24"/>
          <w:szCs w:val="24"/>
          <w:lang w:eastAsia="cs-CZ"/>
        </w:rPr>
        <w:t>rodinnou skupinu</w:t>
      </w:r>
      <w:r w:rsidRPr="00E72BA7">
        <w:rPr>
          <w:rFonts w:asciiTheme="minorHAnsi" w:eastAsia="Times New Roman" w:hAnsiTheme="minorHAnsi"/>
          <w:sz w:val="24"/>
          <w:szCs w:val="24"/>
          <w:lang w:eastAsia="cs-CZ"/>
        </w:rPr>
        <w:t>: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9CB4D14" w14:textId="77777777" w:rsidR="00DA7538" w:rsidRDefault="00DA7538" w:rsidP="00DA7538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3758F1F3" wp14:editId="6A46D084">
            <wp:extent cx="4429125" cy="23526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A34B3" w14:textId="4A3149CE" w:rsidR="0090440D" w:rsidRDefault="0090440D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bookmarkStart w:id="21" w:name="_Hlk80879419"/>
      <w:r w:rsidRPr="0090440D">
        <w:rPr>
          <w:rFonts w:asciiTheme="minorHAnsi" w:eastAsia="Times New Roman" w:hAnsiTheme="minorHAnsi"/>
          <w:b/>
          <w:sz w:val="24"/>
          <w:szCs w:val="24"/>
          <w:lang w:eastAsia="cs-CZ"/>
        </w:rPr>
        <w:t>Dětské domovy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se školou</w:t>
      </w:r>
    </w:p>
    <w:p w14:paraId="251C8DA4" w14:textId="39C41837" w:rsidR="005F6BFA" w:rsidRPr="00F54390" w:rsidRDefault="0090440D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22" w:name="_Hlk84858487"/>
      <w:r w:rsidRPr="00FD0DF0">
        <w:rPr>
          <w:rFonts w:asciiTheme="minorHAnsi" w:eastAsia="Times New Roman" w:hAnsiTheme="minorHAnsi"/>
          <w:bCs/>
          <w:sz w:val="24"/>
          <w:szCs w:val="24"/>
          <w:lang w:eastAsia="cs-CZ"/>
        </w:rPr>
        <w:t>Dětské domovy se školou</w:t>
      </w:r>
      <w:bookmarkEnd w:id="22"/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zřizují 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>tři kraje</w:t>
      </w:r>
      <w:r w:rsidR="00C01FD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(</w:t>
      </w:r>
      <w:r w:rsidR="00F2085A">
        <w:rPr>
          <w:rFonts w:asciiTheme="minorHAnsi" w:eastAsia="Times New Roman" w:hAnsiTheme="minorHAnsi"/>
          <w:bCs/>
          <w:sz w:val="24"/>
          <w:szCs w:val="24"/>
          <w:lang w:eastAsia="cs-CZ"/>
        </w:rPr>
        <w:t>Ú</w:t>
      </w:r>
      <w:r w:rsidR="00C01FD8">
        <w:rPr>
          <w:rFonts w:asciiTheme="minorHAnsi" w:eastAsia="Times New Roman" w:hAnsiTheme="minorHAnsi"/>
          <w:bCs/>
          <w:sz w:val="24"/>
          <w:szCs w:val="24"/>
          <w:lang w:eastAsia="cs-CZ"/>
        </w:rPr>
        <w:t>stecký, Jihomoravský a Zlínský)</w:t>
      </w:r>
      <w:r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. </w:t>
      </w:r>
      <w:r>
        <w:rPr>
          <w:rFonts w:cstheme="minorHAnsi"/>
          <w:bCs/>
          <w:sz w:val="24"/>
          <w:szCs w:val="24"/>
        </w:rPr>
        <w:t>Jediný</w:t>
      </w:r>
      <w:r w:rsidRPr="00CC4396">
        <w:rPr>
          <w:rFonts w:cstheme="minorHAnsi"/>
          <w:bCs/>
          <w:sz w:val="24"/>
          <w:szCs w:val="24"/>
        </w:rPr>
        <w:t xml:space="preserve"> </w:t>
      </w:r>
      <w:r w:rsidR="00D54DDC">
        <w:rPr>
          <w:rFonts w:cstheme="minorHAnsi"/>
          <w:bCs/>
          <w:sz w:val="24"/>
          <w:szCs w:val="24"/>
        </w:rPr>
        <w:t xml:space="preserve">krajský úřad </w:t>
      </w:r>
      <w:r w:rsidR="00C01FD8">
        <w:rPr>
          <w:rFonts w:cstheme="minorHAnsi"/>
          <w:bCs/>
          <w:sz w:val="24"/>
          <w:szCs w:val="24"/>
        </w:rPr>
        <w:t>Zlínsk</w:t>
      </w:r>
      <w:r w:rsidR="00D54DDC">
        <w:rPr>
          <w:rFonts w:cstheme="minorHAnsi"/>
          <w:bCs/>
          <w:sz w:val="24"/>
          <w:szCs w:val="24"/>
        </w:rPr>
        <w:t>ého</w:t>
      </w:r>
      <w:r w:rsidR="00C01FD8">
        <w:rPr>
          <w:rFonts w:cstheme="minorHAnsi"/>
          <w:bCs/>
          <w:sz w:val="24"/>
          <w:szCs w:val="24"/>
        </w:rPr>
        <w:t xml:space="preserve"> </w:t>
      </w:r>
      <w:r w:rsidRPr="00CC4396">
        <w:rPr>
          <w:rFonts w:cstheme="minorHAnsi"/>
          <w:bCs/>
          <w:sz w:val="24"/>
          <w:szCs w:val="24"/>
        </w:rPr>
        <w:t>kraj</w:t>
      </w:r>
      <w:r w:rsidR="00D54DDC">
        <w:rPr>
          <w:rFonts w:cstheme="minorHAnsi"/>
          <w:bCs/>
          <w:sz w:val="24"/>
          <w:szCs w:val="24"/>
        </w:rPr>
        <w:t>e</w:t>
      </w:r>
      <w:r w:rsidRPr="00CC4396">
        <w:rPr>
          <w:rFonts w:cstheme="minorHAnsi"/>
          <w:bCs/>
          <w:sz w:val="24"/>
          <w:szCs w:val="24"/>
        </w:rPr>
        <w:t xml:space="preserve"> nově upravil normativ koeficientem podle celkového počtu rodinných skupin v daném zařízení</w:t>
      </w:r>
      <w:r w:rsidR="009646E8">
        <w:rPr>
          <w:rFonts w:cstheme="minorHAnsi"/>
          <w:bCs/>
          <w:sz w:val="24"/>
          <w:szCs w:val="24"/>
        </w:rPr>
        <w:t xml:space="preserve"> a stanovil tak celkem tři normativy</w:t>
      </w:r>
      <w:r w:rsidR="004E487E">
        <w:rPr>
          <w:rFonts w:cstheme="minorHAnsi"/>
          <w:bCs/>
          <w:sz w:val="24"/>
          <w:szCs w:val="24"/>
        </w:rPr>
        <w:t xml:space="preserve"> </w:t>
      </w:r>
      <w:r w:rsidR="004E487E" w:rsidRPr="00BF0C0E">
        <w:rPr>
          <w:rFonts w:cstheme="minorHAnsi"/>
          <w:bCs/>
          <w:sz w:val="24"/>
          <w:szCs w:val="24"/>
        </w:rPr>
        <w:t>(opravné koeficienty započítává pouze do MP)</w:t>
      </w:r>
      <w:r w:rsidRPr="00CC4396">
        <w:rPr>
          <w:rFonts w:cstheme="minorHAnsi"/>
          <w:bCs/>
          <w:sz w:val="24"/>
          <w:szCs w:val="24"/>
        </w:rPr>
        <w:t>.</w:t>
      </w:r>
      <w:r w:rsidR="00677743">
        <w:rPr>
          <w:rFonts w:cstheme="minorHAnsi"/>
          <w:bCs/>
          <w:sz w:val="24"/>
          <w:szCs w:val="24"/>
        </w:rPr>
        <w:t xml:space="preserve"> Kraj</w:t>
      </w:r>
      <w:r w:rsidR="00D54DDC">
        <w:rPr>
          <w:rFonts w:cstheme="minorHAnsi"/>
          <w:bCs/>
          <w:sz w:val="24"/>
          <w:szCs w:val="24"/>
        </w:rPr>
        <w:t>ské úřady</w:t>
      </w:r>
      <w:r w:rsidR="00677743">
        <w:rPr>
          <w:rFonts w:cstheme="minorHAnsi"/>
          <w:bCs/>
          <w:sz w:val="24"/>
          <w:szCs w:val="24"/>
        </w:rPr>
        <w:t xml:space="preserve"> 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>Jihomoravský a Zlínský stanovily normativ</w:t>
      </w:r>
      <w:r w:rsidR="00F6764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jednou hodnotou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F6764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a </w:t>
      </w:r>
      <w:r w:rsidR="00C279C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stanovený normativ </w:t>
      </w:r>
      <w:r w:rsidR="00F6764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je </w:t>
      </w:r>
      <w:r w:rsidR="00067474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ve </w:t>
      </w:r>
      <w:r w:rsidR="00F67645">
        <w:rPr>
          <w:rFonts w:asciiTheme="minorHAnsi" w:eastAsia="Times New Roman" w:hAnsiTheme="minorHAnsi"/>
          <w:bCs/>
          <w:sz w:val="24"/>
          <w:szCs w:val="24"/>
          <w:lang w:eastAsia="cs-CZ"/>
        </w:rPr>
        <w:t>stejn</w:t>
      </w:r>
      <w:r w:rsidR="00067474">
        <w:rPr>
          <w:rFonts w:asciiTheme="minorHAnsi" w:eastAsia="Times New Roman" w:hAnsiTheme="minorHAnsi"/>
          <w:bCs/>
          <w:sz w:val="24"/>
          <w:szCs w:val="24"/>
          <w:lang w:eastAsia="cs-CZ"/>
        </w:rPr>
        <w:t>é výši</w:t>
      </w:r>
      <w:r w:rsidR="00F6764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>pro dětský domov a</w:t>
      </w:r>
      <w:r w:rsidR="00C279CC">
        <w:rPr>
          <w:rFonts w:asciiTheme="minorHAnsi" w:eastAsia="Times New Roman" w:hAnsiTheme="minorHAnsi"/>
          <w:bCs/>
          <w:sz w:val="24"/>
          <w:szCs w:val="24"/>
          <w:lang w:eastAsia="cs-CZ"/>
        </w:rPr>
        <w:t> 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>d</w:t>
      </w:r>
      <w:r w:rsidR="00677743" w:rsidRPr="00767278">
        <w:rPr>
          <w:rFonts w:asciiTheme="minorHAnsi" w:eastAsia="Times New Roman" w:hAnsiTheme="minorHAnsi"/>
          <w:bCs/>
          <w:sz w:val="24"/>
          <w:szCs w:val="24"/>
          <w:lang w:eastAsia="cs-CZ"/>
        </w:rPr>
        <w:t>ětsk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>ý</w:t>
      </w:r>
      <w:r w:rsidR="00677743" w:rsidRPr="00767278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domov se školou</w:t>
      </w:r>
      <w:r w:rsidR="00677743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. </w:t>
      </w:r>
      <w:r w:rsidR="00D54DDC">
        <w:rPr>
          <w:rFonts w:cstheme="minorHAnsi"/>
          <w:bCs/>
          <w:sz w:val="24"/>
          <w:szCs w:val="24"/>
        </w:rPr>
        <w:t>Krajský úřad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B851A0">
        <w:rPr>
          <w:rFonts w:asciiTheme="minorHAnsi" w:eastAsia="Times New Roman" w:hAnsiTheme="minorHAnsi"/>
          <w:bCs/>
          <w:sz w:val="24"/>
          <w:szCs w:val="24"/>
          <w:lang w:eastAsia="cs-CZ"/>
        </w:rPr>
        <w:t>Ústeck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ého</w:t>
      </w:r>
      <w:r w:rsidR="00B851A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kraj</w:t>
      </w:r>
      <w:r w:rsidR="00D54DDC">
        <w:rPr>
          <w:rFonts w:asciiTheme="minorHAnsi" w:eastAsia="Times New Roman" w:hAnsiTheme="minorHAnsi"/>
          <w:bCs/>
          <w:sz w:val="24"/>
          <w:szCs w:val="24"/>
          <w:lang w:eastAsia="cs-CZ"/>
        </w:rPr>
        <w:t>e</w:t>
      </w:r>
      <w:r w:rsidR="00B851A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stanovil </w:t>
      </w:r>
      <w:bookmarkStart w:id="23" w:name="_Hlk84245298"/>
      <w:r w:rsidR="00F54390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 dětské domovy se školou </w:t>
      </w:r>
      <w:bookmarkEnd w:id="23"/>
      <w:r w:rsidR="00F54390">
        <w:rPr>
          <w:rFonts w:asciiTheme="minorHAnsi" w:eastAsia="Times New Roman" w:hAnsiTheme="minorHAnsi"/>
          <w:bCs/>
          <w:sz w:val="24"/>
          <w:szCs w:val="24"/>
          <w:lang w:eastAsia="cs-CZ"/>
        </w:rPr>
        <w:t>nižší normativ</w:t>
      </w:r>
      <w:r w:rsidR="00437626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F54390">
        <w:rPr>
          <w:rFonts w:asciiTheme="minorHAnsi" w:eastAsia="Times New Roman" w:hAnsiTheme="minorHAnsi"/>
          <w:sz w:val="24"/>
          <w:szCs w:val="24"/>
          <w:lang w:eastAsia="cs-CZ"/>
        </w:rPr>
        <w:t>ve srovnání s</w:t>
      </w:r>
      <w:r w:rsidR="001B78C3">
        <w:rPr>
          <w:rFonts w:asciiTheme="minorHAnsi" w:eastAsia="Times New Roman" w:hAnsiTheme="minorHAnsi"/>
          <w:sz w:val="24"/>
          <w:szCs w:val="24"/>
          <w:lang w:eastAsia="cs-CZ"/>
        </w:rPr>
        <w:t xml:space="preserve"> normativem pro 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</w:t>
      </w:r>
      <w:r w:rsidR="00F54390">
        <w:rPr>
          <w:rFonts w:asciiTheme="minorHAnsi" w:eastAsia="Times New Roman" w:hAnsiTheme="minorHAnsi"/>
          <w:sz w:val="24"/>
          <w:szCs w:val="24"/>
          <w:lang w:eastAsia="cs-CZ"/>
        </w:rPr>
        <w:t>domovy</w:t>
      </w:r>
      <w:r w:rsidR="003F513F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="00104FC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(nastavil </w:t>
      </w:r>
      <w:r w:rsidR="002A61D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 dětské domovy se školou </w:t>
      </w:r>
      <w:r w:rsidR="00607D7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oba </w:t>
      </w:r>
      <w:r w:rsidR="002A61D5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ukazatele </w:t>
      </w:r>
      <w:r w:rsidR="00104FC9">
        <w:rPr>
          <w:rFonts w:asciiTheme="minorHAnsi" w:eastAsia="Times New Roman" w:hAnsiTheme="minorHAnsi"/>
          <w:bCs/>
          <w:sz w:val="24"/>
          <w:szCs w:val="24"/>
          <w:lang w:eastAsia="cs-CZ"/>
        </w:rPr>
        <w:t>N</w:t>
      </w:r>
      <w:r w:rsidR="00104FC9" w:rsidRPr="00D65F6A">
        <w:rPr>
          <w:rFonts w:asciiTheme="minorHAnsi" w:eastAsia="Times New Roman" w:hAnsiTheme="minorHAnsi"/>
          <w:bCs/>
          <w:sz w:val="16"/>
          <w:szCs w:val="16"/>
          <w:lang w:eastAsia="cs-CZ"/>
        </w:rPr>
        <w:t>p</w:t>
      </w:r>
      <w:r w:rsidR="00104FC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i N</w:t>
      </w:r>
      <w:r w:rsidR="00104FC9" w:rsidRPr="00D65F6A">
        <w:rPr>
          <w:rFonts w:asciiTheme="minorHAnsi" w:eastAsia="Times New Roman" w:hAnsiTheme="minorHAnsi"/>
          <w:bCs/>
          <w:sz w:val="16"/>
          <w:szCs w:val="16"/>
          <w:lang w:eastAsia="cs-CZ"/>
        </w:rPr>
        <w:t>o</w:t>
      </w:r>
      <w:r w:rsidR="00104FC9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vyšší a ONIV nižší)</w:t>
      </w:r>
      <w:r w:rsidR="00F54390">
        <w:rPr>
          <w:rFonts w:asciiTheme="minorHAnsi" w:eastAsia="Times New Roman" w:hAnsiTheme="minorHAnsi"/>
          <w:bCs/>
          <w:sz w:val="24"/>
          <w:szCs w:val="24"/>
          <w:lang w:eastAsia="cs-CZ"/>
        </w:rPr>
        <w:t>.</w:t>
      </w:r>
    </w:p>
    <w:p w14:paraId="363E114F" w14:textId="77777777" w:rsidR="004F54D2" w:rsidRPr="00FD0DF0" w:rsidRDefault="004F54D2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6599A837" w14:textId="0B90599B" w:rsidR="00422F59" w:rsidRPr="00B16AAF" w:rsidRDefault="003B4A14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lastRenderedPageBreak/>
        <w:t>S</w:t>
      </w:r>
      <w:r w:rsidR="00422F59" w:rsidRPr="00B16AAF">
        <w:rPr>
          <w:rFonts w:asciiTheme="minorHAnsi" w:eastAsia="Times New Roman" w:hAnsiTheme="minorHAnsi"/>
          <w:b/>
          <w:sz w:val="24"/>
          <w:szCs w:val="24"/>
          <w:lang w:eastAsia="cs-CZ"/>
        </w:rPr>
        <w:t>tředis</w:t>
      </w:r>
      <w:r w:rsidR="00E43C79">
        <w:rPr>
          <w:rFonts w:asciiTheme="minorHAnsi" w:eastAsia="Times New Roman" w:hAnsiTheme="minorHAnsi"/>
          <w:b/>
          <w:sz w:val="24"/>
          <w:szCs w:val="24"/>
          <w:lang w:eastAsia="cs-CZ"/>
        </w:rPr>
        <w:t>k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a</w:t>
      </w:r>
      <w:r w:rsidR="00422F59" w:rsidRPr="00B16AAF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volného času</w:t>
      </w:r>
      <w:bookmarkEnd w:id="21"/>
    </w:p>
    <w:p w14:paraId="7328F03C" w14:textId="33073087" w:rsidR="006F555A" w:rsidRDefault="003B4A14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 roce 2021 stanovily čtyři </w:t>
      </w:r>
      <w:r w:rsidR="00D54DDC">
        <w:rPr>
          <w:rFonts w:cstheme="minorHAnsi"/>
          <w:bCs/>
          <w:sz w:val="24"/>
          <w:szCs w:val="24"/>
        </w:rPr>
        <w:t>krajské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432A8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AE2678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l. m. </w:t>
      </w:r>
      <w:r w:rsidR="00F432A8">
        <w:rPr>
          <w:rFonts w:asciiTheme="minorHAnsi" w:eastAsia="Times New Roman" w:hAnsiTheme="minorHAnsi"/>
          <w:sz w:val="24"/>
          <w:szCs w:val="24"/>
          <w:lang w:eastAsia="cs-CZ"/>
        </w:rPr>
        <w:t xml:space="preserve">Praha, Jihočeský, Plzeňský a Karlovarský) </w:t>
      </w:r>
      <w:bookmarkStart w:id="24" w:name="_Hlk83988557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normativ na 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„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skutečného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účastníka</w:t>
      </w:r>
      <w:r w:rsidR="006F555A">
        <w:rPr>
          <w:rFonts w:asciiTheme="minorHAnsi" w:eastAsia="Times New Roman" w:hAnsiTheme="minorHAnsi"/>
          <w:sz w:val="24"/>
          <w:szCs w:val="24"/>
          <w:lang w:eastAsia="cs-CZ"/>
        </w:rPr>
        <w:t>. Jihočeský a Karlovarský stanovily jednu hodnotu normativu. Hl. m. Praha a Plzeňský stanovily normativy jako funkční závislost.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End w:id="24"/>
    </w:p>
    <w:p w14:paraId="7A5245E1" w14:textId="743E5ADC" w:rsidR="009A5FA1" w:rsidRDefault="006F555A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D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>eset kraj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 xml:space="preserve">ů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stanovilo normativ 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>na tzv. potenci</w:t>
      </w:r>
      <w:r w:rsidR="00610443">
        <w:rPr>
          <w:rFonts w:asciiTheme="minorHAnsi" w:eastAsia="Times New Roman" w:hAnsiTheme="minorHAnsi"/>
          <w:sz w:val="24"/>
          <w:szCs w:val="24"/>
          <w:lang w:eastAsia="cs-CZ"/>
        </w:rPr>
        <w:t>on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>álního účastníka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v roce 2020 to bylo sedm kraj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 xml:space="preserve">. Tedy některé </w:t>
      </w:r>
      <w:r w:rsidR="00D54DDC" w:rsidRPr="00D54DDC">
        <w:rPr>
          <w:rFonts w:asciiTheme="minorHAnsi" w:eastAsia="Times New Roman" w:hAnsiTheme="minorHAnsi"/>
          <w:sz w:val="24"/>
          <w:szCs w:val="24"/>
          <w:lang w:eastAsia="cs-CZ"/>
        </w:rPr>
        <w:t>krajsk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="00D54DDC" w:rsidRPr="00D54DDC">
        <w:rPr>
          <w:rFonts w:asciiTheme="minorHAnsi" w:eastAsia="Times New Roman" w:hAnsiTheme="minorHAnsi"/>
          <w:sz w:val="24"/>
          <w:szCs w:val="24"/>
          <w:lang w:eastAsia="cs-CZ"/>
        </w:rPr>
        <w:t xml:space="preserve"> úřad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 xml:space="preserve">, které v předchozích letech stanovovaly normativy na 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„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>skutečného</w:t>
      </w:r>
      <w:r w:rsidR="00D54DDC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3B4A14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účastníka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 xml:space="preserve">, akceptovaly doporučení MŠMT a z důvodu eliminace </w:t>
      </w:r>
      <w:r w:rsid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meziročního 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 xml:space="preserve">poklesu výkonů vlivem pandemie </w:t>
      </w:r>
      <w:r w:rsidR="00D5703D">
        <w:rPr>
          <w:rFonts w:asciiTheme="minorHAnsi" w:eastAsia="Times New Roman" w:hAnsiTheme="minorHAnsi"/>
          <w:sz w:val="24"/>
          <w:szCs w:val="24"/>
          <w:lang w:eastAsia="cs-CZ"/>
        </w:rPr>
        <w:t>C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>ovid</w:t>
      </w:r>
      <w:r w:rsidR="00FE2EB2">
        <w:rPr>
          <w:rFonts w:asciiTheme="minorHAnsi" w:eastAsia="Times New Roman" w:hAnsiTheme="minorHAnsi"/>
          <w:sz w:val="24"/>
          <w:szCs w:val="24"/>
          <w:lang w:eastAsia="cs-CZ"/>
        </w:rPr>
        <w:t>-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 xml:space="preserve">19 přešly na 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 xml:space="preserve">tzv. 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>potenci</w:t>
      </w:r>
      <w:r w:rsidR="003B7A71">
        <w:rPr>
          <w:rFonts w:asciiTheme="minorHAnsi" w:eastAsia="Times New Roman" w:hAnsiTheme="minorHAnsi"/>
          <w:sz w:val="24"/>
          <w:szCs w:val="24"/>
          <w:lang w:eastAsia="cs-CZ"/>
        </w:rPr>
        <w:t>on</w:t>
      </w:r>
      <w:r w:rsidR="009A5FA1">
        <w:rPr>
          <w:rFonts w:asciiTheme="minorHAnsi" w:eastAsia="Times New Roman" w:hAnsiTheme="minorHAnsi"/>
          <w:sz w:val="24"/>
          <w:szCs w:val="24"/>
          <w:lang w:eastAsia="cs-CZ"/>
        </w:rPr>
        <w:t>álního účastníka.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="00577318" w:rsidRPr="00577318">
        <w:rPr>
          <w:rFonts w:asciiTheme="minorHAnsi" w:eastAsia="Times New Roman" w:hAnsiTheme="minorHAnsi"/>
          <w:sz w:val="24"/>
          <w:szCs w:val="24"/>
          <w:lang w:eastAsia="cs-CZ"/>
        </w:rPr>
        <w:t xml:space="preserve">rajský úřad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Královéhradeck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Jihomoravsk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ého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stanovil jednu hodnotu normativu a ostatní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funkční závislost.</w:t>
      </w:r>
    </w:p>
    <w:p w14:paraId="4DF04AA4" w14:textId="17309479" w:rsidR="004424B8" w:rsidRDefault="009A5FA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25" w:name="_Hlk81399977"/>
      <w:r>
        <w:rPr>
          <w:rFonts w:asciiTheme="minorHAnsi" w:eastAsia="Times New Roman" w:hAnsiTheme="minorHAnsi"/>
          <w:sz w:val="24"/>
          <w:szCs w:val="24"/>
          <w:lang w:eastAsia="cs-CZ"/>
        </w:rPr>
        <w:t>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které stanovují normativy na skutečné počty účastníků</w:t>
      </w:r>
      <w:r w:rsidR="00A04E71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používají zcela odlišné metodiky</w:t>
      </w:r>
      <w:r w:rsidR="00503FB3">
        <w:rPr>
          <w:rFonts w:asciiTheme="minorHAnsi" w:eastAsia="Times New Roman" w:hAnsiTheme="minorHAnsi"/>
          <w:sz w:val="24"/>
          <w:szCs w:val="24"/>
          <w:lang w:eastAsia="cs-CZ"/>
        </w:rPr>
        <w:t>:</w:t>
      </w:r>
    </w:p>
    <w:p w14:paraId="558E3DC4" w14:textId="4E91ECD7" w:rsidR="004424B8" w:rsidRPr="00D5703D" w:rsidRDefault="004424B8" w:rsidP="007C5121">
      <w:pPr>
        <w:pStyle w:val="Odstavecseseznamem"/>
        <w:numPr>
          <w:ilvl w:val="3"/>
          <w:numId w:val="24"/>
        </w:numPr>
        <w:spacing w:after="60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>Hl. m. Praha</w:t>
      </w:r>
      <w:r w:rsid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určuje</w:t>
      </w: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D5703D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D5703D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očet </w:t>
      </w: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>účastníků váženým aritmetickým průměrem účastníků vykázaných v</w:t>
      </w:r>
      <w:r w:rsidR="00554CE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>rámci pravidelné a nepravidelné činnosti, kdy je započtena váha 95 % účastníků v</w:t>
      </w:r>
      <w:r w:rsidR="00554CE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>rámci pravidelné činnosti a 5 % účastníků v rámci nepravidelné činnosti (hodnota z příležitostné činnosti).</w:t>
      </w:r>
    </w:p>
    <w:p w14:paraId="70A5E693" w14:textId="090BF558" w:rsidR="002E0066" w:rsidRPr="00D5703D" w:rsidRDefault="002E0066" w:rsidP="007C5121">
      <w:pPr>
        <w:pStyle w:val="Odstavecseseznamem"/>
        <w:numPr>
          <w:ilvl w:val="3"/>
          <w:numId w:val="24"/>
        </w:numPr>
        <w:spacing w:after="60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Jihočeský </w:t>
      </w:r>
      <w:r w:rsidR="00BA3392">
        <w:rPr>
          <w:rFonts w:asciiTheme="minorHAnsi" w:eastAsia="Times New Roman" w:hAnsiTheme="minorHAnsi"/>
          <w:sz w:val="24"/>
          <w:szCs w:val="24"/>
          <w:lang w:eastAsia="cs-CZ"/>
        </w:rPr>
        <w:t xml:space="preserve">vychází pouze z </w:t>
      </w:r>
      <w:r w:rsidR="00CA632B" w:rsidRPr="00D5703D">
        <w:rPr>
          <w:rFonts w:asciiTheme="minorHAnsi" w:eastAsia="Times New Roman" w:hAnsiTheme="minorHAnsi"/>
          <w:sz w:val="24"/>
          <w:szCs w:val="24"/>
          <w:lang w:eastAsia="cs-CZ"/>
        </w:rPr>
        <w:t>počtu žáků a studentů v pravidelné činnosti.</w:t>
      </w:r>
    </w:p>
    <w:p w14:paraId="45BE8CF8" w14:textId="3103291F" w:rsidR="005E14D6" w:rsidRDefault="009A5FA1" w:rsidP="007C5121">
      <w:pPr>
        <w:pStyle w:val="Odstavecseseznamem"/>
        <w:numPr>
          <w:ilvl w:val="3"/>
          <w:numId w:val="24"/>
        </w:numPr>
        <w:spacing w:after="60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V Plzeňském 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k účastníkům v pravidelné činnosti připočítávají ostatní činnosti přepočtené určitým koeficientem.</w:t>
      </w:r>
      <w:bookmarkEnd w:id="25"/>
      <w:r w:rsidR="00CA2C07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A3392">
        <w:rPr>
          <w:rFonts w:asciiTheme="minorHAnsi" w:eastAsia="Times New Roman" w:hAnsiTheme="minorHAnsi"/>
          <w:sz w:val="24"/>
          <w:szCs w:val="24"/>
          <w:lang w:eastAsia="cs-CZ"/>
        </w:rPr>
        <w:t>Do počtu výkonů rozhodných pro stanovení v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ýš</w:t>
      </w:r>
      <w:r w:rsidR="00866217" w:rsidRPr="00D5703D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finančních prostředků pro dané </w:t>
      </w:r>
      <w:r w:rsidR="00810927" w:rsidRPr="00810927">
        <w:rPr>
          <w:rFonts w:asciiTheme="minorHAnsi" w:eastAsia="Times New Roman" w:hAnsiTheme="minorHAnsi"/>
          <w:sz w:val="24"/>
          <w:szCs w:val="24"/>
          <w:lang w:eastAsia="cs-CZ"/>
        </w:rPr>
        <w:t>středisko volného času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10927">
        <w:rPr>
          <w:rFonts w:asciiTheme="minorHAnsi" w:eastAsia="Times New Roman" w:hAnsiTheme="minorHAnsi"/>
          <w:sz w:val="24"/>
          <w:szCs w:val="24"/>
          <w:lang w:eastAsia="cs-CZ"/>
        </w:rPr>
        <w:t xml:space="preserve">(dále jen 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„</w:t>
      </w:r>
      <w:r w:rsidR="00810927">
        <w:rPr>
          <w:rFonts w:asciiTheme="minorHAnsi" w:eastAsia="Times New Roman" w:hAnsiTheme="minorHAnsi"/>
          <w:sz w:val="24"/>
          <w:szCs w:val="24"/>
          <w:lang w:eastAsia="cs-CZ"/>
        </w:rPr>
        <w:t>SVČ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“</w:t>
      </w:r>
      <w:r w:rsidR="00810927">
        <w:rPr>
          <w:rFonts w:asciiTheme="minorHAnsi" w:eastAsia="Times New Roman" w:hAnsiTheme="minorHAnsi"/>
          <w:sz w:val="24"/>
          <w:szCs w:val="24"/>
          <w:lang w:eastAsia="cs-CZ"/>
        </w:rPr>
        <w:t xml:space="preserve">) </w:t>
      </w:r>
      <w:r w:rsidR="00BA3392">
        <w:rPr>
          <w:rFonts w:asciiTheme="minorHAnsi" w:eastAsia="Times New Roman" w:hAnsiTheme="minorHAnsi"/>
          <w:sz w:val="24"/>
          <w:szCs w:val="24"/>
          <w:lang w:eastAsia="cs-CZ"/>
        </w:rPr>
        <w:t xml:space="preserve">se tak promítají i 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>počt</w:t>
      </w:r>
      <w:r w:rsidR="00BA3392"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 v</w:t>
      </w:r>
      <w:r w:rsidR="00CA2C07" w:rsidRPr="00D5703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>příležitostné činnosti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ve vzdělávacích programech navazujících na RVP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v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e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spontánní činnosti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v</w:t>
      </w:r>
      <w:r w:rsidR="00CA2C07" w:rsidRPr="00D5703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>táborové činnosti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(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počet </w:t>
      </w:r>
      <w:proofErr w:type="spellStart"/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>osobodní</w:t>
      </w:r>
      <w:proofErr w:type="spellEnd"/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BA4C3A" w:rsidRPr="00D5703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5F2CB0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5E14D6" w:rsidRPr="00D5703D">
        <w:rPr>
          <w:rFonts w:asciiTheme="minorHAnsi" w:eastAsia="Times New Roman" w:hAnsiTheme="minorHAnsi"/>
          <w:sz w:val="24"/>
          <w:szCs w:val="24"/>
          <w:lang w:eastAsia="cs-CZ"/>
        </w:rPr>
        <w:t>v soutěžích</w:t>
      </w:r>
      <w:r w:rsidR="002A081E" w:rsidRPr="00D5703D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703099B" w14:textId="614D58EF" w:rsidR="005231F7" w:rsidRPr="00D5703D" w:rsidRDefault="005231F7" w:rsidP="007C5121">
      <w:pPr>
        <w:pStyle w:val="Odstavecseseznamem"/>
        <w:numPr>
          <w:ilvl w:val="3"/>
          <w:numId w:val="24"/>
        </w:numPr>
        <w:spacing w:after="60" w:line="240" w:lineRule="auto"/>
        <w:ind w:left="426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Karlovarský </w:t>
      </w:r>
      <w:r w:rsidR="000E12FF">
        <w:rPr>
          <w:rFonts w:asciiTheme="minorHAnsi" w:eastAsia="Times New Roman" w:hAnsiTheme="minorHAnsi"/>
          <w:sz w:val="24"/>
          <w:szCs w:val="24"/>
          <w:lang w:eastAsia="cs-CZ"/>
        </w:rPr>
        <w:t>vychází</w:t>
      </w:r>
      <w:r w:rsidR="00E20F5B">
        <w:rPr>
          <w:rFonts w:asciiTheme="minorHAnsi" w:eastAsia="Times New Roman" w:hAnsiTheme="minorHAnsi"/>
          <w:sz w:val="24"/>
          <w:szCs w:val="24"/>
          <w:lang w:eastAsia="cs-CZ"/>
        </w:rPr>
        <w:t xml:space="preserve"> z</w:t>
      </w:r>
      <w:r w:rsidR="003A6E8F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E20F5B">
        <w:rPr>
          <w:rFonts w:asciiTheme="minorHAnsi" w:eastAsia="Times New Roman" w:hAnsiTheme="minorHAnsi"/>
          <w:sz w:val="24"/>
          <w:szCs w:val="24"/>
          <w:lang w:eastAsia="cs-CZ"/>
        </w:rPr>
        <w:t>vykáza</w:t>
      </w:r>
      <w:r w:rsidR="003A6E8F">
        <w:rPr>
          <w:rFonts w:asciiTheme="minorHAnsi" w:eastAsia="Times New Roman" w:hAnsiTheme="minorHAnsi"/>
          <w:sz w:val="24"/>
          <w:szCs w:val="24"/>
          <w:lang w:eastAsia="cs-CZ"/>
        </w:rPr>
        <w:t>ného počtu dětí, žáků a studentů v pravidelné činnosti.</w:t>
      </w:r>
      <w:r w:rsidR="00E20F5B" w:rsidRPr="00E20F5B">
        <w:t xml:space="preserve"> </w:t>
      </w:r>
    </w:p>
    <w:p w14:paraId="17CC8C62" w14:textId="47ABC804" w:rsidR="00491E31" w:rsidRDefault="00491E31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Všechny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s výjimkou Královéhradeckého navýšily ukazatel P</w:t>
      </w:r>
      <w:r w:rsidRPr="00FD0DF0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v rozmezí 8,5 až 10 %. Královéhradecký navýšil tento ukazatel o 14,5 %, v roce 2020 měl stanoven průměrný plat </w:t>
      </w:r>
      <w:r w:rsidR="004C5454">
        <w:rPr>
          <w:rFonts w:asciiTheme="minorHAnsi" w:eastAsia="Times New Roman" w:hAnsiTheme="minorHAnsi"/>
          <w:sz w:val="24"/>
          <w:szCs w:val="24"/>
          <w:lang w:eastAsia="cs-CZ"/>
        </w:rPr>
        <w:t xml:space="preserve">pedagogických pracovníků 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pod úrovní průměru</w:t>
      </w:r>
      <w:r w:rsidR="00820030">
        <w:rPr>
          <w:rFonts w:asciiTheme="minorHAnsi" w:eastAsia="Times New Roman" w:hAnsiTheme="minorHAnsi"/>
          <w:sz w:val="24"/>
          <w:szCs w:val="24"/>
          <w:lang w:eastAsia="cs-CZ"/>
        </w:rPr>
        <w:t xml:space="preserve"> ČR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. Ukazatel P</w:t>
      </w:r>
      <w:r w:rsidRPr="00FD0DF0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navýšilo </w:t>
      </w:r>
      <w:r w:rsidR="00B23A08">
        <w:rPr>
          <w:rFonts w:asciiTheme="minorHAnsi" w:eastAsia="Times New Roman" w:hAnsiTheme="minorHAnsi"/>
          <w:sz w:val="24"/>
          <w:szCs w:val="24"/>
          <w:lang w:eastAsia="cs-CZ"/>
        </w:rPr>
        <w:t>jede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náct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ských úřad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ů o 4 a</w:t>
      </w:r>
      <w:r w:rsidR="00B23A08">
        <w:rPr>
          <w:rFonts w:asciiTheme="minorHAnsi" w:eastAsia="Times New Roman" w:hAnsiTheme="minorHAnsi"/>
          <w:sz w:val="24"/>
          <w:szCs w:val="24"/>
          <w:lang w:eastAsia="cs-CZ"/>
        </w:rPr>
        <w:t>ž 6 %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. Dva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ské úřady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z</w:t>
      </w:r>
      <w:r w:rsidR="00552F6D">
        <w:rPr>
          <w:rFonts w:asciiTheme="minorHAnsi" w:eastAsia="Times New Roman" w:hAnsiTheme="minorHAnsi"/>
          <w:sz w:val="24"/>
          <w:szCs w:val="24"/>
          <w:lang w:eastAsia="cs-CZ"/>
        </w:rPr>
        <w:t>výšily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průměrný plat nepedagogických zaměstnanců o 3,3</w:t>
      </w:r>
      <w:r w:rsidR="00C9496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a 3,6 % (v obou případech byly v</w:t>
      </w:r>
      <w:r w:rsidR="00C94966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předchozím roce ve srovnání s ostatními kraji stanoveny průměrné platy nepedagogických zaměstnanců nad úrovní průměru</w:t>
      </w:r>
      <w:r w:rsidR="00820030">
        <w:rPr>
          <w:rFonts w:asciiTheme="minorHAnsi" w:eastAsia="Times New Roman" w:hAnsiTheme="minorHAnsi"/>
          <w:sz w:val="24"/>
          <w:szCs w:val="24"/>
          <w:lang w:eastAsia="cs-CZ"/>
        </w:rPr>
        <w:t xml:space="preserve"> ČR</w:t>
      </w:r>
      <w:r w:rsidRPr="00491E31">
        <w:rPr>
          <w:rFonts w:asciiTheme="minorHAnsi" w:eastAsia="Times New Roman" w:hAnsiTheme="minorHAnsi"/>
          <w:sz w:val="24"/>
          <w:szCs w:val="24"/>
          <w:lang w:eastAsia="cs-CZ"/>
        </w:rPr>
        <w:t>).</w:t>
      </w:r>
      <w:r w:rsidR="00365C56" w:rsidRPr="00365C56">
        <w:t xml:space="preserve"> </w:t>
      </w:r>
      <w:r w:rsidR="00365C56" w:rsidRPr="00365C56">
        <w:rPr>
          <w:rFonts w:asciiTheme="minorHAnsi" w:eastAsia="Times New Roman" w:hAnsiTheme="minorHAnsi"/>
          <w:sz w:val="24"/>
          <w:szCs w:val="24"/>
          <w:lang w:eastAsia="cs-CZ"/>
        </w:rPr>
        <w:t>Královéhradecký</w:t>
      </w:r>
      <w:r w:rsidR="00365C5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65C56"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navýšil </w:t>
      </w:r>
      <w:r w:rsidR="00365C56">
        <w:rPr>
          <w:rFonts w:asciiTheme="minorHAnsi" w:eastAsia="Times New Roman" w:hAnsiTheme="minorHAnsi"/>
          <w:sz w:val="24"/>
          <w:szCs w:val="24"/>
          <w:lang w:eastAsia="cs-CZ"/>
        </w:rPr>
        <w:t>u</w:t>
      </w:r>
      <w:r w:rsidR="00365C56" w:rsidRPr="00491E31">
        <w:rPr>
          <w:rFonts w:asciiTheme="minorHAnsi" w:eastAsia="Times New Roman" w:hAnsiTheme="minorHAnsi"/>
          <w:sz w:val="24"/>
          <w:szCs w:val="24"/>
          <w:lang w:eastAsia="cs-CZ"/>
        </w:rPr>
        <w:t>kazatel P</w:t>
      </w:r>
      <w:r w:rsidR="00365C56" w:rsidRPr="00FD0DF0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365C56"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365C56">
        <w:rPr>
          <w:rFonts w:asciiTheme="minorHAnsi" w:eastAsia="Times New Roman" w:hAnsiTheme="minorHAnsi"/>
          <w:sz w:val="24"/>
          <w:szCs w:val="24"/>
          <w:lang w:eastAsia="cs-CZ"/>
        </w:rPr>
        <w:t>o 9,2 %</w:t>
      </w:r>
      <w:r w:rsidR="0038285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837ED8">
        <w:rPr>
          <w:rFonts w:asciiTheme="minorHAnsi" w:eastAsia="Times New Roman" w:hAnsiTheme="minorHAnsi"/>
          <w:sz w:val="24"/>
          <w:szCs w:val="24"/>
          <w:lang w:eastAsia="cs-CZ"/>
        </w:rPr>
        <w:t>(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>v</w:t>
      </w:r>
      <w:r w:rsidR="00552F6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předchozím roce </w:t>
      </w:r>
      <w:r w:rsidR="00837ED8">
        <w:rPr>
          <w:rFonts w:asciiTheme="minorHAnsi" w:eastAsia="Times New Roman" w:hAnsiTheme="minorHAnsi"/>
          <w:sz w:val="24"/>
          <w:szCs w:val="24"/>
          <w:lang w:eastAsia="cs-CZ"/>
        </w:rPr>
        <w:t xml:space="preserve">měl 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>ve srovnání s ostatními kraj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skými úřady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stanoven průměrn</w:t>
      </w:r>
      <w:r w:rsidR="00837ED8">
        <w:rPr>
          <w:rFonts w:asciiTheme="minorHAnsi" w:eastAsia="Times New Roman" w:hAnsiTheme="minorHAnsi"/>
          <w:sz w:val="24"/>
          <w:szCs w:val="24"/>
          <w:lang w:eastAsia="cs-CZ"/>
        </w:rPr>
        <w:t>ý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 xml:space="preserve"> plat nepedagogických zaměstnanců </w:t>
      </w:r>
      <w:r w:rsidR="00837ED8">
        <w:rPr>
          <w:rFonts w:asciiTheme="minorHAnsi" w:eastAsia="Times New Roman" w:hAnsiTheme="minorHAnsi"/>
          <w:sz w:val="24"/>
          <w:szCs w:val="24"/>
          <w:lang w:eastAsia="cs-CZ"/>
        </w:rPr>
        <w:t>po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>d úrovní průměru</w:t>
      </w:r>
      <w:r w:rsidR="00820030">
        <w:rPr>
          <w:rFonts w:asciiTheme="minorHAnsi" w:eastAsia="Times New Roman" w:hAnsiTheme="minorHAnsi"/>
          <w:sz w:val="24"/>
          <w:szCs w:val="24"/>
          <w:lang w:eastAsia="cs-CZ"/>
        </w:rPr>
        <w:t xml:space="preserve"> ČR</w:t>
      </w:r>
      <w:r w:rsidR="00837ED8" w:rsidRPr="00491E31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 w:rsidR="00365C56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01501FB5" w14:textId="68A3918E" w:rsidR="00267026" w:rsidRDefault="00B61A9C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B61A9C">
        <w:rPr>
          <w:rFonts w:asciiTheme="minorHAnsi" w:eastAsia="Times New Roman" w:hAnsiTheme="minorHAnsi"/>
          <w:sz w:val="24"/>
          <w:szCs w:val="24"/>
          <w:lang w:eastAsia="cs-CZ"/>
        </w:rPr>
        <w:t xml:space="preserve">V případě, že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je 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SVČ</w:t>
      </w:r>
      <w:r w:rsidR="00121172" w:rsidRPr="00B61A9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B61A9C">
        <w:rPr>
          <w:rFonts w:asciiTheme="minorHAnsi" w:eastAsia="Times New Roman" w:hAnsiTheme="minorHAnsi"/>
          <w:sz w:val="24"/>
          <w:szCs w:val="24"/>
          <w:lang w:eastAsia="cs-CZ"/>
        </w:rPr>
        <w:t xml:space="preserve">jedinou </w:t>
      </w:r>
      <w:r w:rsidR="00577318">
        <w:rPr>
          <w:rFonts w:asciiTheme="minorHAnsi" w:eastAsia="Times New Roman" w:hAnsiTheme="minorHAnsi"/>
          <w:sz w:val="24"/>
          <w:szCs w:val="24"/>
          <w:lang w:eastAsia="cs-CZ"/>
        </w:rPr>
        <w:t>činnos</w:t>
      </w:r>
      <w:r w:rsidR="00577318" w:rsidRPr="00B61A9C">
        <w:rPr>
          <w:rFonts w:asciiTheme="minorHAnsi" w:eastAsia="Times New Roman" w:hAnsiTheme="minorHAnsi"/>
          <w:sz w:val="24"/>
          <w:szCs w:val="24"/>
          <w:lang w:eastAsia="cs-CZ"/>
        </w:rPr>
        <w:t xml:space="preserve">tí </w:t>
      </w:r>
      <w:r w:rsidRPr="00B61A9C">
        <w:rPr>
          <w:rFonts w:asciiTheme="minorHAnsi" w:eastAsia="Times New Roman" w:hAnsiTheme="minorHAnsi"/>
          <w:sz w:val="24"/>
          <w:szCs w:val="24"/>
          <w:lang w:eastAsia="cs-CZ"/>
        </w:rPr>
        <w:t>právnické osoby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, uplatňuje krajský úřad MPZ, které má zajistit minimálně 2,5 </w:t>
      </w:r>
      <w:r w:rsidR="000A40F6">
        <w:rPr>
          <w:rFonts w:asciiTheme="minorHAnsi" w:eastAsia="Times New Roman" w:hAnsiTheme="minorHAnsi"/>
          <w:sz w:val="24"/>
          <w:szCs w:val="24"/>
          <w:lang w:eastAsia="cs-CZ"/>
        </w:rPr>
        <w:t xml:space="preserve">úvazku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pedagogických pracovníků (vč. ředitele) a 1 úvazek nepedagogického zaměstnance.</w:t>
      </w:r>
    </w:p>
    <w:p w14:paraId="3778279D" w14:textId="74430E1A" w:rsidR="00546D39" w:rsidRPr="00B61A9C" w:rsidRDefault="00267026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Zda krajské normativy splňují MPZ, je možné posoudit pouze v případě, že krajský úřad stanovil normativ na skutečného účastníka, tedy toto lze posoudit pouze u čtyř krajů. </w:t>
      </w:r>
      <w:r w:rsidRPr="003C0278">
        <w:rPr>
          <w:rFonts w:asciiTheme="minorHAnsi" w:eastAsia="Times New Roman" w:hAnsiTheme="minorHAnsi"/>
          <w:sz w:val="24"/>
          <w:szCs w:val="24"/>
          <w:lang w:eastAsia="cs-CZ"/>
        </w:rPr>
        <w:t>Hl. m. Praha, Jihočeský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a Plzeňský kraj mají stanoveny normativy tak, že </w:t>
      </w:r>
      <w:r w:rsidR="005F633B">
        <w:rPr>
          <w:rFonts w:asciiTheme="minorHAnsi" w:eastAsia="Times New Roman" w:hAnsiTheme="minorHAnsi"/>
          <w:sz w:val="24"/>
          <w:szCs w:val="24"/>
          <w:lang w:eastAsia="cs-CZ"/>
        </w:rPr>
        <w:t xml:space="preserve">již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splňují MPZ. Karlovarský kraj má stanoveny normativy tak, že MPZ je splněno u pedagogických pracovníků od </w:t>
      </w:r>
      <w:r w:rsidR="004659B0">
        <w:rPr>
          <w:rFonts w:asciiTheme="minorHAnsi" w:eastAsia="Times New Roman" w:hAnsiTheme="minorHAnsi"/>
          <w:sz w:val="24"/>
          <w:szCs w:val="24"/>
          <w:lang w:eastAsia="cs-CZ"/>
        </w:rPr>
        <w:t xml:space="preserve">325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účastníků a</w:t>
      </w:r>
      <w:r w:rsidR="005F633B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u nepedagogických zaměstnanců od </w:t>
      </w:r>
      <w:r w:rsidR="004659B0">
        <w:rPr>
          <w:rFonts w:asciiTheme="minorHAnsi" w:eastAsia="Times New Roman" w:hAnsiTheme="minorHAnsi"/>
          <w:sz w:val="24"/>
          <w:szCs w:val="24"/>
          <w:lang w:eastAsia="cs-CZ"/>
        </w:rPr>
        <w:t xml:space="preserve">220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účastníků. U menších SVČ pak je zjevně počet financovaných úvazků dorovnán </w:t>
      </w:r>
      <w:r w:rsidR="005F633B">
        <w:rPr>
          <w:rFonts w:asciiTheme="minorHAnsi" w:eastAsia="Times New Roman" w:hAnsiTheme="minorHAnsi"/>
          <w:sz w:val="24"/>
          <w:szCs w:val="24"/>
          <w:lang w:eastAsia="cs-CZ"/>
        </w:rPr>
        <w:t xml:space="preserve">krajským úřadem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na MPZ dodatečně, neboť všechny tyto menší zařízení vykazují počet zaměstnanců odpovídající MPZ (s jednou výjimkou, kdy má SVČ pedagogického pracovníka na</w:t>
      </w:r>
      <w:r w:rsidR="005F633B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dohodu).</w:t>
      </w:r>
    </w:p>
    <w:p w14:paraId="7766DE6C" w14:textId="3F35209A" w:rsidR="002B0113" w:rsidRDefault="00D267AD" w:rsidP="002B0113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K</w:t>
      </w:r>
      <w:r w:rsidR="00521222" w:rsidRPr="00422F59">
        <w:rPr>
          <w:rFonts w:asciiTheme="minorHAnsi" w:eastAsia="Times New Roman" w:hAnsiTheme="minorHAnsi"/>
          <w:sz w:val="24"/>
          <w:szCs w:val="24"/>
          <w:lang w:eastAsia="cs-CZ"/>
        </w:rPr>
        <w:t>rajské normativy pro střediska volného času</w:t>
      </w:r>
      <w:r w:rsidR="0052122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vzhledem k rozdílnosti stanovení jednotky výkonu </w:t>
      </w:r>
      <w:r w:rsidR="002B0113">
        <w:rPr>
          <w:rFonts w:asciiTheme="minorHAnsi" w:eastAsia="Times New Roman" w:hAnsiTheme="minorHAnsi"/>
          <w:sz w:val="24"/>
          <w:szCs w:val="24"/>
          <w:lang w:eastAsia="cs-CZ"/>
        </w:rPr>
        <w:t>a</w:t>
      </w:r>
      <w:r w:rsidR="00CD5071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B0113">
        <w:rPr>
          <w:rFonts w:asciiTheme="minorHAnsi" w:eastAsia="Times New Roman" w:hAnsiTheme="minorHAnsi"/>
          <w:sz w:val="24"/>
          <w:szCs w:val="24"/>
          <w:lang w:eastAsia="cs-CZ"/>
        </w:rPr>
        <w:t>také proto, že stanovení ukazatelů N</w:t>
      </w:r>
      <w:r w:rsidR="002B0113" w:rsidRPr="008E79D7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="002B0113">
        <w:rPr>
          <w:rFonts w:asciiTheme="minorHAnsi" w:eastAsia="Times New Roman" w:hAnsiTheme="minorHAnsi"/>
          <w:sz w:val="24"/>
          <w:szCs w:val="24"/>
          <w:lang w:eastAsia="cs-CZ"/>
        </w:rPr>
        <w:t xml:space="preserve"> a N</w:t>
      </w:r>
      <w:r w:rsidR="002B0113" w:rsidRPr="008E79D7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2B0113">
        <w:rPr>
          <w:rFonts w:asciiTheme="minorHAnsi" w:eastAsia="Times New Roman" w:hAnsiTheme="minorHAnsi"/>
          <w:sz w:val="24"/>
          <w:szCs w:val="24"/>
          <w:lang w:eastAsia="cs-CZ"/>
        </w:rPr>
        <w:t xml:space="preserve"> je pravděpodobně ovlivněno z důvodu Covidu-19, není </w:t>
      </w:r>
      <w:r w:rsidR="000629EF">
        <w:rPr>
          <w:rFonts w:asciiTheme="minorHAnsi" w:eastAsia="Times New Roman" w:hAnsiTheme="minorHAnsi"/>
          <w:sz w:val="24"/>
          <w:szCs w:val="24"/>
          <w:lang w:eastAsia="cs-CZ"/>
        </w:rPr>
        <w:t xml:space="preserve">zahrnuto </w:t>
      </w:r>
      <w:r w:rsidR="002B0113">
        <w:rPr>
          <w:rFonts w:asciiTheme="minorHAnsi" w:eastAsia="Times New Roman" w:hAnsiTheme="minorHAnsi"/>
          <w:sz w:val="24"/>
          <w:szCs w:val="24"/>
          <w:lang w:eastAsia="cs-CZ"/>
        </w:rPr>
        <w:t xml:space="preserve">jejich porovnání. </w:t>
      </w:r>
    </w:p>
    <w:p w14:paraId="35E13CFC" w14:textId="77777777" w:rsidR="009A5FA1" w:rsidRDefault="009A5FA1" w:rsidP="007C5121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6F8E2245" w14:textId="77777777" w:rsidR="008B7765" w:rsidRDefault="008B7765" w:rsidP="008B776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sz w:val="24"/>
          <w:szCs w:val="24"/>
        </w:rPr>
      </w:pPr>
      <w:r w:rsidRPr="00B93992">
        <w:rPr>
          <w:rFonts w:cstheme="minorHAnsi"/>
          <w:b/>
          <w:bCs/>
          <w:sz w:val="24"/>
          <w:szCs w:val="24"/>
        </w:rPr>
        <w:t>Kursy pro získání základního vzdělání</w:t>
      </w:r>
    </w:p>
    <w:p w14:paraId="198F4027" w14:textId="422E32F1" w:rsidR="006E77D5" w:rsidRDefault="008B7765" w:rsidP="008B776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Osm</w:t>
      </w:r>
      <w:r w:rsidRPr="00F3139D">
        <w:rPr>
          <w:rFonts w:cstheme="minorHAnsi"/>
          <w:bCs/>
          <w:sz w:val="24"/>
          <w:szCs w:val="24"/>
        </w:rPr>
        <w:t xml:space="preserve"> kraj</w:t>
      </w:r>
      <w:r w:rsidR="00577318">
        <w:rPr>
          <w:rFonts w:cstheme="minorHAnsi"/>
          <w:bCs/>
          <w:sz w:val="24"/>
          <w:szCs w:val="24"/>
        </w:rPr>
        <w:t>ských úřad</w:t>
      </w:r>
      <w:r>
        <w:rPr>
          <w:rFonts w:cstheme="minorHAnsi"/>
          <w:bCs/>
          <w:sz w:val="24"/>
          <w:szCs w:val="24"/>
        </w:rPr>
        <w:t xml:space="preserve">ů má </w:t>
      </w:r>
      <w:r w:rsidR="006E77D5">
        <w:rPr>
          <w:rFonts w:cstheme="minorHAnsi"/>
          <w:bCs/>
          <w:sz w:val="24"/>
          <w:szCs w:val="24"/>
        </w:rPr>
        <w:t xml:space="preserve">stanoveno normativy pro </w:t>
      </w:r>
      <w:r>
        <w:rPr>
          <w:rFonts w:cstheme="minorHAnsi"/>
          <w:bCs/>
          <w:sz w:val="24"/>
          <w:szCs w:val="24"/>
        </w:rPr>
        <w:t xml:space="preserve">kursy pro získání základního vzdělání. </w:t>
      </w:r>
      <w:r w:rsidR="00F638A7">
        <w:rPr>
          <w:rFonts w:cstheme="minorHAnsi"/>
          <w:bCs/>
          <w:sz w:val="24"/>
          <w:szCs w:val="24"/>
        </w:rPr>
        <w:t>Tyto kraj</w:t>
      </w:r>
      <w:r w:rsidR="00577318">
        <w:rPr>
          <w:rFonts w:cstheme="minorHAnsi"/>
          <w:bCs/>
          <w:sz w:val="24"/>
          <w:szCs w:val="24"/>
        </w:rPr>
        <w:t>ské úřady</w:t>
      </w:r>
      <w:r w:rsidR="00F638A7">
        <w:rPr>
          <w:rFonts w:cstheme="minorHAnsi"/>
          <w:bCs/>
          <w:sz w:val="24"/>
          <w:szCs w:val="24"/>
        </w:rPr>
        <w:t xml:space="preserve"> mají </w:t>
      </w:r>
      <w:r w:rsidR="006E77D5">
        <w:rPr>
          <w:rFonts w:cstheme="minorHAnsi"/>
          <w:bCs/>
          <w:sz w:val="24"/>
          <w:szCs w:val="24"/>
        </w:rPr>
        <w:t>stanoven</w:t>
      </w:r>
      <w:r w:rsidR="00D56043">
        <w:rPr>
          <w:rFonts w:cstheme="minorHAnsi"/>
          <w:bCs/>
          <w:sz w:val="24"/>
          <w:szCs w:val="24"/>
        </w:rPr>
        <w:t xml:space="preserve"> jeden</w:t>
      </w:r>
      <w:r w:rsidR="006E77D5">
        <w:rPr>
          <w:rFonts w:cstheme="minorHAnsi"/>
          <w:bCs/>
          <w:sz w:val="24"/>
          <w:szCs w:val="24"/>
        </w:rPr>
        <w:t xml:space="preserve"> </w:t>
      </w:r>
      <w:r w:rsidR="00FB7653">
        <w:rPr>
          <w:rFonts w:cstheme="minorHAnsi"/>
          <w:bCs/>
          <w:sz w:val="24"/>
          <w:szCs w:val="24"/>
        </w:rPr>
        <w:t>normativ</w:t>
      </w:r>
      <w:r w:rsidRPr="00F3139D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3256CD">
        <w:rPr>
          <w:rFonts w:cstheme="minorHAnsi"/>
          <w:bCs/>
          <w:sz w:val="24"/>
          <w:szCs w:val="24"/>
        </w:rPr>
        <w:t xml:space="preserve">Královéhradecký </w:t>
      </w:r>
      <w:r w:rsidR="006E77D5">
        <w:rPr>
          <w:rFonts w:cstheme="minorHAnsi"/>
          <w:bCs/>
          <w:sz w:val="24"/>
          <w:szCs w:val="24"/>
        </w:rPr>
        <w:t>a </w:t>
      </w:r>
      <w:r w:rsidR="003256CD">
        <w:rPr>
          <w:rFonts w:cstheme="minorHAnsi"/>
          <w:bCs/>
          <w:sz w:val="24"/>
          <w:szCs w:val="24"/>
        </w:rPr>
        <w:t>Pardubic</w:t>
      </w:r>
      <w:r w:rsidR="006E77D5" w:rsidRPr="00AB151A">
        <w:rPr>
          <w:rFonts w:cstheme="minorHAnsi"/>
          <w:bCs/>
          <w:sz w:val="24"/>
          <w:szCs w:val="24"/>
        </w:rPr>
        <w:t>ký</w:t>
      </w:r>
      <w:r w:rsidR="003256CD">
        <w:rPr>
          <w:rFonts w:cstheme="minorHAnsi"/>
          <w:bCs/>
          <w:sz w:val="24"/>
          <w:szCs w:val="24"/>
        </w:rPr>
        <w:t xml:space="preserve"> </w:t>
      </w:r>
      <w:r w:rsidR="00577318">
        <w:rPr>
          <w:rFonts w:cstheme="minorHAnsi"/>
          <w:bCs/>
          <w:sz w:val="24"/>
          <w:szCs w:val="24"/>
        </w:rPr>
        <w:t xml:space="preserve">krajský úřad </w:t>
      </w:r>
      <w:r w:rsidR="006E77D5">
        <w:rPr>
          <w:rFonts w:cstheme="minorHAnsi"/>
          <w:bCs/>
          <w:sz w:val="24"/>
          <w:szCs w:val="24"/>
        </w:rPr>
        <w:t xml:space="preserve">stanovil normativ pouze pro </w:t>
      </w:r>
      <w:r w:rsidR="006E77D5" w:rsidRPr="00C2011C">
        <w:rPr>
          <w:rFonts w:cstheme="minorHAnsi"/>
          <w:bCs/>
          <w:sz w:val="24"/>
          <w:szCs w:val="24"/>
        </w:rPr>
        <w:t>pedagogick</w:t>
      </w:r>
      <w:r w:rsidR="006E77D5">
        <w:rPr>
          <w:rFonts w:cstheme="minorHAnsi"/>
          <w:bCs/>
          <w:sz w:val="24"/>
          <w:szCs w:val="24"/>
        </w:rPr>
        <w:t>é</w:t>
      </w:r>
      <w:r w:rsidR="006E77D5" w:rsidRPr="00C2011C">
        <w:rPr>
          <w:rFonts w:cstheme="minorHAnsi"/>
          <w:bCs/>
          <w:sz w:val="24"/>
          <w:szCs w:val="24"/>
        </w:rPr>
        <w:t xml:space="preserve"> </w:t>
      </w:r>
      <w:r w:rsidR="006E77D5">
        <w:rPr>
          <w:rFonts w:cstheme="minorHAnsi"/>
          <w:bCs/>
          <w:sz w:val="24"/>
          <w:szCs w:val="24"/>
        </w:rPr>
        <w:t>pracovníky.</w:t>
      </w:r>
    </w:p>
    <w:p w14:paraId="22D497F3" w14:textId="01652969" w:rsidR="008B7765" w:rsidRDefault="006E77D5" w:rsidP="008B7765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</w:t>
      </w:r>
      <w:r w:rsidR="008B7765">
        <w:rPr>
          <w:rFonts w:cstheme="minorHAnsi"/>
          <w:bCs/>
          <w:sz w:val="24"/>
          <w:szCs w:val="24"/>
        </w:rPr>
        <w:t> ukazatelích N</w:t>
      </w:r>
      <w:r w:rsidR="008B7765" w:rsidRPr="00B93992">
        <w:rPr>
          <w:rFonts w:cstheme="minorHAnsi"/>
          <w:bCs/>
          <w:sz w:val="16"/>
          <w:szCs w:val="16"/>
        </w:rPr>
        <w:t>p</w:t>
      </w:r>
      <w:r w:rsidR="008B7765">
        <w:rPr>
          <w:rFonts w:cstheme="minorHAnsi"/>
          <w:bCs/>
          <w:sz w:val="24"/>
          <w:szCs w:val="24"/>
        </w:rPr>
        <w:t xml:space="preserve"> a N</w:t>
      </w:r>
      <w:r w:rsidR="008B7765" w:rsidRPr="00B93992">
        <w:rPr>
          <w:rFonts w:cstheme="minorHAnsi"/>
          <w:bCs/>
          <w:sz w:val="16"/>
          <w:szCs w:val="16"/>
        </w:rPr>
        <w:t>o</w:t>
      </w:r>
      <w:r w:rsidR="008B7765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nebyly provedeny </w:t>
      </w:r>
      <w:r w:rsidR="003C7E6E">
        <w:rPr>
          <w:rFonts w:cstheme="minorHAnsi"/>
          <w:bCs/>
          <w:sz w:val="24"/>
          <w:szCs w:val="24"/>
        </w:rPr>
        <w:t xml:space="preserve">žádné </w:t>
      </w:r>
      <w:r w:rsidR="008B7765">
        <w:rPr>
          <w:rFonts w:cstheme="minorHAnsi"/>
          <w:bCs/>
          <w:sz w:val="24"/>
          <w:szCs w:val="24"/>
        </w:rPr>
        <w:t>meziroční změny.</w:t>
      </w:r>
      <w:r>
        <w:rPr>
          <w:rFonts w:cstheme="minorHAnsi"/>
          <w:bCs/>
          <w:sz w:val="24"/>
          <w:szCs w:val="24"/>
        </w:rPr>
        <w:t xml:space="preserve"> </w:t>
      </w:r>
      <w:r w:rsidR="008B7765">
        <w:rPr>
          <w:rFonts w:cstheme="minorHAnsi"/>
          <w:bCs/>
          <w:sz w:val="24"/>
          <w:szCs w:val="24"/>
        </w:rPr>
        <w:t>Do </w:t>
      </w:r>
      <w:r w:rsidR="008B7765" w:rsidRPr="00F3139D">
        <w:rPr>
          <w:rFonts w:cstheme="minorHAnsi"/>
          <w:bCs/>
          <w:sz w:val="24"/>
          <w:szCs w:val="24"/>
        </w:rPr>
        <w:t>ukazatel</w:t>
      </w:r>
      <w:r w:rsidR="008B7765">
        <w:rPr>
          <w:rFonts w:cstheme="minorHAnsi"/>
          <w:bCs/>
          <w:sz w:val="24"/>
          <w:szCs w:val="24"/>
        </w:rPr>
        <w:t>ů</w:t>
      </w:r>
      <w:r w:rsidR="008B7765" w:rsidRPr="00F3139D">
        <w:rPr>
          <w:rFonts w:cstheme="minorHAnsi"/>
          <w:bCs/>
          <w:sz w:val="24"/>
          <w:szCs w:val="24"/>
        </w:rPr>
        <w:t xml:space="preserve"> P</w:t>
      </w:r>
      <w:r w:rsidR="008B7765" w:rsidRPr="00B93992">
        <w:rPr>
          <w:rFonts w:cstheme="minorHAnsi"/>
          <w:bCs/>
          <w:sz w:val="16"/>
          <w:szCs w:val="16"/>
        </w:rPr>
        <w:t>p</w:t>
      </w:r>
      <w:r w:rsidR="008B7765" w:rsidRPr="00F3139D">
        <w:rPr>
          <w:rFonts w:cstheme="minorHAnsi"/>
          <w:bCs/>
          <w:sz w:val="24"/>
          <w:szCs w:val="24"/>
        </w:rPr>
        <w:t xml:space="preserve"> promítl</w:t>
      </w:r>
      <w:r w:rsidR="008B7765">
        <w:rPr>
          <w:rFonts w:cstheme="minorHAnsi"/>
          <w:bCs/>
          <w:sz w:val="24"/>
          <w:szCs w:val="24"/>
        </w:rPr>
        <w:t>o</w:t>
      </w:r>
      <w:r w:rsidR="008B7765" w:rsidRPr="00F3139D">
        <w:rPr>
          <w:rFonts w:cstheme="minorHAnsi"/>
          <w:bCs/>
          <w:sz w:val="24"/>
          <w:szCs w:val="24"/>
        </w:rPr>
        <w:t xml:space="preserve"> </w:t>
      </w:r>
      <w:r w:rsidR="008B7765">
        <w:rPr>
          <w:rFonts w:cstheme="minorHAnsi"/>
          <w:bCs/>
          <w:sz w:val="24"/>
          <w:szCs w:val="24"/>
        </w:rPr>
        <w:t>sedm kraj</w:t>
      </w:r>
      <w:r w:rsidR="00577318">
        <w:rPr>
          <w:rFonts w:cstheme="minorHAnsi"/>
          <w:bCs/>
          <w:sz w:val="24"/>
          <w:szCs w:val="24"/>
        </w:rPr>
        <w:t>ských úřad</w:t>
      </w:r>
      <w:r w:rsidR="008B7765">
        <w:rPr>
          <w:rFonts w:cstheme="minorHAnsi"/>
          <w:bCs/>
          <w:sz w:val="24"/>
          <w:szCs w:val="24"/>
        </w:rPr>
        <w:t xml:space="preserve">ů </w:t>
      </w:r>
      <w:r w:rsidR="008B7765" w:rsidRPr="00F3139D">
        <w:rPr>
          <w:rFonts w:cstheme="minorHAnsi"/>
          <w:bCs/>
          <w:sz w:val="24"/>
          <w:szCs w:val="24"/>
        </w:rPr>
        <w:t>meziroční zvýšení platů</w:t>
      </w:r>
      <w:r w:rsidR="008B7765">
        <w:rPr>
          <w:rFonts w:cstheme="minorHAnsi"/>
          <w:bCs/>
          <w:sz w:val="24"/>
          <w:szCs w:val="24"/>
        </w:rPr>
        <w:t xml:space="preserve"> </w:t>
      </w:r>
      <w:r w:rsidR="008B7765">
        <w:rPr>
          <w:rFonts w:asciiTheme="minorHAnsi" w:eastAsia="Times New Roman" w:hAnsiTheme="minorHAnsi"/>
          <w:bCs/>
          <w:sz w:val="24"/>
          <w:szCs w:val="24"/>
          <w:lang w:eastAsia="cs-CZ"/>
        </w:rPr>
        <w:t>v rozmezí od 9 do 11,7 %.</w:t>
      </w:r>
      <w:r w:rsidR="008343A5">
        <w:rPr>
          <w:rFonts w:cstheme="minorHAnsi"/>
          <w:bCs/>
          <w:sz w:val="24"/>
          <w:szCs w:val="24"/>
        </w:rPr>
        <w:t xml:space="preserve"> </w:t>
      </w:r>
      <w:r w:rsidR="008B7765" w:rsidRPr="00F3139D">
        <w:rPr>
          <w:rFonts w:cstheme="minorHAnsi"/>
          <w:bCs/>
          <w:sz w:val="24"/>
          <w:szCs w:val="24"/>
        </w:rPr>
        <w:t>Jihomoravsk</w:t>
      </w:r>
      <w:r w:rsidR="008B7765">
        <w:rPr>
          <w:rFonts w:cstheme="minorHAnsi"/>
          <w:bCs/>
          <w:sz w:val="24"/>
          <w:szCs w:val="24"/>
        </w:rPr>
        <w:t>ý navýšil ukazatel P</w:t>
      </w:r>
      <w:r w:rsidR="008B7765" w:rsidRPr="00B93992">
        <w:rPr>
          <w:rFonts w:cstheme="minorHAnsi"/>
          <w:bCs/>
          <w:sz w:val="16"/>
          <w:szCs w:val="16"/>
        </w:rPr>
        <w:t>p</w:t>
      </w:r>
      <w:r w:rsidR="008B7765">
        <w:rPr>
          <w:rFonts w:cstheme="minorHAnsi"/>
          <w:bCs/>
          <w:sz w:val="24"/>
          <w:szCs w:val="24"/>
        </w:rPr>
        <w:t xml:space="preserve"> ze</w:t>
      </w:r>
      <w:r w:rsidR="00F94714">
        <w:rPr>
          <w:rFonts w:cstheme="minorHAnsi"/>
          <w:bCs/>
          <w:sz w:val="24"/>
          <w:szCs w:val="24"/>
        </w:rPr>
        <w:t> </w:t>
      </w:r>
      <w:r w:rsidR="008B7765">
        <w:rPr>
          <w:rFonts w:cstheme="minorHAnsi"/>
          <w:bCs/>
          <w:sz w:val="24"/>
          <w:szCs w:val="24"/>
        </w:rPr>
        <w:t>všech krajů nejméně (o 7,6 %</w:t>
      </w:r>
      <w:r w:rsidR="008B7765" w:rsidRPr="00F3139D">
        <w:rPr>
          <w:rFonts w:cstheme="minorHAnsi"/>
          <w:bCs/>
          <w:sz w:val="24"/>
          <w:szCs w:val="24"/>
        </w:rPr>
        <w:t>)</w:t>
      </w:r>
      <w:r w:rsidR="008B7765">
        <w:rPr>
          <w:rFonts w:cstheme="minorHAnsi"/>
          <w:bCs/>
          <w:sz w:val="24"/>
          <w:szCs w:val="24"/>
        </w:rPr>
        <w:t xml:space="preserve">. Důvodem je nejspíš skutečnost, že v loňském roce měl </w:t>
      </w:r>
      <w:r w:rsidR="008B7765" w:rsidRPr="00F3139D">
        <w:rPr>
          <w:rFonts w:cstheme="minorHAnsi"/>
          <w:bCs/>
          <w:sz w:val="24"/>
          <w:szCs w:val="24"/>
        </w:rPr>
        <w:t>Jihomoravsk</w:t>
      </w:r>
      <w:r w:rsidR="008B7765">
        <w:rPr>
          <w:rFonts w:cstheme="minorHAnsi"/>
          <w:bCs/>
          <w:sz w:val="24"/>
          <w:szCs w:val="24"/>
        </w:rPr>
        <w:t>ý kraj nejvyšší průměrný plat pedagogických pracovníků v ČR. Do ukazatelů P</w:t>
      </w:r>
      <w:r w:rsidR="008B7765" w:rsidRPr="00B93992">
        <w:rPr>
          <w:rFonts w:cstheme="minorHAnsi"/>
          <w:bCs/>
          <w:sz w:val="16"/>
          <w:szCs w:val="16"/>
        </w:rPr>
        <w:t>o</w:t>
      </w:r>
      <w:r w:rsidR="008B7765" w:rsidRPr="00F3139D">
        <w:rPr>
          <w:rFonts w:cstheme="minorHAnsi"/>
          <w:bCs/>
          <w:sz w:val="24"/>
          <w:szCs w:val="24"/>
        </w:rPr>
        <w:t xml:space="preserve"> promítly </w:t>
      </w:r>
      <w:r w:rsidR="008B7765">
        <w:rPr>
          <w:rFonts w:cstheme="minorHAnsi"/>
          <w:bCs/>
          <w:sz w:val="24"/>
          <w:szCs w:val="24"/>
        </w:rPr>
        <w:t xml:space="preserve">kraje </w:t>
      </w:r>
      <w:r w:rsidR="008B7765" w:rsidRPr="00F3139D">
        <w:rPr>
          <w:rFonts w:cstheme="minorHAnsi"/>
          <w:bCs/>
          <w:sz w:val="24"/>
          <w:szCs w:val="24"/>
        </w:rPr>
        <w:t>meziroční zvýšení platů</w:t>
      </w:r>
      <w:r w:rsidR="008B7765">
        <w:rPr>
          <w:rFonts w:cstheme="minorHAnsi"/>
          <w:bCs/>
          <w:sz w:val="24"/>
          <w:szCs w:val="24"/>
        </w:rPr>
        <w:t xml:space="preserve"> o 4 a</w:t>
      </w:r>
      <w:r w:rsidR="00054BDC">
        <w:rPr>
          <w:rFonts w:cstheme="minorHAnsi"/>
          <w:bCs/>
          <w:sz w:val="24"/>
          <w:szCs w:val="24"/>
        </w:rPr>
        <w:t>ž</w:t>
      </w:r>
      <w:r w:rsidR="008B7765">
        <w:rPr>
          <w:rFonts w:cstheme="minorHAnsi"/>
          <w:bCs/>
          <w:sz w:val="24"/>
          <w:szCs w:val="24"/>
        </w:rPr>
        <w:t xml:space="preserve"> </w:t>
      </w:r>
      <w:r w:rsidR="00054BDC">
        <w:rPr>
          <w:rFonts w:cstheme="minorHAnsi"/>
          <w:bCs/>
          <w:sz w:val="24"/>
          <w:szCs w:val="24"/>
        </w:rPr>
        <w:t>5</w:t>
      </w:r>
      <w:r w:rsidR="00191A3C">
        <w:rPr>
          <w:rFonts w:cstheme="minorHAnsi"/>
          <w:bCs/>
          <w:sz w:val="24"/>
          <w:szCs w:val="24"/>
        </w:rPr>
        <w:t xml:space="preserve"> %</w:t>
      </w:r>
      <w:r w:rsidR="008B7765">
        <w:rPr>
          <w:rFonts w:cstheme="minorHAnsi"/>
          <w:bCs/>
          <w:sz w:val="24"/>
          <w:szCs w:val="24"/>
        </w:rPr>
        <w:t xml:space="preserve">. </w:t>
      </w:r>
    </w:p>
    <w:p w14:paraId="4340E07E" w14:textId="1A6FE344" w:rsidR="004B5006" w:rsidRDefault="004B5006" w:rsidP="007C5121">
      <w:pPr>
        <w:spacing w:after="6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</w:p>
    <w:p w14:paraId="3D6A561C" w14:textId="77777777" w:rsidR="003B128D" w:rsidRDefault="003B128D" w:rsidP="00B64852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14:paraId="387CBF61" w14:textId="04E76DC2" w:rsidR="0051310B" w:rsidRDefault="00941AA6" w:rsidP="00B64852">
      <w:pPr>
        <w:spacing w:after="60" w:line="240" w:lineRule="auto"/>
        <w:jc w:val="both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883245">
        <w:rPr>
          <w:rFonts w:asciiTheme="minorHAnsi" w:eastAsia="Times New Roman" w:hAnsiTheme="minorHAnsi"/>
          <w:b/>
          <w:sz w:val="24"/>
          <w:szCs w:val="24"/>
          <w:lang w:eastAsia="cs-CZ"/>
        </w:rPr>
        <w:t>Závěr:</w:t>
      </w:r>
    </w:p>
    <w:p w14:paraId="1137829B" w14:textId="79C70DF7" w:rsidR="00CA335B" w:rsidRDefault="005F633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roce 2021 krajské úřady podruhé stanovovaly normativy pouze pro školská zařízení, resp. rok 2021 je druhým rokem, kdy jsou </w:t>
      </w:r>
      <w:r w:rsidR="00577318">
        <w:rPr>
          <w:sz w:val="24"/>
          <w:szCs w:val="24"/>
        </w:rPr>
        <w:t xml:space="preserve">prostředky na činnost </w:t>
      </w:r>
      <w:r>
        <w:rPr>
          <w:sz w:val="24"/>
          <w:szCs w:val="24"/>
        </w:rPr>
        <w:t>škol a pedagogick</w:t>
      </w:r>
      <w:r w:rsidR="00577318">
        <w:rPr>
          <w:sz w:val="24"/>
          <w:szCs w:val="24"/>
        </w:rPr>
        <w:t>ou</w:t>
      </w:r>
      <w:r>
        <w:rPr>
          <w:sz w:val="24"/>
          <w:szCs w:val="24"/>
        </w:rPr>
        <w:t xml:space="preserve"> prác</w:t>
      </w:r>
      <w:r w:rsidR="00577318">
        <w:rPr>
          <w:sz w:val="24"/>
          <w:szCs w:val="24"/>
        </w:rPr>
        <w:t>i</w:t>
      </w:r>
      <w:r>
        <w:rPr>
          <w:sz w:val="24"/>
          <w:szCs w:val="24"/>
        </w:rPr>
        <w:t xml:space="preserve"> ve školních družinách </w:t>
      </w:r>
      <w:r w:rsidR="00577318">
        <w:rPr>
          <w:sz w:val="24"/>
          <w:szCs w:val="24"/>
        </w:rPr>
        <w:t xml:space="preserve">stanovovány </w:t>
      </w:r>
      <w:r>
        <w:rPr>
          <w:sz w:val="24"/>
          <w:szCs w:val="24"/>
        </w:rPr>
        <w:t xml:space="preserve">z úrovně MŠMT. </w:t>
      </w:r>
    </w:p>
    <w:p w14:paraId="57BAC9E3" w14:textId="549B5768" w:rsidR="005F633B" w:rsidRDefault="005F633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 některých školských zařízení byly v roce 2020 stanoveny jiné jednotky výkonu než v předcházejících letech. </w:t>
      </w:r>
      <w:r w:rsidR="00B5173F">
        <w:rPr>
          <w:sz w:val="24"/>
          <w:szCs w:val="24"/>
        </w:rPr>
        <w:t xml:space="preserve">Krajské úřady tedy od roku 2020 </w:t>
      </w:r>
      <w:r w:rsidR="002D343B">
        <w:rPr>
          <w:sz w:val="24"/>
          <w:szCs w:val="24"/>
        </w:rPr>
        <w:t xml:space="preserve">měnily metodiku stanovení krajských normativů </w:t>
      </w:r>
      <w:r w:rsidR="00B5173F">
        <w:rPr>
          <w:sz w:val="24"/>
          <w:szCs w:val="24"/>
        </w:rPr>
        <w:t>u dětských domovů</w:t>
      </w:r>
      <w:r w:rsidR="002D343B">
        <w:rPr>
          <w:sz w:val="24"/>
          <w:szCs w:val="24"/>
        </w:rPr>
        <w:t xml:space="preserve">, které </w:t>
      </w:r>
      <w:r w:rsidR="00B5173F" w:rsidRPr="00B5173F">
        <w:rPr>
          <w:sz w:val="24"/>
          <w:szCs w:val="24"/>
        </w:rPr>
        <w:t>měly dříve jednotku výkonu lůžko zapsané kapacity, a nyní mají rodinnou skupinu</w:t>
      </w:r>
      <w:r w:rsidR="002D343B">
        <w:rPr>
          <w:sz w:val="24"/>
          <w:szCs w:val="24"/>
        </w:rPr>
        <w:t xml:space="preserve">. </w:t>
      </w:r>
      <w:r w:rsidR="00213E90">
        <w:rPr>
          <w:sz w:val="24"/>
          <w:szCs w:val="24"/>
        </w:rPr>
        <w:t xml:space="preserve">Další změnou u dětských domovů je to, že od roku 2021 lze stanovovat opravné koeficienty podle počtu rodinných skupin. </w:t>
      </w:r>
      <w:r w:rsidR="002D343B">
        <w:rPr>
          <w:sz w:val="24"/>
          <w:szCs w:val="24"/>
        </w:rPr>
        <w:t xml:space="preserve">U </w:t>
      </w:r>
      <w:r w:rsidR="00B5173F">
        <w:rPr>
          <w:sz w:val="24"/>
          <w:szCs w:val="24"/>
        </w:rPr>
        <w:t>školských poradenských zařízení</w:t>
      </w:r>
      <w:r w:rsidR="002D343B">
        <w:rPr>
          <w:sz w:val="24"/>
          <w:szCs w:val="24"/>
        </w:rPr>
        <w:t xml:space="preserve"> došlo ke sjednocení jednotky výkonu na</w:t>
      </w:r>
      <w:r w:rsidR="00CA335B">
        <w:rPr>
          <w:sz w:val="24"/>
          <w:szCs w:val="24"/>
        </w:rPr>
        <w:t> </w:t>
      </w:r>
      <w:r w:rsidR="002D343B">
        <w:rPr>
          <w:sz w:val="24"/>
          <w:szCs w:val="24"/>
        </w:rPr>
        <w:t>klienta, kterému byla poskytnuta péče v předcházejícím školním roce</w:t>
      </w:r>
      <w:r w:rsidR="00B5173F">
        <w:rPr>
          <w:sz w:val="24"/>
          <w:szCs w:val="24"/>
        </w:rPr>
        <w:t xml:space="preserve">. </w:t>
      </w:r>
      <w:r w:rsidR="002D343B">
        <w:rPr>
          <w:sz w:val="24"/>
          <w:szCs w:val="24"/>
        </w:rPr>
        <w:t>A také bylo nutno stanovit normativy pro nepedagogickou práci ve školních družinách.</w:t>
      </w:r>
      <w:r w:rsidR="00825662">
        <w:rPr>
          <w:sz w:val="24"/>
          <w:szCs w:val="24"/>
        </w:rPr>
        <w:t xml:space="preserve"> Kromě toho bylo zavedeno MPZ</w:t>
      </w:r>
      <w:r w:rsidR="003C7A25">
        <w:rPr>
          <w:sz w:val="24"/>
          <w:szCs w:val="24"/>
        </w:rPr>
        <w:t>.</w:t>
      </w:r>
    </w:p>
    <w:p w14:paraId="4C0C64B9" w14:textId="646FC3D3" w:rsidR="003C7A25" w:rsidRDefault="00CA335B" w:rsidP="008F4BCA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roce 2021 pak bylo stanovení krajských normativů výrazně ovlivněno pandemií Covid-19, v </w:t>
      </w:r>
      <w:proofErr w:type="gramStart"/>
      <w:r>
        <w:rPr>
          <w:sz w:val="24"/>
          <w:szCs w:val="24"/>
        </w:rPr>
        <w:t>důsledku</w:t>
      </w:r>
      <w:proofErr w:type="gramEnd"/>
      <w:r>
        <w:rPr>
          <w:sz w:val="24"/>
          <w:szCs w:val="24"/>
        </w:rPr>
        <w:t xml:space="preserve"> které </w:t>
      </w:r>
      <w:r w:rsidR="0040381C">
        <w:rPr>
          <w:sz w:val="24"/>
          <w:szCs w:val="24"/>
        </w:rPr>
        <w:t>d</w:t>
      </w:r>
      <w:r w:rsidR="0040381C" w:rsidRPr="0040381C">
        <w:rPr>
          <w:sz w:val="24"/>
          <w:szCs w:val="24"/>
        </w:rPr>
        <w:t>ošlo v některých školských zařízeních k meziročnímu poklesu jednotek výkonu rozhodných pro stanovení objemu finančních prostředků</w:t>
      </w:r>
      <w:r w:rsidR="0040381C">
        <w:rPr>
          <w:sz w:val="24"/>
          <w:szCs w:val="24"/>
        </w:rPr>
        <w:t xml:space="preserve"> </w:t>
      </w:r>
      <w:r w:rsidR="00DB15A6">
        <w:rPr>
          <w:sz w:val="24"/>
          <w:szCs w:val="24"/>
        </w:rPr>
        <w:t>pro rok 2021</w:t>
      </w:r>
      <w:r>
        <w:rPr>
          <w:sz w:val="24"/>
          <w:szCs w:val="24"/>
        </w:rPr>
        <w:t>.</w:t>
      </w:r>
      <w:r w:rsidR="00DB15A6">
        <w:rPr>
          <w:sz w:val="24"/>
          <w:szCs w:val="24"/>
        </w:rPr>
        <w:t xml:space="preserve"> </w:t>
      </w:r>
    </w:p>
    <w:p w14:paraId="665669BF" w14:textId="58970194" w:rsidR="00D93DAF" w:rsidRDefault="003C7A25" w:rsidP="008F4BCA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důvodu eliminace vlivu pandemie všechny </w:t>
      </w:r>
      <w:r w:rsidR="00D93DAF" w:rsidRPr="00384486">
        <w:rPr>
          <w:sz w:val="24"/>
          <w:szCs w:val="24"/>
        </w:rPr>
        <w:t>kraj</w:t>
      </w:r>
      <w:r w:rsidR="00577318">
        <w:rPr>
          <w:sz w:val="24"/>
          <w:szCs w:val="24"/>
        </w:rPr>
        <w:t>ské úřady</w:t>
      </w:r>
      <w:r w:rsidR="00D93DAF" w:rsidRPr="00384486">
        <w:rPr>
          <w:sz w:val="24"/>
          <w:szCs w:val="24"/>
        </w:rPr>
        <w:t xml:space="preserve"> </w:t>
      </w:r>
      <w:r w:rsidR="004E2818">
        <w:rPr>
          <w:sz w:val="24"/>
          <w:szCs w:val="24"/>
        </w:rPr>
        <w:t>u</w:t>
      </w:r>
      <w:r w:rsidR="00D93DAF" w:rsidRPr="00384486">
        <w:rPr>
          <w:sz w:val="24"/>
          <w:szCs w:val="24"/>
        </w:rPr>
        <w:t xml:space="preserve"> zařízení školního stravování </w:t>
      </w:r>
      <w:r w:rsidR="004E2818">
        <w:rPr>
          <w:sz w:val="24"/>
          <w:szCs w:val="24"/>
        </w:rPr>
        <w:t xml:space="preserve">nestanovily opravný koeficient zohledňující počet uvařených </w:t>
      </w:r>
      <w:r w:rsidR="00B7353A">
        <w:rPr>
          <w:sz w:val="24"/>
          <w:szCs w:val="24"/>
        </w:rPr>
        <w:t xml:space="preserve">jídel </w:t>
      </w:r>
      <w:r w:rsidR="004E2818">
        <w:rPr>
          <w:sz w:val="24"/>
          <w:szCs w:val="24"/>
        </w:rPr>
        <w:t>v měsíci říjnu 2020 a většina kraj</w:t>
      </w:r>
      <w:r w:rsidR="00577318">
        <w:rPr>
          <w:sz w:val="24"/>
          <w:szCs w:val="24"/>
        </w:rPr>
        <w:t>ských úřad</w:t>
      </w:r>
      <w:r w:rsidR="004E2818">
        <w:rPr>
          <w:sz w:val="24"/>
          <w:szCs w:val="24"/>
        </w:rPr>
        <w:t>ů použila p</w:t>
      </w:r>
      <w:r w:rsidR="00D93DAF" w:rsidRPr="00384486">
        <w:rPr>
          <w:sz w:val="24"/>
          <w:szCs w:val="24"/>
        </w:rPr>
        <w:t xml:space="preserve">ro </w:t>
      </w:r>
      <w:r w:rsidR="00577318">
        <w:rPr>
          <w:sz w:val="24"/>
          <w:szCs w:val="24"/>
        </w:rPr>
        <w:t>SVČ</w:t>
      </w:r>
      <w:r w:rsidR="00D93DAF" w:rsidRPr="00384486">
        <w:rPr>
          <w:sz w:val="24"/>
          <w:szCs w:val="24"/>
        </w:rPr>
        <w:t xml:space="preserve"> jednotku výkonu tzv. potencionální</w:t>
      </w:r>
      <w:r w:rsidR="00577318">
        <w:rPr>
          <w:sz w:val="24"/>
          <w:szCs w:val="24"/>
        </w:rPr>
        <w:t>ho</w:t>
      </w:r>
      <w:r w:rsidR="00D93DAF" w:rsidRPr="00384486">
        <w:rPr>
          <w:sz w:val="24"/>
          <w:szCs w:val="24"/>
        </w:rPr>
        <w:t xml:space="preserve"> klient</w:t>
      </w:r>
      <w:r w:rsidR="00577318">
        <w:rPr>
          <w:sz w:val="24"/>
          <w:szCs w:val="24"/>
        </w:rPr>
        <w:t>a</w:t>
      </w:r>
      <w:r w:rsidR="00D93DAF" w:rsidRPr="00384486">
        <w:rPr>
          <w:sz w:val="24"/>
          <w:szCs w:val="24"/>
        </w:rPr>
        <w:t>.</w:t>
      </w:r>
      <w:r w:rsidR="004E2818">
        <w:rPr>
          <w:sz w:val="24"/>
          <w:szCs w:val="24"/>
        </w:rPr>
        <w:t xml:space="preserve"> </w:t>
      </w:r>
    </w:p>
    <w:p w14:paraId="7B0E09D0" w14:textId="62369699" w:rsidR="00FE78B2" w:rsidRDefault="00FE78B2" w:rsidP="00FE78B2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Možnost stanovit </w:t>
      </w:r>
      <w:r w:rsidRPr="00FE78B2">
        <w:rPr>
          <w:b/>
          <w:sz w:val="24"/>
          <w:szCs w:val="24"/>
        </w:rPr>
        <w:t>o</w:t>
      </w:r>
      <w:r w:rsidR="002E506D" w:rsidRPr="00FE78B2">
        <w:rPr>
          <w:rFonts w:cstheme="minorHAnsi"/>
          <w:b/>
          <w:bCs/>
          <w:sz w:val="24"/>
          <w:szCs w:val="24"/>
        </w:rPr>
        <w:t>p</w:t>
      </w:r>
      <w:r w:rsidR="002E506D" w:rsidRPr="00E94F66">
        <w:rPr>
          <w:rFonts w:cstheme="minorHAnsi"/>
          <w:b/>
          <w:bCs/>
          <w:sz w:val="24"/>
          <w:szCs w:val="24"/>
        </w:rPr>
        <w:t>ravné koeficienty</w:t>
      </w:r>
      <w:r w:rsidR="003A6E8F">
        <w:rPr>
          <w:rFonts w:cstheme="minorHAnsi"/>
          <w:b/>
          <w:bCs/>
          <w:sz w:val="24"/>
          <w:szCs w:val="24"/>
        </w:rPr>
        <w:t xml:space="preserve"> k normativům využívají jen některé kraj</w:t>
      </w:r>
      <w:r w:rsidR="00577318">
        <w:rPr>
          <w:rFonts w:cstheme="minorHAnsi"/>
          <w:b/>
          <w:bCs/>
          <w:sz w:val="24"/>
          <w:szCs w:val="24"/>
        </w:rPr>
        <w:t>ské úřady</w:t>
      </w:r>
      <w:r w:rsidR="003A6E8F">
        <w:rPr>
          <w:rFonts w:cstheme="minorHAnsi"/>
          <w:b/>
          <w:bCs/>
          <w:sz w:val="24"/>
          <w:szCs w:val="24"/>
        </w:rPr>
        <w:t xml:space="preserve">. </w:t>
      </w:r>
      <w:r w:rsidR="002E506D" w:rsidRPr="00C616F3">
        <w:rPr>
          <w:sz w:val="24"/>
          <w:szCs w:val="24"/>
        </w:rPr>
        <w:t xml:space="preserve">Možnost </w:t>
      </w:r>
      <w:r w:rsidR="002E506D">
        <w:rPr>
          <w:sz w:val="24"/>
          <w:szCs w:val="24"/>
        </w:rPr>
        <w:t xml:space="preserve">nově </w:t>
      </w:r>
      <w:r w:rsidR="002E506D" w:rsidRPr="00C616F3">
        <w:rPr>
          <w:sz w:val="24"/>
          <w:szCs w:val="24"/>
        </w:rPr>
        <w:t xml:space="preserve">stanovit opravný koeficient </w:t>
      </w:r>
      <w:r w:rsidR="002E506D">
        <w:rPr>
          <w:sz w:val="24"/>
          <w:szCs w:val="24"/>
        </w:rPr>
        <w:t xml:space="preserve">pro </w:t>
      </w:r>
      <w:r w:rsidR="002E506D">
        <w:rPr>
          <w:rFonts w:cstheme="minorHAnsi"/>
          <w:bCs/>
          <w:sz w:val="24"/>
          <w:szCs w:val="24"/>
        </w:rPr>
        <w:t>počet rodinných skupin</w:t>
      </w:r>
      <w:r w:rsidR="002E506D">
        <w:rPr>
          <w:sz w:val="24"/>
          <w:szCs w:val="24"/>
        </w:rPr>
        <w:t xml:space="preserve"> dětského domova </w:t>
      </w:r>
      <w:r w:rsidR="002E506D" w:rsidRPr="00C616F3">
        <w:rPr>
          <w:sz w:val="24"/>
          <w:szCs w:val="24"/>
        </w:rPr>
        <w:t>využil</w:t>
      </w:r>
      <w:r w:rsidR="002E506D">
        <w:rPr>
          <w:sz w:val="24"/>
          <w:szCs w:val="24"/>
        </w:rPr>
        <w:t>y celkem čtyři kraj</w:t>
      </w:r>
      <w:r w:rsidR="00577318">
        <w:rPr>
          <w:sz w:val="24"/>
          <w:szCs w:val="24"/>
        </w:rPr>
        <w:t>ské úřady</w:t>
      </w:r>
      <w:r w:rsidR="002E506D">
        <w:rPr>
          <w:sz w:val="24"/>
          <w:szCs w:val="24"/>
        </w:rPr>
        <w:t xml:space="preserve">, </w:t>
      </w:r>
      <w:r w:rsidR="002E506D">
        <w:rPr>
          <w:rFonts w:eastAsia="Times New Roman"/>
          <w:sz w:val="24"/>
          <w:szCs w:val="24"/>
          <w:lang w:eastAsia="cs-CZ"/>
        </w:rPr>
        <w:t>ostatní kraj</w:t>
      </w:r>
      <w:r w:rsidR="00577318">
        <w:rPr>
          <w:rFonts w:eastAsia="Times New Roman"/>
          <w:sz w:val="24"/>
          <w:szCs w:val="24"/>
          <w:lang w:eastAsia="cs-CZ"/>
        </w:rPr>
        <w:t>ské úřady</w:t>
      </w:r>
      <w:r w:rsidR="002E506D">
        <w:rPr>
          <w:rFonts w:eastAsia="Times New Roman"/>
          <w:sz w:val="24"/>
          <w:szCs w:val="24"/>
          <w:lang w:eastAsia="cs-CZ"/>
        </w:rPr>
        <w:t xml:space="preserve"> stanovily stejný normativ pro všechny velikosti dětských domovů.</w:t>
      </w:r>
      <w:r w:rsidR="00CA714C">
        <w:rPr>
          <w:rFonts w:eastAsia="Times New Roman"/>
          <w:sz w:val="24"/>
          <w:szCs w:val="24"/>
          <w:lang w:eastAsia="cs-CZ"/>
        </w:rPr>
        <w:t xml:space="preserve"> </w:t>
      </w:r>
      <w:r w:rsidR="002E506D">
        <w:rPr>
          <w:sz w:val="24"/>
          <w:szCs w:val="24"/>
        </w:rPr>
        <w:t xml:space="preserve">Zohlednění druhu </w:t>
      </w:r>
      <w:r w:rsidR="002E506D" w:rsidRPr="00825EF2">
        <w:rPr>
          <w:rFonts w:eastAsia="Times New Roman"/>
          <w:sz w:val="24"/>
          <w:szCs w:val="24"/>
          <w:lang w:eastAsia="cs-CZ"/>
        </w:rPr>
        <w:t>znevýhodnění</w:t>
      </w:r>
      <w:r w:rsidR="002E506D">
        <w:rPr>
          <w:sz w:val="24"/>
          <w:szCs w:val="24"/>
        </w:rPr>
        <w:t xml:space="preserve"> v případě</w:t>
      </w:r>
      <w:r w:rsidR="002E506D" w:rsidRPr="00AB59DF">
        <w:rPr>
          <w:sz w:val="24"/>
          <w:szCs w:val="24"/>
        </w:rPr>
        <w:t xml:space="preserve"> speciálně pedagogick</w:t>
      </w:r>
      <w:r w:rsidR="002E506D">
        <w:rPr>
          <w:sz w:val="24"/>
          <w:szCs w:val="24"/>
        </w:rPr>
        <w:t>ých</w:t>
      </w:r>
      <w:r w:rsidR="002E506D" w:rsidRPr="00AB59DF">
        <w:rPr>
          <w:sz w:val="24"/>
          <w:szCs w:val="24"/>
        </w:rPr>
        <w:t xml:space="preserve"> cent</w:t>
      </w:r>
      <w:r w:rsidR="002E506D">
        <w:rPr>
          <w:sz w:val="24"/>
          <w:szCs w:val="24"/>
        </w:rPr>
        <w:t>er</w:t>
      </w:r>
      <w:r w:rsidR="002E506D" w:rsidRPr="00AB59DF">
        <w:rPr>
          <w:sz w:val="24"/>
          <w:szCs w:val="24"/>
        </w:rPr>
        <w:t xml:space="preserve"> </w:t>
      </w:r>
      <w:r w:rsidR="002E506D">
        <w:rPr>
          <w:sz w:val="24"/>
          <w:szCs w:val="24"/>
        </w:rPr>
        <w:t xml:space="preserve">využilo celkem sedm </w:t>
      </w:r>
      <w:r w:rsidR="002E506D" w:rsidRPr="00AB59DF">
        <w:rPr>
          <w:sz w:val="24"/>
          <w:szCs w:val="24"/>
        </w:rPr>
        <w:t>kraj</w:t>
      </w:r>
      <w:r w:rsidR="00577318">
        <w:rPr>
          <w:sz w:val="24"/>
          <w:szCs w:val="24"/>
        </w:rPr>
        <w:t>ských úřad</w:t>
      </w:r>
      <w:r w:rsidR="002E506D">
        <w:rPr>
          <w:sz w:val="24"/>
          <w:szCs w:val="24"/>
        </w:rPr>
        <w:t>ů.</w:t>
      </w:r>
      <w:r w:rsidR="002E506D" w:rsidRPr="00AB59DF">
        <w:rPr>
          <w:sz w:val="24"/>
          <w:szCs w:val="24"/>
        </w:rPr>
        <w:t xml:space="preserve"> </w:t>
      </w:r>
    </w:p>
    <w:p w14:paraId="6D74C625" w14:textId="1BE97EC5" w:rsidR="002E506D" w:rsidRPr="00841F32" w:rsidRDefault="002E506D" w:rsidP="00FE78B2">
      <w:pPr>
        <w:autoSpaceDE w:val="0"/>
        <w:autoSpaceDN w:val="0"/>
        <w:adjustRightInd w:val="0"/>
        <w:spacing w:after="60" w:line="240" w:lineRule="auto"/>
        <w:jc w:val="both"/>
        <w:rPr>
          <w:sz w:val="24"/>
          <w:szCs w:val="24"/>
        </w:rPr>
      </w:pPr>
      <w:r w:rsidRPr="00841F32">
        <w:rPr>
          <w:sz w:val="24"/>
          <w:szCs w:val="24"/>
        </w:rPr>
        <w:t>Započítávání opravných koeficientů k normativům pro dětské domovy</w:t>
      </w:r>
      <w:r>
        <w:rPr>
          <w:sz w:val="24"/>
          <w:szCs w:val="24"/>
        </w:rPr>
        <w:t xml:space="preserve">, </w:t>
      </w:r>
      <w:r w:rsidRPr="00841F32">
        <w:rPr>
          <w:sz w:val="24"/>
          <w:szCs w:val="24"/>
        </w:rPr>
        <w:t xml:space="preserve">dětské domovy se školou </w:t>
      </w:r>
      <w:r>
        <w:rPr>
          <w:sz w:val="24"/>
          <w:szCs w:val="24"/>
        </w:rPr>
        <w:t>a</w:t>
      </w:r>
      <w:r w:rsidR="00AB3303">
        <w:rPr>
          <w:sz w:val="24"/>
          <w:szCs w:val="24"/>
        </w:rPr>
        <w:t> </w:t>
      </w:r>
      <w:r w:rsidRPr="00841F32">
        <w:rPr>
          <w:sz w:val="24"/>
          <w:szCs w:val="24"/>
        </w:rPr>
        <w:t xml:space="preserve">speciálně pedagogická centra je v krajských metodikách většiny krajů uváděno </w:t>
      </w:r>
      <w:r w:rsidR="00CA714C">
        <w:rPr>
          <w:sz w:val="24"/>
          <w:szCs w:val="24"/>
        </w:rPr>
        <w:t xml:space="preserve">různým </w:t>
      </w:r>
      <w:r w:rsidRPr="00841F32">
        <w:rPr>
          <w:sz w:val="24"/>
          <w:szCs w:val="24"/>
        </w:rPr>
        <w:t xml:space="preserve">způsobem. </w:t>
      </w:r>
      <w:r w:rsidR="00CA714C" w:rsidRPr="00841F32">
        <w:rPr>
          <w:sz w:val="24"/>
          <w:szCs w:val="24"/>
        </w:rPr>
        <w:t xml:space="preserve">Některé </w:t>
      </w:r>
      <w:r w:rsidR="00CA714C">
        <w:rPr>
          <w:sz w:val="24"/>
          <w:szCs w:val="24"/>
        </w:rPr>
        <w:t>kraj</w:t>
      </w:r>
      <w:r w:rsidR="00577318">
        <w:rPr>
          <w:sz w:val="24"/>
          <w:szCs w:val="24"/>
        </w:rPr>
        <w:t>ské úřady</w:t>
      </w:r>
      <w:r w:rsidR="00CA714C">
        <w:rPr>
          <w:sz w:val="24"/>
          <w:szCs w:val="24"/>
        </w:rPr>
        <w:t xml:space="preserve"> používají opravný koeficient pouze u</w:t>
      </w:r>
      <w:r w:rsidR="00CA714C" w:rsidRPr="00841F32">
        <w:rPr>
          <w:sz w:val="24"/>
          <w:szCs w:val="24"/>
        </w:rPr>
        <w:t xml:space="preserve"> MP</w:t>
      </w:r>
      <w:r w:rsidR="00CA714C">
        <w:rPr>
          <w:sz w:val="24"/>
          <w:szCs w:val="24"/>
        </w:rPr>
        <w:t>, některé</w:t>
      </w:r>
      <w:r w:rsidR="006B3BB7">
        <w:rPr>
          <w:sz w:val="24"/>
          <w:szCs w:val="24"/>
        </w:rPr>
        <w:t xml:space="preserve"> i</w:t>
      </w:r>
      <w:r w:rsidR="00CA714C" w:rsidRPr="00841F32">
        <w:rPr>
          <w:sz w:val="24"/>
          <w:szCs w:val="24"/>
        </w:rPr>
        <w:t xml:space="preserve"> </w:t>
      </w:r>
      <w:r w:rsidR="00CA714C">
        <w:rPr>
          <w:sz w:val="24"/>
          <w:szCs w:val="24"/>
        </w:rPr>
        <w:t>u</w:t>
      </w:r>
      <w:r w:rsidR="00CA714C" w:rsidRPr="00841F32">
        <w:rPr>
          <w:sz w:val="24"/>
          <w:szCs w:val="24"/>
        </w:rPr>
        <w:t xml:space="preserve"> ONIV. </w:t>
      </w:r>
      <w:r w:rsidR="00897AF0">
        <w:rPr>
          <w:sz w:val="24"/>
          <w:szCs w:val="24"/>
        </w:rPr>
        <w:t>Při z</w:t>
      </w:r>
      <w:r w:rsidR="007D1074">
        <w:rPr>
          <w:sz w:val="24"/>
          <w:szCs w:val="24"/>
        </w:rPr>
        <w:t>apočítání opravných koeficientů k</w:t>
      </w:r>
      <w:r w:rsidR="00897AF0">
        <w:rPr>
          <w:sz w:val="24"/>
          <w:szCs w:val="24"/>
        </w:rPr>
        <w:t xml:space="preserve"> </w:t>
      </w:r>
      <w:r w:rsidR="007D1074">
        <w:rPr>
          <w:sz w:val="24"/>
          <w:szCs w:val="24"/>
        </w:rPr>
        <w:t>normativům tak</w:t>
      </w:r>
      <w:r w:rsidR="00CA714C">
        <w:rPr>
          <w:sz w:val="24"/>
          <w:szCs w:val="24"/>
        </w:rPr>
        <w:t xml:space="preserve"> nebylo </w:t>
      </w:r>
      <w:r w:rsidR="007419A2">
        <w:rPr>
          <w:sz w:val="24"/>
          <w:szCs w:val="24"/>
        </w:rPr>
        <w:t xml:space="preserve">v některých případech </w:t>
      </w:r>
      <w:r w:rsidR="00CA714C">
        <w:rPr>
          <w:sz w:val="24"/>
          <w:szCs w:val="24"/>
        </w:rPr>
        <w:t>zcela zřejmé, jak krajské úřady opravný koeficient používají, proto byly některé kraj</w:t>
      </w:r>
      <w:r w:rsidR="00577318">
        <w:rPr>
          <w:sz w:val="24"/>
          <w:szCs w:val="24"/>
        </w:rPr>
        <w:t>ské úřady</w:t>
      </w:r>
      <w:r w:rsidR="00CA714C">
        <w:rPr>
          <w:sz w:val="24"/>
          <w:szCs w:val="24"/>
        </w:rPr>
        <w:t xml:space="preserve"> kontaktovány a požádány </w:t>
      </w:r>
      <w:r w:rsidR="00EC1098">
        <w:rPr>
          <w:sz w:val="24"/>
          <w:szCs w:val="24"/>
        </w:rPr>
        <w:t xml:space="preserve">o </w:t>
      </w:r>
      <w:r w:rsidR="00CA714C">
        <w:rPr>
          <w:sz w:val="24"/>
          <w:szCs w:val="24"/>
        </w:rPr>
        <w:t xml:space="preserve">vysvětlení. </w:t>
      </w:r>
    </w:p>
    <w:p w14:paraId="3786C2A9" w14:textId="67B1027D" w:rsidR="002E506D" w:rsidRDefault="00F413E7" w:rsidP="00B6567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lastRenderedPageBreak/>
        <w:t>Dále bylo zjišťováno, jak jsou krajské normativy stanoveny vzhledem k </w:t>
      </w:r>
      <w:r w:rsidRPr="00F413E7">
        <w:rPr>
          <w:rFonts w:cstheme="minorHAnsi"/>
          <w:b/>
          <w:bCs/>
          <w:sz w:val="24"/>
          <w:szCs w:val="24"/>
        </w:rPr>
        <w:t>minimálnímu personálnímu zajištění</w:t>
      </w:r>
      <w:r>
        <w:rPr>
          <w:rFonts w:cstheme="minorHAnsi"/>
          <w:bCs/>
          <w:sz w:val="24"/>
          <w:szCs w:val="24"/>
        </w:rPr>
        <w:t xml:space="preserve">. </w:t>
      </w:r>
      <w:r w:rsidR="002E506D">
        <w:rPr>
          <w:rFonts w:cstheme="minorHAnsi"/>
          <w:bCs/>
          <w:sz w:val="24"/>
          <w:szCs w:val="24"/>
        </w:rPr>
        <w:t xml:space="preserve">Z podrobné analýzy krajských normativů pro školní kluby, </w:t>
      </w:r>
      <w:r w:rsidR="00577318">
        <w:rPr>
          <w:rFonts w:cstheme="minorHAnsi"/>
          <w:bCs/>
          <w:sz w:val="24"/>
          <w:szCs w:val="24"/>
        </w:rPr>
        <w:t>SVČ</w:t>
      </w:r>
      <w:r w:rsidR="002E506D">
        <w:rPr>
          <w:rFonts w:cstheme="minorHAnsi"/>
          <w:bCs/>
          <w:sz w:val="24"/>
          <w:szCs w:val="24"/>
        </w:rPr>
        <w:t xml:space="preserve"> a zařízení školního stravování bylo zjištěno, že některé kraje stanovují ukazatele N</w:t>
      </w:r>
      <w:r w:rsidR="002E506D" w:rsidRPr="00F64D04">
        <w:rPr>
          <w:rFonts w:cstheme="minorHAnsi"/>
          <w:bCs/>
          <w:sz w:val="16"/>
          <w:szCs w:val="16"/>
        </w:rPr>
        <w:t>p</w:t>
      </w:r>
      <w:r w:rsidR="002E506D">
        <w:rPr>
          <w:rFonts w:cstheme="minorHAnsi"/>
          <w:bCs/>
          <w:sz w:val="24"/>
          <w:szCs w:val="24"/>
        </w:rPr>
        <w:t xml:space="preserve"> a N</w:t>
      </w:r>
      <w:r w:rsidR="002E506D" w:rsidRPr="00F64D04">
        <w:rPr>
          <w:rFonts w:cstheme="minorHAnsi"/>
          <w:bCs/>
          <w:sz w:val="16"/>
          <w:szCs w:val="16"/>
        </w:rPr>
        <w:t>o</w:t>
      </w:r>
      <w:r w:rsidR="002E506D">
        <w:rPr>
          <w:rFonts w:cstheme="minorHAnsi"/>
          <w:bCs/>
          <w:sz w:val="24"/>
          <w:szCs w:val="24"/>
        </w:rPr>
        <w:t xml:space="preserve"> tak, aby </w:t>
      </w:r>
      <w:r w:rsidR="007419A2">
        <w:rPr>
          <w:rFonts w:cstheme="minorHAnsi"/>
          <w:bCs/>
          <w:sz w:val="24"/>
          <w:szCs w:val="24"/>
        </w:rPr>
        <w:t xml:space="preserve">již </w:t>
      </w:r>
      <w:r w:rsidR="002E506D">
        <w:rPr>
          <w:rFonts w:cstheme="minorHAnsi"/>
          <w:bCs/>
          <w:sz w:val="24"/>
          <w:szCs w:val="24"/>
        </w:rPr>
        <w:t xml:space="preserve">stanovené normativy splňovaly MPZ pro daná školská zařízení. V případě, že </w:t>
      </w:r>
      <w:r w:rsidR="007419A2">
        <w:rPr>
          <w:rFonts w:cstheme="minorHAnsi"/>
          <w:bCs/>
          <w:sz w:val="24"/>
          <w:szCs w:val="24"/>
        </w:rPr>
        <w:t xml:space="preserve">stanovené </w:t>
      </w:r>
      <w:r w:rsidR="002E506D">
        <w:rPr>
          <w:rFonts w:cstheme="minorHAnsi"/>
          <w:bCs/>
          <w:sz w:val="24"/>
          <w:szCs w:val="24"/>
        </w:rPr>
        <w:t xml:space="preserve">normativy MPZ nesplňují, dorovnávají krajské úřady normativně stanovenou výši počtu pedagogických pracovníků a nepedagogických zaměstnanců na výši dle příslušného MPZ. </w:t>
      </w:r>
    </w:p>
    <w:p w14:paraId="5C5EA5E4" w14:textId="75AA3824" w:rsidR="002E506D" w:rsidRDefault="000B6A8E" w:rsidP="00001BB2">
      <w:pPr>
        <w:autoSpaceDE w:val="0"/>
        <w:autoSpaceDN w:val="0"/>
        <w:adjustRightInd w:val="0"/>
        <w:spacing w:after="60" w:line="240" w:lineRule="auto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Nejvíce problematické se jeví stanovení MPZ u</w:t>
      </w:r>
      <w:r w:rsidR="002E506D">
        <w:rPr>
          <w:rFonts w:cstheme="minorHAnsi"/>
          <w:bCs/>
          <w:sz w:val="24"/>
          <w:szCs w:val="24"/>
        </w:rPr>
        <w:t xml:space="preserve"> </w:t>
      </w:r>
      <w:r w:rsidR="00577318">
        <w:rPr>
          <w:rFonts w:cstheme="minorHAnsi"/>
          <w:bCs/>
          <w:sz w:val="24"/>
          <w:szCs w:val="24"/>
        </w:rPr>
        <w:t>SVČ</w:t>
      </w:r>
      <w:r>
        <w:rPr>
          <w:rFonts w:cstheme="minorHAnsi"/>
          <w:bCs/>
          <w:sz w:val="24"/>
          <w:szCs w:val="24"/>
        </w:rPr>
        <w:t>, neboť</w:t>
      </w:r>
      <w:r w:rsidR="002E506D">
        <w:rPr>
          <w:rFonts w:cstheme="minorHAnsi"/>
          <w:bCs/>
          <w:sz w:val="24"/>
          <w:szCs w:val="24"/>
        </w:rPr>
        <w:t xml:space="preserve"> MPZ </w:t>
      </w:r>
      <w:r>
        <w:rPr>
          <w:rFonts w:cstheme="minorHAnsi"/>
          <w:bCs/>
          <w:sz w:val="24"/>
          <w:szCs w:val="24"/>
        </w:rPr>
        <w:t xml:space="preserve">se uplatňuje </w:t>
      </w:r>
      <w:r w:rsidR="002E506D">
        <w:rPr>
          <w:rFonts w:cstheme="minorHAnsi"/>
          <w:bCs/>
          <w:sz w:val="24"/>
          <w:szCs w:val="24"/>
        </w:rPr>
        <w:t xml:space="preserve">pouze pro </w:t>
      </w:r>
      <w:r w:rsidR="00577318">
        <w:rPr>
          <w:rFonts w:cstheme="minorHAnsi"/>
          <w:bCs/>
          <w:sz w:val="24"/>
          <w:szCs w:val="24"/>
        </w:rPr>
        <w:t>„</w:t>
      </w:r>
      <w:r w:rsidR="002E506D">
        <w:rPr>
          <w:rFonts w:cstheme="minorHAnsi"/>
          <w:bCs/>
          <w:sz w:val="24"/>
          <w:szCs w:val="24"/>
        </w:rPr>
        <w:t>samostatná</w:t>
      </w:r>
      <w:r w:rsidR="00577318">
        <w:rPr>
          <w:rFonts w:cstheme="minorHAnsi"/>
          <w:bCs/>
          <w:sz w:val="24"/>
          <w:szCs w:val="24"/>
        </w:rPr>
        <w:t>“</w:t>
      </w:r>
      <w:r w:rsidR="002E506D">
        <w:rPr>
          <w:rFonts w:cstheme="minorHAnsi"/>
          <w:bCs/>
          <w:sz w:val="24"/>
          <w:szCs w:val="24"/>
        </w:rPr>
        <w:t xml:space="preserve"> zařízení. Krajské úřady </w:t>
      </w:r>
      <w:r>
        <w:rPr>
          <w:rFonts w:cstheme="minorHAnsi"/>
          <w:bCs/>
          <w:sz w:val="24"/>
          <w:szCs w:val="24"/>
        </w:rPr>
        <w:t>však</w:t>
      </w:r>
      <w:r w:rsidR="002E506D">
        <w:rPr>
          <w:rFonts w:cstheme="minorHAnsi"/>
          <w:bCs/>
          <w:sz w:val="24"/>
          <w:szCs w:val="24"/>
        </w:rPr>
        <w:t xml:space="preserve"> stanovují stejné normativy pro všechna </w:t>
      </w:r>
      <w:r>
        <w:rPr>
          <w:rFonts w:cstheme="minorHAnsi"/>
          <w:bCs/>
          <w:sz w:val="24"/>
          <w:szCs w:val="24"/>
        </w:rPr>
        <w:t>SVČ, tj.</w:t>
      </w:r>
      <w:r w:rsidR="00F71DEB">
        <w:rPr>
          <w:rFonts w:cstheme="minorHAnsi"/>
          <w:bCs/>
          <w:sz w:val="24"/>
          <w:szCs w:val="24"/>
        </w:rPr>
        <w:t> </w:t>
      </w:r>
      <w:r>
        <w:rPr>
          <w:rFonts w:cstheme="minorHAnsi"/>
          <w:bCs/>
          <w:sz w:val="24"/>
          <w:szCs w:val="24"/>
        </w:rPr>
        <w:t xml:space="preserve">jak pro samostatná, tak ta, která jsou součástí právnické osoby i s jinými činnostmi (např. </w:t>
      </w:r>
      <w:r w:rsidR="00D57FA2">
        <w:rPr>
          <w:rFonts w:cstheme="minorHAnsi"/>
          <w:bCs/>
          <w:sz w:val="24"/>
          <w:szCs w:val="24"/>
        </w:rPr>
        <w:t>vykonávají i činnost</w:t>
      </w:r>
      <w:r>
        <w:rPr>
          <w:rFonts w:cstheme="minorHAnsi"/>
          <w:bCs/>
          <w:sz w:val="24"/>
          <w:szCs w:val="24"/>
        </w:rPr>
        <w:t xml:space="preserve"> škol</w:t>
      </w:r>
      <w:r w:rsidR="00D57FA2">
        <w:rPr>
          <w:rFonts w:cstheme="minorHAnsi"/>
          <w:bCs/>
          <w:sz w:val="24"/>
          <w:szCs w:val="24"/>
        </w:rPr>
        <w:t>y</w:t>
      </w:r>
      <w:r>
        <w:rPr>
          <w:rFonts w:cstheme="minorHAnsi"/>
          <w:bCs/>
          <w:sz w:val="24"/>
          <w:szCs w:val="24"/>
        </w:rPr>
        <w:t xml:space="preserve"> či jiné</w:t>
      </w:r>
      <w:r w:rsidR="00D57FA2">
        <w:rPr>
          <w:rFonts w:cstheme="minorHAnsi"/>
          <w:bCs/>
          <w:sz w:val="24"/>
          <w:szCs w:val="24"/>
        </w:rPr>
        <w:t>ho</w:t>
      </w:r>
      <w:r>
        <w:rPr>
          <w:rFonts w:cstheme="minorHAnsi"/>
          <w:bCs/>
          <w:sz w:val="24"/>
          <w:szCs w:val="24"/>
        </w:rPr>
        <w:t xml:space="preserve"> školské</w:t>
      </w:r>
      <w:r w:rsidR="00D57FA2">
        <w:rPr>
          <w:rFonts w:cstheme="minorHAnsi"/>
          <w:bCs/>
          <w:sz w:val="24"/>
          <w:szCs w:val="24"/>
        </w:rPr>
        <w:t>ho</w:t>
      </w:r>
      <w:r>
        <w:rPr>
          <w:rFonts w:cstheme="minorHAnsi"/>
          <w:bCs/>
          <w:sz w:val="24"/>
          <w:szCs w:val="24"/>
        </w:rPr>
        <w:t xml:space="preserve"> zařízení)</w:t>
      </w:r>
      <w:r w:rsidR="002E506D">
        <w:rPr>
          <w:rFonts w:cstheme="minorHAnsi"/>
          <w:bCs/>
          <w:sz w:val="24"/>
          <w:szCs w:val="24"/>
        </w:rPr>
        <w:t>.</w:t>
      </w:r>
      <w:r>
        <w:rPr>
          <w:rFonts w:cstheme="minorHAnsi"/>
          <w:bCs/>
          <w:sz w:val="24"/>
          <w:szCs w:val="24"/>
        </w:rPr>
        <w:t xml:space="preserve"> </w:t>
      </w:r>
      <w:r w:rsidR="002E506D">
        <w:rPr>
          <w:rFonts w:cstheme="minorHAnsi"/>
          <w:bCs/>
          <w:sz w:val="24"/>
          <w:szCs w:val="24"/>
        </w:rPr>
        <w:t xml:space="preserve">Stanovení krajských normativů </w:t>
      </w:r>
      <w:r>
        <w:rPr>
          <w:rFonts w:cstheme="minorHAnsi"/>
          <w:bCs/>
          <w:sz w:val="24"/>
          <w:szCs w:val="24"/>
        </w:rPr>
        <w:t xml:space="preserve">pro SVČ </w:t>
      </w:r>
      <w:r w:rsidR="002E506D">
        <w:rPr>
          <w:rFonts w:cstheme="minorHAnsi"/>
          <w:bCs/>
          <w:sz w:val="24"/>
          <w:szCs w:val="24"/>
        </w:rPr>
        <w:t>v souladu s MPZ se tak jeví jako zbytečně složitý proces</w:t>
      </w:r>
      <w:r>
        <w:rPr>
          <w:rFonts w:cstheme="minorHAnsi"/>
          <w:bCs/>
          <w:sz w:val="24"/>
          <w:szCs w:val="24"/>
        </w:rPr>
        <w:t>.</w:t>
      </w:r>
    </w:p>
    <w:p w14:paraId="5F9E1C0B" w14:textId="7E5E2BF5" w:rsidR="00413F89" w:rsidRDefault="000B6A8E" w:rsidP="00BC151B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Podrobněji bylo také analyzováno, v jaké výši krajské úřady promítaly do krajských normativů meziroční </w:t>
      </w:r>
      <w:r w:rsidRPr="008F4BCA">
        <w:rPr>
          <w:b/>
          <w:sz w:val="24"/>
          <w:szCs w:val="24"/>
        </w:rPr>
        <w:t>z</w:t>
      </w:r>
      <w:r w:rsidR="002E506D" w:rsidRPr="008F4BCA">
        <w:rPr>
          <w:b/>
          <w:sz w:val="24"/>
          <w:szCs w:val="24"/>
        </w:rPr>
        <w:t xml:space="preserve">výšení </w:t>
      </w:r>
      <w:r w:rsidR="00D57FA2">
        <w:rPr>
          <w:b/>
          <w:sz w:val="24"/>
          <w:szCs w:val="24"/>
        </w:rPr>
        <w:t xml:space="preserve">prostředků na </w:t>
      </w:r>
      <w:r w:rsidR="002E506D" w:rsidRPr="008F4BCA">
        <w:rPr>
          <w:b/>
          <w:sz w:val="24"/>
          <w:szCs w:val="24"/>
        </w:rPr>
        <w:t>plat</w:t>
      </w:r>
      <w:r w:rsidR="00D57FA2">
        <w:rPr>
          <w:b/>
          <w:sz w:val="24"/>
          <w:szCs w:val="24"/>
        </w:rPr>
        <w:t>y</w:t>
      </w:r>
      <w:r w:rsidR="002E506D" w:rsidRPr="00AB59DF">
        <w:rPr>
          <w:sz w:val="24"/>
          <w:szCs w:val="24"/>
        </w:rPr>
        <w:t xml:space="preserve"> </w:t>
      </w:r>
      <w:r w:rsidR="002E506D">
        <w:rPr>
          <w:sz w:val="24"/>
          <w:szCs w:val="24"/>
        </w:rPr>
        <w:t xml:space="preserve">pedagogických pracovníků a nepedagogických </w:t>
      </w:r>
      <w:r w:rsidR="002E506D" w:rsidRPr="00AB59DF">
        <w:rPr>
          <w:sz w:val="24"/>
          <w:szCs w:val="24"/>
        </w:rPr>
        <w:t>zaměstnanců</w:t>
      </w:r>
      <w:r>
        <w:rPr>
          <w:sz w:val="24"/>
          <w:szCs w:val="24"/>
        </w:rPr>
        <w:t xml:space="preserve">. </w:t>
      </w:r>
    </w:p>
    <w:p w14:paraId="5A639411" w14:textId="698FFC0D" w:rsidR="00413F89" w:rsidRDefault="00413F89" w:rsidP="00413F89">
      <w:pPr>
        <w:spacing w:after="6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většině případů bylo promítnuto zvýšení u </w:t>
      </w:r>
      <w:r w:rsidRPr="00413F89">
        <w:rPr>
          <w:sz w:val="24"/>
          <w:szCs w:val="24"/>
        </w:rPr>
        <w:t xml:space="preserve">pedagogických pracovníků </w:t>
      </w:r>
      <w:r>
        <w:rPr>
          <w:sz w:val="24"/>
          <w:szCs w:val="24"/>
        </w:rPr>
        <w:t xml:space="preserve">cca </w:t>
      </w:r>
      <w:r w:rsidRPr="00413F89">
        <w:rPr>
          <w:sz w:val="24"/>
          <w:szCs w:val="24"/>
        </w:rPr>
        <w:t>o</w:t>
      </w:r>
      <w:r w:rsidR="007528DE">
        <w:rPr>
          <w:sz w:val="24"/>
          <w:szCs w:val="24"/>
        </w:rPr>
        <w:t> </w:t>
      </w:r>
      <w:r w:rsidRPr="00413F89">
        <w:rPr>
          <w:sz w:val="24"/>
          <w:szCs w:val="24"/>
        </w:rPr>
        <w:t>9</w:t>
      </w:r>
      <w:r w:rsidR="007528DE">
        <w:rPr>
          <w:sz w:val="24"/>
          <w:szCs w:val="24"/>
        </w:rPr>
        <w:t> </w:t>
      </w:r>
      <w:r w:rsidRPr="00413F89">
        <w:rPr>
          <w:sz w:val="24"/>
          <w:szCs w:val="24"/>
        </w:rPr>
        <w:t>% a</w:t>
      </w:r>
      <w:r w:rsidR="007528DE">
        <w:rPr>
          <w:sz w:val="24"/>
          <w:szCs w:val="24"/>
        </w:rPr>
        <w:t> n</w:t>
      </w:r>
      <w:r w:rsidRPr="00413F89">
        <w:rPr>
          <w:sz w:val="24"/>
          <w:szCs w:val="24"/>
        </w:rPr>
        <w:t xml:space="preserve">epedagogických zaměstnanců </w:t>
      </w:r>
      <w:r>
        <w:rPr>
          <w:sz w:val="24"/>
          <w:szCs w:val="24"/>
        </w:rPr>
        <w:t xml:space="preserve">cca </w:t>
      </w:r>
      <w:r w:rsidRPr="00413F89">
        <w:rPr>
          <w:sz w:val="24"/>
          <w:szCs w:val="24"/>
        </w:rPr>
        <w:t>o 4 %.</w:t>
      </w:r>
      <w:r>
        <w:rPr>
          <w:sz w:val="24"/>
          <w:szCs w:val="24"/>
        </w:rPr>
        <w:t xml:space="preserve"> </w:t>
      </w:r>
      <w:r w:rsidR="00241DC7">
        <w:rPr>
          <w:sz w:val="24"/>
          <w:szCs w:val="24"/>
        </w:rPr>
        <w:t xml:space="preserve">U pedagogických pracovníků promítl nejnižší zvýšení </w:t>
      </w:r>
      <w:r w:rsidR="00D57FA2">
        <w:rPr>
          <w:rFonts w:cstheme="minorHAnsi"/>
          <w:bCs/>
          <w:sz w:val="24"/>
          <w:szCs w:val="24"/>
        </w:rPr>
        <w:t>krajský úřad</w:t>
      </w:r>
      <w:r w:rsidR="00D57FA2">
        <w:rPr>
          <w:sz w:val="24"/>
          <w:szCs w:val="24"/>
        </w:rPr>
        <w:t xml:space="preserve"> </w:t>
      </w:r>
      <w:r w:rsidR="00241DC7">
        <w:rPr>
          <w:sz w:val="24"/>
          <w:szCs w:val="24"/>
        </w:rPr>
        <w:t>Karlovarsk</w:t>
      </w:r>
      <w:r w:rsidR="00D57FA2">
        <w:rPr>
          <w:sz w:val="24"/>
          <w:szCs w:val="24"/>
        </w:rPr>
        <w:t>ého</w:t>
      </w:r>
      <w:r w:rsidR="00241DC7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241DC7">
        <w:rPr>
          <w:sz w:val="24"/>
          <w:szCs w:val="24"/>
        </w:rPr>
        <w:t xml:space="preserve"> (zvýšení u školních klubů o 3,3 %, u domovů mládeže o 7,0 %), Jihomoravsk</w:t>
      </w:r>
      <w:r w:rsidR="00D57FA2">
        <w:rPr>
          <w:sz w:val="24"/>
          <w:szCs w:val="24"/>
        </w:rPr>
        <w:t>ého</w:t>
      </w:r>
      <w:r w:rsidR="00241DC7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241DC7">
        <w:rPr>
          <w:sz w:val="24"/>
          <w:szCs w:val="24"/>
        </w:rPr>
        <w:t xml:space="preserve"> (zvýšení u dětských domovů o 4,3 %, u domovů mládeže o 5,8 %, u </w:t>
      </w:r>
      <w:r w:rsidR="00814A11">
        <w:rPr>
          <w:sz w:val="24"/>
          <w:szCs w:val="24"/>
        </w:rPr>
        <w:t>SPC</w:t>
      </w:r>
      <w:r w:rsidR="00241DC7">
        <w:rPr>
          <w:sz w:val="24"/>
          <w:szCs w:val="24"/>
        </w:rPr>
        <w:t xml:space="preserve"> o 6,9 %, u školních klubů o 7,4 %) a Libereck</w:t>
      </w:r>
      <w:r w:rsidR="00D57FA2">
        <w:rPr>
          <w:sz w:val="24"/>
          <w:szCs w:val="24"/>
        </w:rPr>
        <w:t>ého</w:t>
      </w:r>
      <w:r w:rsidR="00241DC7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241DC7">
        <w:rPr>
          <w:sz w:val="24"/>
          <w:szCs w:val="24"/>
        </w:rPr>
        <w:t xml:space="preserve"> (zvýšení u domovů mládeže o 7,5 </w:t>
      </w:r>
      <w:r w:rsidR="00B20765">
        <w:rPr>
          <w:sz w:val="24"/>
          <w:szCs w:val="24"/>
        </w:rPr>
        <w:t xml:space="preserve">%). U nepedagogických zaměstnanců promítl snížení </w:t>
      </w:r>
      <w:r w:rsidR="00D57FA2">
        <w:rPr>
          <w:rFonts w:cstheme="minorHAnsi"/>
          <w:bCs/>
          <w:sz w:val="24"/>
          <w:szCs w:val="24"/>
        </w:rPr>
        <w:t>krajský úřad</w:t>
      </w:r>
      <w:r w:rsidR="00D57FA2">
        <w:rPr>
          <w:sz w:val="24"/>
          <w:szCs w:val="24"/>
        </w:rPr>
        <w:t xml:space="preserve"> </w:t>
      </w:r>
      <w:r w:rsidR="00B20765">
        <w:rPr>
          <w:sz w:val="24"/>
          <w:szCs w:val="24"/>
        </w:rPr>
        <w:t>Jihomoravsk</w:t>
      </w:r>
      <w:r w:rsidR="00D57FA2">
        <w:rPr>
          <w:sz w:val="24"/>
          <w:szCs w:val="24"/>
        </w:rPr>
        <w:t>ého</w:t>
      </w:r>
      <w:r w:rsidR="00B20765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B20765">
        <w:rPr>
          <w:sz w:val="24"/>
          <w:szCs w:val="24"/>
        </w:rPr>
        <w:t xml:space="preserve"> u školních družin o 21,5 % a u internátů o 4,9 %. </w:t>
      </w:r>
      <w:r w:rsidR="00D57FA2">
        <w:rPr>
          <w:rFonts w:cstheme="minorHAnsi"/>
          <w:bCs/>
          <w:sz w:val="24"/>
          <w:szCs w:val="24"/>
        </w:rPr>
        <w:t>Krajský úřad</w:t>
      </w:r>
      <w:r w:rsidR="00D57FA2">
        <w:rPr>
          <w:sz w:val="24"/>
          <w:szCs w:val="24"/>
        </w:rPr>
        <w:t xml:space="preserve"> </w:t>
      </w:r>
      <w:r w:rsidR="00B20765">
        <w:rPr>
          <w:sz w:val="24"/>
          <w:szCs w:val="24"/>
        </w:rPr>
        <w:t>Královéhradeck</w:t>
      </w:r>
      <w:r w:rsidR="00D57FA2">
        <w:rPr>
          <w:sz w:val="24"/>
          <w:szCs w:val="24"/>
        </w:rPr>
        <w:t>ého</w:t>
      </w:r>
      <w:r w:rsidR="00B20765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B20765">
        <w:rPr>
          <w:sz w:val="24"/>
          <w:szCs w:val="24"/>
        </w:rPr>
        <w:t xml:space="preserve"> ponechal průměrný plat nepedagogů ve školních družinách ve stejné výši jako v roce 2020. U</w:t>
      </w:r>
      <w:r w:rsidR="006A5711">
        <w:rPr>
          <w:sz w:val="24"/>
          <w:szCs w:val="24"/>
        </w:rPr>
        <w:t> </w:t>
      </w:r>
      <w:r w:rsidR="00B20765">
        <w:rPr>
          <w:sz w:val="24"/>
          <w:szCs w:val="24"/>
        </w:rPr>
        <w:t xml:space="preserve">nepedagogických pracovníků promítl nejnižší zvýšení </w:t>
      </w:r>
      <w:r w:rsidR="00D57FA2">
        <w:rPr>
          <w:rFonts w:cstheme="minorHAnsi"/>
          <w:bCs/>
          <w:sz w:val="24"/>
          <w:szCs w:val="24"/>
        </w:rPr>
        <w:t>krajský úřad</w:t>
      </w:r>
      <w:r w:rsidR="00D57FA2">
        <w:rPr>
          <w:sz w:val="24"/>
          <w:szCs w:val="24"/>
        </w:rPr>
        <w:t xml:space="preserve"> </w:t>
      </w:r>
      <w:r w:rsidR="00B20765">
        <w:rPr>
          <w:sz w:val="24"/>
          <w:szCs w:val="24"/>
        </w:rPr>
        <w:t>Středočesk</w:t>
      </w:r>
      <w:r w:rsidR="00D57FA2">
        <w:rPr>
          <w:sz w:val="24"/>
          <w:szCs w:val="24"/>
        </w:rPr>
        <w:t>ého</w:t>
      </w:r>
      <w:r w:rsidR="00B20765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B20765">
        <w:rPr>
          <w:sz w:val="24"/>
          <w:szCs w:val="24"/>
        </w:rPr>
        <w:t xml:space="preserve"> (zvýšení u internátů o</w:t>
      </w:r>
      <w:r w:rsidR="006A5711">
        <w:rPr>
          <w:sz w:val="24"/>
          <w:szCs w:val="24"/>
        </w:rPr>
        <w:t> </w:t>
      </w:r>
      <w:r w:rsidR="00B20765">
        <w:rPr>
          <w:sz w:val="24"/>
          <w:szCs w:val="24"/>
        </w:rPr>
        <w:t>2,3 %, u dětských domovů o 2,7 %)</w:t>
      </w:r>
      <w:r w:rsidR="006A5711">
        <w:rPr>
          <w:sz w:val="24"/>
          <w:szCs w:val="24"/>
        </w:rPr>
        <w:t xml:space="preserve"> a</w:t>
      </w:r>
      <w:r w:rsidR="00B20765">
        <w:rPr>
          <w:sz w:val="24"/>
          <w:szCs w:val="24"/>
        </w:rPr>
        <w:t xml:space="preserve"> Pardubick</w:t>
      </w:r>
      <w:r w:rsidR="00D57FA2">
        <w:rPr>
          <w:sz w:val="24"/>
          <w:szCs w:val="24"/>
        </w:rPr>
        <w:t>ého</w:t>
      </w:r>
      <w:r w:rsidR="00B20765">
        <w:rPr>
          <w:sz w:val="24"/>
          <w:szCs w:val="24"/>
        </w:rPr>
        <w:t xml:space="preserve"> kraj</w:t>
      </w:r>
      <w:r w:rsidR="00D57FA2">
        <w:rPr>
          <w:sz w:val="24"/>
          <w:szCs w:val="24"/>
        </w:rPr>
        <w:t>e</w:t>
      </w:r>
      <w:r w:rsidR="00B20765">
        <w:rPr>
          <w:sz w:val="24"/>
          <w:szCs w:val="24"/>
        </w:rPr>
        <w:t xml:space="preserve"> (zvýšení u internátů o 2,6 %).</w:t>
      </w:r>
      <w:r w:rsidR="006A5711">
        <w:rPr>
          <w:sz w:val="24"/>
          <w:szCs w:val="24"/>
        </w:rPr>
        <w:t xml:space="preserve"> </w:t>
      </w:r>
      <w:r>
        <w:rPr>
          <w:sz w:val="24"/>
          <w:szCs w:val="24"/>
        </w:rPr>
        <w:t>Podrobně je toto zpracováno v příloze č. 16</w:t>
      </w:r>
      <w:r w:rsidR="006A5711">
        <w:rPr>
          <w:sz w:val="24"/>
          <w:szCs w:val="24"/>
        </w:rPr>
        <w:t xml:space="preserve"> vč. porovnání s republikovým průměrem</w:t>
      </w:r>
      <w:r>
        <w:rPr>
          <w:sz w:val="24"/>
          <w:szCs w:val="24"/>
        </w:rPr>
        <w:t xml:space="preserve">. </w:t>
      </w:r>
    </w:p>
    <w:p w14:paraId="40383CCA" w14:textId="58B4B203" w:rsidR="00433E84" w:rsidRPr="003F5A0C" w:rsidRDefault="00443985" w:rsidP="00433E84">
      <w:pPr>
        <w:spacing w:after="60" w:line="240" w:lineRule="auto"/>
        <w:jc w:val="both"/>
        <w:rPr>
          <w:rFonts w:eastAsia="Times New Roman"/>
          <w:bCs/>
          <w:sz w:val="24"/>
          <w:szCs w:val="24"/>
          <w:lang w:eastAsia="cs-CZ"/>
        </w:rPr>
      </w:pPr>
      <w:r w:rsidRPr="00B65679">
        <w:rPr>
          <w:b/>
          <w:sz w:val="24"/>
          <w:szCs w:val="24"/>
        </w:rPr>
        <w:t xml:space="preserve">Normativ ONIV na rodinnou skupinu dětského domova </w:t>
      </w:r>
      <w:r w:rsidRPr="007F783A">
        <w:rPr>
          <w:sz w:val="24"/>
          <w:szCs w:val="24"/>
        </w:rPr>
        <w:t xml:space="preserve">byl </w:t>
      </w:r>
      <w:r w:rsidR="00FD524A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pro rok 2021 </w:t>
      </w:r>
      <w:r w:rsidR="00E31E23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>v republikových normativech</w:t>
      </w:r>
      <w:r w:rsidR="00E31E23" w:rsidRPr="007F3D07">
        <w:rPr>
          <w:sz w:val="24"/>
          <w:szCs w:val="24"/>
        </w:rPr>
        <w:t xml:space="preserve"> </w:t>
      </w:r>
      <w:r w:rsidR="008F4BCA" w:rsidRPr="007F3D07">
        <w:rPr>
          <w:sz w:val="24"/>
          <w:szCs w:val="24"/>
        </w:rPr>
        <w:t xml:space="preserve">výrazně </w:t>
      </w:r>
      <w:r w:rsidR="00D57FA2">
        <w:rPr>
          <w:sz w:val="24"/>
          <w:szCs w:val="24"/>
        </w:rPr>
        <w:t>jednorázově</w:t>
      </w:r>
      <w:r w:rsidR="00D57FA2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37035E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>navýšen</w:t>
      </w:r>
      <w:r w:rsidR="00FD524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, </w:t>
      </w:r>
      <w:r w:rsidR="008F4BCA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a to </w:t>
      </w:r>
      <w:r w:rsidR="00E31E23" w:rsidRPr="007F783A">
        <w:rPr>
          <w:sz w:val="24"/>
          <w:szCs w:val="24"/>
        </w:rPr>
        <w:t>v souvislosti se zvýšenými výdaji po dobu nouzového stavu</w:t>
      </w:r>
      <w:r w:rsidR="00E31E23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>.</w:t>
      </w:r>
      <w:r w:rsidR="0037035E" w:rsidRPr="007F783A">
        <w:rPr>
          <w:rFonts w:asciiTheme="minorHAnsi" w:eastAsia="Times New Roman" w:hAnsiTheme="minorHAnsi"/>
          <w:bCs/>
          <w:sz w:val="24"/>
          <w:szCs w:val="24"/>
          <w:lang w:eastAsia="cs-CZ"/>
        </w:rPr>
        <w:t xml:space="preserve"> </w:t>
      </w:r>
      <w:r w:rsidR="008F4BCA" w:rsidRPr="007F783A">
        <w:rPr>
          <w:rFonts w:eastAsia="Times New Roman"/>
          <w:bCs/>
          <w:sz w:val="24"/>
          <w:szCs w:val="24"/>
          <w:lang w:eastAsia="cs-CZ"/>
        </w:rPr>
        <w:t>Republikový normativ ONIV byl meziročně navýšen o 260 %</w:t>
      </w:r>
      <w:r w:rsidR="00AF17E2">
        <w:rPr>
          <w:rFonts w:eastAsia="Times New Roman"/>
          <w:bCs/>
          <w:sz w:val="24"/>
          <w:szCs w:val="24"/>
          <w:lang w:eastAsia="cs-CZ"/>
        </w:rPr>
        <w:t>.</w:t>
      </w:r>
      <w:r w:rsidR="008F4BCA" w:rsidRPr="007F783A">
        <w:rPr>
          <w:rFonts w:eastAsia="Times New Roman"/>
          <w:bCs/>
          <w:sz w:val="24"/>
          <w:szCs w:val="24"/>
          <w:lang w:eastAsia="cs-CZ"/>
        </w:rPr>
        <w:t xml:space="preserve"> </w:t>
      </w:r>
      <w:r w:rsidR="00AF17E2">
        <w:rPr>
          <w:rFonts w:eastAsia="Times New Roman"/>
          <w:bCs/>
          <w:sz w:val="24"/>
          <w:szCs w:val="24"/>
          <w:lang w:eastAsia="cs-CZ"/>
        </w:rPr>
        <w:t xml:space="preserve">Zvýšení následně promítaly krajské úřady do krajských normativů, 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 xml:space="preserve">nárůst </w:t>
      </w:r>
      <w:r w:rsidR="00AF17E2">
        <w:rPr>
          <w:rFonts w:eastAsia="Times New Roman"/>
          <w:bCs/>
          <w:sz w:val="24"/>
          <w:szCs w:val="24"/>
          <w:lang w:eastAsia="cs-CZ"/>
        </w:rPr>
        <w:t xml:space="preserve">zohlednilo 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>dvanáct kraj</w:t>
      </w:r>
      <w:r w:rsidR="00D57FA2">
        <w:rPr>
          <w:rFonts w:eastAsia="Times New Roman"/>
          <w:bCs/>
          <w:sz w:val="24"/>
          <w:szCs w:val="24"/>
          <w:lang w:eastAsia="cs-CZ"/>
        </w:rPr>
        <w:t>ských úřad</w:t>
      </w:r>
      <w:r w:rsidR="00AF17E2">
        <w:rPr>
          <w:rFonts w:eastAsia="Times New Roman"/>
          <w:bCs/>
          <w:sz w:val="24"/>
          <w:szCs w:val="24"/>
          <w:lang w:eastAsia="cs-CZ"/>
        </w:rPr>
        <w:t>ů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>.</w:t>
      </w:r>
      <w:r w:rsidR="00725386" w:rsidRPr="008F4BCA">
        <w:rPr>
          <w:rFonts w:eastAsia="Times New Roman"/>
          <w:bCs/>
          <w:sz w:val="24"/>
          <w:szCs w:val="24"/>
          <w:lang w:eastAsia="cs-CZ"/>
        </w:rPr>
        <w:t xml:space="preserve"> </w:t>
      </w:r>
      <w:r w:rsidR="005832EC" w:rsidRPr="008F4BCA">
        <w:rPr>
          <w:rFonts w:eastAsia="Times New Roman"/>
          <w:bCs/>
          <w:sz w:val="24"/>
          <w:szCs w:val="24"/>
          <w:lang w:eastAsia="cs-CZ"/>
        </w:rPr>
        <w:t>P</w:t>
      </w:r>
      <w:r w:rsidR="008B0F81" w:rsidRPr="008F4BCA">
        <w:rPr>
          <w:rFonts w:eastAsia="Times New Roman"/>
          <w:bCs/>
          <w:sz w:val="24"/>
          <w:szCs w:val="24"/>
          <w:lang w:eastAsia="cs-CZ"/>
        </w:rPr>
        <w:t>růměr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>né zvý</w:t>
      </w:r>
      <w:r w:rsidR="008B0F81" w:rsidRPr="008F4BCA">
        <w:rPr>
          <w:rFonts w:eastAsia="Times New Roman"/>
          <w:bCs/>
          <w:sz w:val="24"/>
          <w:szCs w:val="24"/>
          <w:lang w:eastAsia="cs-CZ"/>
        </w:rPr>
        <w:t>šení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 xml:space="preserve"> ONIV v</w:t>
      </w:r>
      <w:r w:rsidR="00AF17E2">
        <w:rPr>
          <w:rFonts w:eastAsia="Times New Roman"/>
          <w:bCs/>
          <w:sz w:val="24"/>
          <w:szCs w:val="24"/>
          <w:lang w:eastAsia="cs-CZ"/>
        </w:rPr>
        <w:t> </w:t>
      </w:r>
      <w:r w:rsidR="008B0F81" w:rsidRPr="008F4BCA">
        <w:rPr>
          <w:rFonts w:eastAsia="Times New Roman"/>
          <w:bCs/>
          <w:sz w:val="24"/>
          <w:szCs w:val="24"/>
          <w:lang w:eastAsia="cs-CZ"/>
        </w:rPr>
        <w:t>krajských normativ</w:t>
      </w:r>
      <w:r w:rsidR="008F4BCA" w:rsidRPr="008F4BCA">
        <w:rPr>
          <w:rFonts w:eastAsia="Times New Roman"/>
          <w:bCs/>
          <w:sz w:val="24"/>
          <w:szCs w:val="24"/>
          <w:lang w:eastAsia="cs-CZ"/>
        </w:rPr>
        <w:t>ech</w:t>
      </w:r>
      <w:r w:rsidR="008B0F81" w:rsidRPr="008F4BCA">
        <w:rPr>
          <w:rFonts w:eastAsia="Times New Roman"/>
          <w:bCs/>
          <w:sz w:val="24"/>
          <w:szCs w:val="24"/>
          <w:lang w:eastAsia="cs-CZ"/>
        </w:rPr>
        <w:t xml:space="preserve"> </w:t>
      </w:r>
      <w:r w:rsidR="005832EC" w:rsidRPr="008F4BCA">
        <w:rPr>
          <w:rFonts w:eastAsia="Times New Roman"/>
          <w:bCs/>
          <w:sz w:val="24"/>
          <w:szCs w:val="24"/>
          <w:lang w:eastAsia="cs-CZ"/>
        </w:rPr>
        <w:t>roku 2021 oproti roku 2020 činí 2</w:t>
      </w:r>
      <w:r w:rsidR="00583647">
        <w:rPr>
          <w:rFonts w:eastAsia="Times New Roman"/>
          <w:bCs/>
          <w:sz w:val="24"/>
          <w:szCs w:val="24"/>
          <w:lang w:eastAsia="cs-CZ"/>
        </w:rPr>
        <w:t>4</w:t>
      </w:r>
      <w:r w:rsidR="00293768" w:rsidRPr="008F4BCA">
        <w:rPr>
          <w:rFonts w:eastAsia="Times New Roman"/>
          <w:bCs/>
          <w:sz w:val="24"/>
          <w:szCs w:val="24"/>
          <w:lang w:eastAsia="cs-CZ"/>
        </w:rPr>
        <w:t>2</w:t>
      </w:r>
      <w:r w:rsidR="00E31E23" w:rsidRPr="008F4BCA">
        <w:rPr>
          <w:rFonts w:eastAsia="Times New Roman"/>
          <w:bCs/>
          <w:sz w:val="24"/>
          <w:szCs w:val="24"/>
          <w:lang w:eastAsia="cs-CZ"/>
        </w:rPr>
        <w:t xml:space="preserve"> </w:t>
      </w:r>
      <w:r w:rsidR="005832EC" w:rsidRPr="008F4BCA">
        <w:rPr>
          <w:rFonts w:eastAsia="Times New Roman"/>
          <w:bCs/>
          <w:sz w:val="24"/>
          <w:szCs w:val="24"/>
          <w:lang w:eastAsia="cs-CZ"/>
        </w:rPr>
        <w:t>%.</w:t>
      </w:r>
    </w:p>
    <w:p w14:paraId="69DD071D" w14:textId="41C98E82" w:rsidR="002E506D" w:rsidRPr="00AA1794" w:rsidRDefault="006A5711" w:rsidP="008F4BCA">
      <w:pPr>
        <w:spacing w:after="60" w:line="240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>Důležitým zjištěním je</w:t>
      </w:r>
      <w:r w:rsidR="005A2CD2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to, že </w:t>
      </w:r>
      <w:r w:rsidRPr="00B65679">
        <w:rPr>
          <w:b/>
          <w:sz w:val="24"/>
          <w:szCs w:val="24"/>
        </w:rPr>
        <w:t xml:space="preserve">způsob stanovení </w:t>
      </w:r>
      <w:r w:rsidR="00D57FA2">
        <w:rPr>
          <w:b/>
          <w:sz w:val="24"/>
          <w:szCs w:val="24"/>
        </w:rPr>
        <w:t xml:space="preserve">krajských </w:t>
      </w:r>
      <w:r w:rsidRPr="00B65679">
        <w:rPr>
          <w:b/>
          <w:sz w:val="24"/>
          <w:szCs w:val="24"/>
        </w:rPr>
        <w:t>normativů je v jednotlivých krajích rozdílný</w:t>
      </w:r>
      <w:r>
        <w:rPr>
          <w:sz w:val="24"/>
          <w:szCs w:val="24"/>
        </w:rPr>
        <w:t xml:space="preserve">. Vzhledem k tomu, že od roku 2021 MŠMT u </w:t>
      </w:r>
      <w:r w:rsidR="00D57FA2">
        <w:rPr>
          <w:sz w:val="24"/>
          <w:szCs w:val="24"/>
        </w:rPr>
        <w:t xml:space="preserve">většiny </w:t>
      </w:r>
      <w:r>
        <w:rPr>
          <w:sz w:val="24"/>
          <w:szCs w:val="24"/>
        </w:rPr>
        <w:t xml:space="preserve">školských zařízení již </w:t>
      </w:r>
      <w:r w:rsidR="00D93DAF">
        <w:rPr>
          <w:sz w:val="24"/>
          <w:szCs w:val="24"/>
        </w:rPr>
        <w:t xml:space="preserve">nevalorizuje normativy pro soukromá a církevní školská zařízení, ale vychází </w:t>
      </w:r>
      <w:r w:rsidR="00D57FA2">
        <w:rPr>
          <w:sz w:val="24"/>
          <w:szCs w:val="24"/>
        </w:rPr>
        <w:t xml:space="preserve">právě </w:t>
      </w:r>
      <w:r w:rsidR="00D93DAF">
        <w:rPr>
          <w:sz w:val="24"/>
          <w:szCs w:val="24"/>
        </w:rPr>
        <w:t>z k</w:t>
      </w:r>
      <w:r>
        <w:rPr>
          <w:sz w:val="24"/>
          <w:szCs w:val="24"/>
        </w:rPr>
        <w:t>rajsk</w:t>
      </w:r>
      <w:r w:rsidR="00D93DAF">
        <w:rPr>
          <w:sz w:val="24"/>
          <w:szCs w:val="24"/>
        </w:rPr>
        <w:t>ý</w:t>
      </w:r>
      <w:r w:rsidR="00D57FA2">
        <w:rPr>
          <w:sz w:val="24"/>
          <w:szCs w:val="24"/>
        </w:rPr>
        <w:t>ch</w:t>
      </w:r>
      <w:r>
        <w:rPr>
          <w:sz w:val="24"/>
          <w:szCs w:val="24"/>
        </w:rPr>
        <w:t xml:space="preserve"> normativ</w:t>
      </w:r>
      <w:r w:rsidR="00D93DAF">
        <w:rPr>
          <w:sz w:val="24"/>
          <w:szCs w:val="24"/>
        </w:rPr>
        <w:t xml:space="preserve">ů, je zcela zásadní, aby MŠMT bylo schopno na základě krajských soustav normativů určit jednotkové výdaje. Pro následující roky je tedy potřeba zajistit, aby krajské úřady postupovaly </w:t>
      </w:r>
      <w:r w:rsidR="00D57FA2">
        <w:rPr>
          <w:sz w:val="24"/>
          <w:szCs w:val="24"/>
        </w:rPr>
        <w:t xml:space="preserve">jednotně, zcela </w:t>
      </w:r>
      <w:r w:rsidR="00D93DAF">
        <w:rPr>
          <w:sz w:val="24"/>
          <w:szCs w:val="24"/>
        </w:rPr>
        <w:t>v souladu s vyhláškou. Některé kraj</w:t>
      </w:r>
      <w:r w:rsidR="00D57FA2">
        <w:rPr>
          <w:sz w:val="24"/>
          <w:szCs w:val="24"/>
        </w:rPr>
        <w:t>ské úřady</w:t>
      </w:r>
      <w:r w:rsidR="00D93DAF">
        <w:rPr>
          <w:sz w:val="24"/>
          <w:szCs w:val="24"/>
        </w:rPr>
        <w:t xml:space="preserve"> například nestanovují ukazatele pro nepedagogickou práci. U </w:t>
      </w:r>
      <w:r w:rsidR="002E506D" w:rsidRPr="00AA1794">
        <w:rPr>
          <w:sz w:val="24"/>
          <w:szCs w:val="24"/>
        </w:rPr>
        <w:t>Zlínsk</w:t>
      </w:r>
      <w:r w:rsidR="00D93DAF">
        <w:rPr>
          <w:sz w:val="24"/>
          <w:szCs w:val="24"/>
        </w:rPr>
        <w:t>ého</w:t>
      </w:r>
      <w:r w:rsidR="002E506D" w:rsidRPr="00AA1794">
        <w:rPr>
          <w:sz w:val="24"/>
          <w:szCs w:val="24"/>
        </w:rPr>
        <w:t xml:space="preserve"> kraj</w:t>
      </w:r>
      <w:r w:rsidR="00D93DAF">
        <w:rPr>
          <w:sz w:val="24"/>
          <w:szCs w:val="24"/>
        </w:rPr>
        <w:t xml:space="preserve">e pak bylo zjištěno, že pro školní kluby </w:t>
      </w:r>
      <w:r w:rsidR="00D57FA2">
        <w:rPr>
          <w:sz w:val="24"/>
          <w:szCs w:val="24"/>
        </w:rPr>
        <w:t xml:space="preserve">je </w:t>
      </w:r>
      <w:r w:rsidR="002E506D" w:rsidRPr="00AA1794">
        <w:rPr>
          <w:sz w:val="24"/>
          <w:szCs w:val="24"/>
        </w:rPr>
        <w:t>stanov</w:t>
      </w:r>
      <w:r w:rsidR="00D57FA2">
        <w:rPr>
          <w:sz w:val="24"/>
          <w:szCs w:val="24"/>
        </w:rPr>
        <w:t>ena</w:t>
      </w:r>
      <w:r w:rsidR="002E506D" w:rsidRPr="00AA1794">
        <w:rPr>
          <w:sz w:val="24"/>
          <w:szCs w:val="24"/>
        </w:rPr>
        <w:t xml:space="preserve"> </w:t>
      </w:r>
      <w:r w:rsidR="00D93DAF">
        <w:rPr>
          <w:sz w:val="24"/>
          <w:szCs w:val="24"/>
        </w:rPr>
        <w:t>jednotk</w:t>
      </w:r>
      <w:r w:rsidR="00D57FA2">
        <w:rPr>
          <w:sz w:val="24"/>
          <w:szCs w:val="24"/>
        </w:rPr>
        <w:t>a</w:t>
      </w:r>
      <w:r w:rsidR="00D93DAF">
        <w:rPr>
          <w:sz w:val="24"/>
          <w:szCs w:val="24"/>
        </w:rPr>
        <w:t xml:space="preserve"> výkonu </w:t>
      </w:r>
      <w:r w:rsidR="002E506D" w:rsidRPr="00AA1794">
        <w:rPr>
          <w:sz w:val="24"/>
          <w:szCs w:val="24"/>
        </w:rPr>
        <w:t>v rozporu s</w:t>
      </w:r>
      <w:r w:rsidR="00D93DAF">
        <w:rPr>
          <w:sz w:val="24"/>
          <w:szCs w:val="24"/>
        </w:rPr>
        <w:t> </w:t>
      </w:r>
      <w:r w:rsidR="002E506D" w:rsidRPr="00AA1794">
        <w:rPr>
          <w:sz w:val="24"/>
          <w:szCs w:val="24"/>
        </w:rPr>
        <w:t>vyhláškou.</w:t>
      </w:r>
    </w:p>
    <w:p w14:paraId="77E96FD6" w14:textId="09BC4A12" w:rsidR="00250300" w:rsidRPr="00E87EEA" w:rsidRDefault="006616A2" w:rsidP="002A1E66">
      <w:pPr>
        <w:pStyle w:val="Odstavecseseznamem"/>
        <w:numPr>
          <w:ilvl w:val="0"/>
          <w:numId w:val="30"/>
        </w:numPr>
        <w:spacing w:before="600" w:after="240" w:line="240" w:lineRule="auto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E87EEA"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POROVNÁNÍ krajských normativů</w:t>
      </w:r>
    </w:p>
    <w:p w14:paraId="7A907B61" w14:textId="38BDFCC7" w:rsidR="00BF5A0A" w:rsidRDefault="00250300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je zaměřeno na normativy MP 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>a ONIV. M</w:t>
      </w:r>
      <w:r w:rsidR="00663F62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zdové výdaje tvoří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stěžejní část z finančních prostředků poskytovaných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ze státního rozpočtu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jednotlivým školským zařízením </w:t>
      </w:r>
      <w:r w:rsidR="00D77BC4" w:rsidRPr="000E6AD5">
        <w:rPr>
          <w:rFonts w:asciiTheme="minorHAnsi" w:eastAsia="Times New Roman" w:hAnsiTheme="minorHAnsi"/>
          <w:sz w:val="24"/>
          <w:szCs w:val="24"/>
          <w:lang w:eastAsia="cs-CZ"/>
        </w:rPr>
        <w:t>zřizovaný</w:t>
      </w:r>
      <w:r w:rsidR="00D77BC4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="00D77BC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kraji</w:t>
      </w:r>
      <w:r w:rsidR="000E6AD5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,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obcemi nebo </w:t>
      </w:r>
      <w:r w:rsidR="006D1A1D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dobrovolnými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svazky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E6AD5">
        <w:rPr>
          <w:rFonts w:asciiTheme="minorHAnsi" w:eastAsia="Times New Roman" w:hAnsiTheme="minorHAnsi"/>
          <w:sz w:val="24"/>
          <w:szCs w:val="24"/>
          <w:lang w:eastAsia="cs-CZ"/>
        </w:rPr>
        <w:t>obcí.</w:t>
      </w:r>
      <w:r w:rsidR="001960B4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 Z prostředků ONIV jsou ze státního rozpočtu poskytovány finanční prostředky na výdaje vymezené v § 160 odst. 1 písm. c) a d) a od</w:t>
      </w:r>
      <w:r w:rsidR="00D35E7D" w:rsidRPr="000E6AD5">
        <w:rPr>
          <w:rFonts w:asciiTheme="minorHAnsi" w:eastAsia="Times New Roman" w:hAnsiTheme="minorHAnsi"/>
          <w:sz w:val="24"/>
          <w:szCs w:val="24"/>
          <w:lang w:eastAsia="cs-CZ"/>
        </w:rPr>
        <w:t xml:space="preserve">st. 2 </w:t>
      </w:r>
      <w:r w:rsidR="001C09CA">
        <w:rPr>
          <w:rFonts w:asciiTheme="minorHAnsi" w:eastAsia="Times New Roman" w:hAnsiTheme="minorHAnsi"/>
          <w:sz w:val="24"/>
          <w:szCs w:val="24"/>
          <w:lang w:eastAsia="cs-CZ"/>
        </w:rPr>
        <w:t>š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>kolského zákona</w:t>
      </w:r>
      <w:r w:rsidR="002B0746">
        <w:rPr>
          <w:rFonts w:asciiTheme="minorHAnsi" w:eastAsia="Times New Roman" w:hAnsiTheme="minorHAnsi"/>
          <w:sz w:val="24"/>
          <w:szCs w:val="24"/>
          <w:lang w:eastAsia="cs-CZ"/>
        </w:rPr>
        <w:t>, a</w:t>
      </w:r>
      <w:r w:rsidR="00F861E2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2B0746">
        <w:rPr>
          <w:rFonts w:asciiTheme="minorHAnsi" w:eastAsia="Times New Roman" w:hAnsiTheme="minorHAnsi"/>
          <w:sz w:val="24"/>
          <w:szCs w:val="24"/>
          <w:lang w:eastAsia="cs-CZ"/>
        </w:rPr>
        <w:t xml:space="preserve">to </w:t>
      </w:r>
      <w:r w:rsidR="002B0746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 xml:space="preserve">např. na </w:t>
      </w:r>
      <w:r w:rsidR="00D80A49">
        <w:rPr>
          <w:rFonts w:asciiTheme="minorHAnsi" w:eastAsia="Times New Roman" w:hAnsiTheme="minorHAnsi"/>
          <w:sz w:val="24"/>
          <w:szCs w:val="24"/>
          <w:lang w:eastAsia="cs-CZ"/>
        </w:rPr>
        <w:t>výdaje</w:t>
      </w:r>
      <w:r w:rsidR="00D80A49" w:rsidRPr="00D80A49">
        <w:t xml:space="preserve"> </w:t>
      </w:r>
      <w:r w:rsidR="00D80A49" w:rsidRPr="00D80A49">
        <w:rPr>
          <w:rFonts w:asciiTheme="minorHAnsi" w:eastAsia="Times New Roman" w:hAnsiTheme="minorHAnsi"/>
          <w:sz w:val="24"/>
          <w:szCs w:val="24"/>
          <w:lang w:eastAsia="cs-CZ"/>
        </w:rPr>
        <w:t>na další vzdělávání pedagogických pracovníků či tzv. ostatní náklady vyplývající z</w:t>
      </w:r>
      <w:r w:rsidR="00D80A49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="00D80A49" w:rsidRPr="00D80A49">
        <w:rPr>
          <w:rFonts w:asciiTheme="minorHAnsi" w:eastAsia="Times New Roman" w:hAnsiTheme="minorHAnsi"/>
          <w:sz w:val="24"/>
          <w:szCs w:val="24"/>
          <w:lang w:eastAsia="cs-CZ"/>
        </w:rPr>
        <w:t>pracovněprávních vztahů.</w:t>
      </w:r>
    </w:p>
    <w:p w14:paraId="1F8A0D7D" w14:textId="77777777" w:rsidR="00E51652" w:rsidRPr="00FF649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Normativ MP a ONIV v roce 20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21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na jednotku výkonu byl porovnáván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pro:</w:t>
      </w:r>
    </w:p>
    <w:p w14:paraId="0E3426FD" w14:textId="77777777" w:rsidR="00E51652" w:rsidRPr="00752C4B" w:rsidRDefault="00E51652" w:rsidP="00E51652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školní družiny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1),</w:t>
      </w:r>
    </w:p>
    <w:p w14:paraId="01C882B1" w14:textId="77777777" w:rsidR="00E51652" w:rsidRPr="00752C4B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školní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stravování ve školních jídelnách (přílohy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č.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2a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>, 2b, 2c, 2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d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2e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044A7E6C" w14:textId="77777777" w:rsidR="00E51652" w:rsidRPr="00752C4B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domovy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 mládeže (přílohy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č. </w:t>
      </w:r>
      <w:proofErr w:type="gramStart"/>
      <w:r>
        <w:rPr>
          <w:rFonts w:asciiTheme="minorHAnsi" w:eastAsia="Times New Roman" w:hAnsiTheme="minorHAnsi"/>
          <w:sz w:val="24"/>
          <w:szCs w:val="24"/>
          <w:lang w:eastAsia="cs-CZ"/>
        </w:rPr>
        <w:t>3a</w:t>
      </w:r>
      <w:proofErr w:type="gramEnd"/>
      <w:r>
        <w:rPr>
          <w:rFonts w:asciiTheme="minorHAnsi" w:eastAsia="Times New Roman" w:hAnsiTheme="minorHAnsi"/>
          <w:sz w:val="24"/>
          <w:szCs w:val="24"/>
          <w:lang w:eastAsia="cs-CZ"/>
        </w:rPr>
        <w:t>, 3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b),</w:t>
      </w:r>
    </w:p>
    <w:p w14:paraId="38E0989B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školní kluby 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4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1B4B3297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>edagogicko-psychologick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 xml:space="preserve"> poradn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2EE08F91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>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á</w:t>
      </w:r>
      <w:r w:rsidRPr="007072EF">
        <w:rPr>
          <w:rFonts w:asciiTheme="minorHAnsi" w:eastAsia="Times New Roman" w:hAnsiTheme="minorHAnsi"/>
          <w:sz w:val="24"/>
          <w:szCs w:val="24"/>
          <w:lang w:eastAsia="cs-CZ"/>
        </w:rPr>
        <w:t xml:space="preserve"> centr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a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6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77F076CD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dětské domovy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7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5F0AA177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internáty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8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35E129F9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k</w:t>
      </w:r>
      <w:r w:rsidRPr="00E35DE0">
        <w:rPr>
          <w:rFonts w:asciiTheme="minorHAnsi" w:eastAsia="Times New Roman" w:hAnsiTheme="minorHAnsi"/>
          <w:sz w:val="24"/>
          <w:szCs w:val="24"/>
          <w:lang w:eastAsia="cs-CZ"/>
        </w:rPr>
        <w:t>ursy pro získání základního vzdělání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 xml:space="preserve">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9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1A1403D6" w14:textId="6B973A74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</w:pP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Materiál obsahuje též </w:t>
      </w:r>
      <w:r w:rsidR="00B67358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meziroční 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porovnání </w:t>
      </w:r>
      <w:r w:rsidR="00056EB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MP</w:t>
      </w:r>
      <w:r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:</w:t>
      </w:r>
    </w:p>
    <w:p w14:paraId="0CE3DC12" w14:textId="77777777" w:rsidR="00E51652" w:rsidRPr="00752C4B" w:rsidRDefault="00E51652" w:rsidP="00E51652">
      <w:pPr>
        <w:numPr>
          <w:ilvl w:val="0"/>
          <w:numId w:val="19"/>
        </w:numPr>
        <w:spacing w:before="120"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Pr="005F0D3F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travovaní, vzdělávající se v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MŠ</w:t>
      </w:r>
      <w:r w:rsidRPr="005F0D3F">
        <w:rPr>
          <w:rFonts w:asciiTheme="minorHAnsi" w:eastAsia="Times New Roman" w:hAnsiTheme="minorHAnsi"/>
          <w:sz w:val="24"/>
          <w:szCs w:val="24"/>
          <w:lang w:eastAsia="cs-CZ"/>
        </w:rPr>
        <w:t xml:space="preserve"> – porovnání let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5F0D3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(příloha č. 10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1C7E6247" w14:textId="77777777" w:rsidR="00E51652" w:rsidRPr="007B47F1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</w:t>
      </w:r>
      <w:r w:rsidRPr="005F0D3F">
        <w:rPr>
          <w:rFonts w:asciiTheme="minorHAnsi" w:eastAsia="Times New Roman" w:hAnsiTheme="minorHAnsi"/>
          <w:sz w:val="24"/>
          <w:szCs w:val="24"/>
          <w:lang w:eastAsia="cs-CZ"/>
        </w:rPr>
        <w:t xml:space="preserve">travovaní, vzdělávající se v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ZŠ</w:t>
      </w:r>
      <w:r w:rsidRPr="005F0D3F">
        <w:rPr>
          <w:rFonts w:asciiTheme="minorHAnsi" w:eastAsia="Times New Roman" w:hAnsiTheme="minorHAnsi"/>
          <w:sz w:val="24"/>
          <w:szCs w:val="24"/>
          <w:lang w:eastAsia="cs-CZ"/>
        </w:rPr>
        <w:t xml:space="preserve"> – porovnání let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2019 až 2021 (příloha č. 11</w:t>
      </w:r>
      <w:r w:rsidRPr="00752C4B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78CF910" w14:textId="77777777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 xml:space="preserve">stravovaní, vzdělávající se v SŠ, KON a VOŠ – porovnání let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12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363BA84A" w14:textId="77777777" w:rsidR="00E51652" w:rsidRPr="00D61B3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celodenně 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>stravovaní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 xml:space="preserve">– porovnání let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13</w:t>
      </w:r>
      <w:r w:rsidRPr="00252D0F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29B3F1AE" w14:textId="77777777" w:rsidR="00E51652" w:rsidRPr="00A5149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d</w:t>
      </w:r>
      <w:r w:rsidRPr="00A51492">
        <w:rPr>
          <w:rFonts w:asciiTheme="minorHAnsi" w:eastAsia="Times New Roman" w:hAnsiTheme="minorHAnsi"/>
          <w:sz w:val="24"/>
          <w:szCs w:val="24"/>
          <w:lang w:eastAsia="cs-CZ"/>
        </w:rPr>
        <w:t xml:space="preserve">omovy mládeže SŠ a KON – porovnání let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A51492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(příloha č. 14</w:t>
      </w:r>
      <w:r w:rsidRPr="00A51492">
        <w:rPr>
          <w:rFonts w:asciiTheme="minorHAnsi" w:eastAsia="Times New Roman" w:hAnsiTheme="minorHAnsi"/>
          <w:sz w:val="24"/>
          <w:szCs w:val="24"/>
          <w:lang w:eastAsia="cs-CZ"/>
        </w:rPr>
        <w:t>),</w:t>
      </w:r>
    </w:p>
    <w:p w14:paraId="774B6F08" w14:textId="23AA5E04" w:rsidR="00E51652" w:rsidRDefault="00E51652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 w:rsidRPr="00D87EFE">
        <w:rPr>
          <w:rFonts w:asciiTheme="minorHAnsi" w:eastAsia="Times New Roman" w:hAnsiTheme="minorHAnsi"/>
          <w:sz w:val="24"/>
          <w:szCs w:val="24"/>
          <w:lang w:eastAsia="cs-CZ"/>
        </w:rPr>
        <w:t xml:space="preserve">domovy mládeže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VOŠ</w:t>
      </w:r>
      <w:r w:rsidRPr="00D87EFE">
        <w:rPr>
          <w:rFonts w:asciiTheme="minorHAnsi" w:eastAsia="Times New Roman" w:hAnsiTheme="minorHAnsi"/>
          <w:sz w:val="24"/>
          <w:szCs w:val="24"/>
          <w:lang w:eastAsia="cs-CZ"/>
        </w:rPr>
        <w:t xml:space="preserve"> – </w:t>
      </w:r>
      <w:bookmarkStart w:id="26" w:name="_Hlk82430773"/>
      <w:r w:rsidRPr="00D87EFE">
        <w:rPr>
          <w:rFonts w:asciiTheme="minorHAnsi" w:eastAsia="Times New Roman" w:hAnsiTheme="minorHAnsi"/>
          <w:sz w:val="24"/>
          <w:szCs w:val="24"/>
          <w:lang w:eastAsia="cs-CZ"/>
        </w:rPr>
        <w:t>porovnán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í let 2019 až 2021</w:t>
      </w:r>
      <w:bookmarkEnd w:id="26"/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(příloha č. 15)</w:t>
      </w:r>
      <w:r w:rsidR="004B4458">
        <w:rPr>
          <w:rFonts w:asciiTheme="minorHAnsi" w:eastAsia="Times New Roman" w:hAnsiTheme="minorHAnsi"/>
          <w:sz w:val="24"/>
          <w:szCs w:val="24"/>
          <w:lang w:eastAsia="cs-CZ"/>
        </w:rPr>
        <w:t>,</w:t>
      </w:r>
    </w:p>
    <w:p w14:paraId="1F6F4C4F" w14:textId="29F1170B" w:rsidR="004B4458" w:rsidRPr="00D87EFE" w:rsidRDefault="004B4458" w:rsidP="00E51652">
      <w:pPr>
        <w:numPr>
          <w:ilvl w:val="0"/>
          <w:numId w:val="19"/>
        </w:numPr>
        <w:spacing w:after="0" w:line="240" w:lineRule="auto"/>
        <w:ind w:left="714" w:hanging="357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Pr="004B4458">
        <w:rPr>
          <w:rFonts w:asciiTheme="minorHAnsi" w:eastAsia="Times New Roman" w:hAnsiTheme="minorHAnsi"/>
          <w:sz w:val="24"/>
          <w:szCs w:val="24"/>
          <w:lang w:eastAsia="cs-CZ"/>
        </w:rPr>
        <w:t>eziroční porovnání ukazatelů P</w:t>
      </w:r>
      <w:r w:rsidRPr="00F64D04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4B4458">
        <w:rPr>
          <w:rFonts w:asciiTheme="minorHAnsi" w:eastAsia="Times New Roman" w:hAnsiTheme="minorHAnsi"/>
          <w:sz w:val="24"/>
          <w:szCs w:val="24"/>
          <w:lang w:eastAsia="cs-CZ"/>
        </w:rPr>
        <w:t xml:space="preserve"> a P</w:t>
      </w:r>
      <w:r w:rsidRPr="00F64D04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="00B67358" w:rsidRPr="00B6735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67358">
        <w:rPr>
          <w:rFonts w:asciiTheme="minorHAnsi" w:eastAsia="Times New Roman" w:hAnsiTheme="minorHAnsi"/>
          <w:sz w:val="24"/>
          <w:szCs w:val="24"/>
          <w:lang w:eastAsia="cs-CZ"/>
        </w:rPr>
        <w:t xml:space="preserve">– </w:t>
      </w:r>
      <w:r w:rsidR="00B67358" w:rsidRPr="00B67358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porovnání let </w:t>
      </w:r>
      <w:r w:rsidR="00B155E4">
        <w:rPr>
          <w:rFonts w:asciiTheme="minorHAnsi" w:eastAsia="Times New Roman" w:hAnsiTheme="minorHAnsi"/>
          <w:sz w:val="24"/>
          <w:szCs w:val="24"/>
          <w:lang w:eastAsia="cs-CZ"/>
        </w:rPr>
        <w:t>2020</w:t>
      </w:r>
      <w:r w:rsidR="00B67358" w:rsidRPr="00B67358">
        <w:rPr>
          <w:rFonts w:asciiTheme="minorHAnsi" w:eastAsia="Times New Roman" w:hAnsiTheme="minorHAnsi"/>
          <w:sz w:val="24"/>
          <w:szCs w:val="24"/>
          <w:lang w:eastAsia="cs-CZ"/>
        </w:rPr>
        <w:t xml:space="preserve"> a 2021</w:t>
      </w:r>
      <w:r w:rsidRPr="004B445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B67358">
        <w:rPr>
          <w:rFonts w:asciiTheme="minorHAnsi" w:eastAsia="Times New Roman" w:hAnsiTheme="minorHAnsi"/>
          <w:sz w:val="24"/>
          <w:szCs w:val="24"/>
          <w:lang w:eastAsia="cs-CZ"/>
        </w:rPr>
        <w:t>(příloha č. 16).</w:t>
      </w:r>
    </w:p>
    <w:p w14:paraId="23EF8968" w14:textId="77777777" w:rsidR="00E51652" w:rsidRPr="005E3C06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8C04E9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Aby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 xml:space="preserve"> předkládaný materiál získal úplnou vypovídací schopnost, jsou v jeho přílohové části u všech porovnávaných jednotek výkonu uvedeny vedle hodnot krajských normativů MP a ONIV i hodnoty ukazatelů N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N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, P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vertAlign w:val="subscript"/>
          <w:lang w:eastAsia="cs-CZ"/>
        </w:rPr>
        <w:t>o</w:t>
      </w:r>
      <w:r w:rsidRPr="00752C4B">
        <w:rPr>
          <w:rFonts w:asciiTheme="minorHAnsi" w:eastAsia="Times New Roman" w:hAnsiTheme="minorHAnsi"/>
          <w:color w:val="000000" w:themeColor="text1"/>
          <w:sz w:val="24"/>
          <w:szCs w:val="24"/>
          <w:lang w:eastAsia="cs-CZ"/>
        </w:rPr>
        <w:t>.</w:t>
      </w:r>
    </w:p>
    <w:p w14:paraId="37772C3B" w14:textId="44CE21CE" w:rsidR="00E51652" w:rsidRDefault="00E51652" w:rsidP="00E51652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Výše odvodů na sociální a zdravotní pojištění a příděl do fondu kulturních a sociálních potřeb</w:t>
      </w:r>
      <w:r w:rsidR="008E3F4F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 rok 2021 činí 35,8 % z MP. 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>Porovná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ní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normativ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MP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v přílohách je uvedeno</w:t>
      </w:r>
      <w:r w:rsidRPr="007C1B39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74273786" w14:textId="21D3D445" w:rsidR="00E51652" w:rsidRDefault="00E51652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</w:p>
    <w:p w14:paraId="568316DC" w14:textId="4FF4415A" w:rsidR="008E3F4F" w:rsidRDefault="008E3F4F" w:rsidP="000A6ECD">
      <w:pPr>
        <w:spacing w:before="120" w:after="0" w:line="240" w:lineRule="auto"/>
        <w:jc w:val="both"/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</w:pPr>
      <w:r>
        <w:rPr>
          <w:rFonts w:asciiTheme="minorHAnsi" w:eastAsia="Times New Roman" w:hAnsiTheme="minorHAnsi"/>
          <w:b/>
          <w:caps/>
          <w:sz w:val="28"/>
          <w:szCs w:val="28"/>
          <w:u w:val="single"/>
          <w:lang w:eastAsia="cs-CZ"/>
        </w:rPr>
        <w:t>Komentáře k přílohám:</w:t>
      </w:r>
    </w:p>
    <w:p w14:paraId="0385C503" w14:textId="1A80C270" w:rsidR="0040558D" w:rsidRPr="002A1E66" w:rsidRDefault="0040558D" w:rsidP="006E5E8C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2A1E66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1:</w:t>
      </w:r>
      <w:r w:rsidRPr="002A1E66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2373AE" w:rsidRPr="002A1E66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družiny</w:t>
      </w:r>
    </w:p>
    <w:p w14:paraId="3DE3B40B" w14:textId="449C7943" w:rsidR="009A6703" w:rsidRPr="0001107A" w:rsidRDefault="009A6703" w:rsidP="00060D2D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37092C" w:rsidRPr="0037092C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37092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družin s počtem účastníků do 1 000. Pro přehlednost jsou v grafech znázorněny </w:t>
      </w:r>
      <w:r w:rsidR="0037092C" w:rsidRPr="0037092C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37092C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 – 100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účastníků, 100 – 300 účastníků, 300 – 500 účastníků, 500</w:t>
      </w:r>
      <w:r w:rsidR="0037092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 w:rsidR="0037092C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800 účastníků. V grafické části jsou znázorněny závislosti krajských normativů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(graf č.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5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6), ukazatel Po (graf č.</w:t>
      </w:r>
      <w:r w:rsidR="001B2A4D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7). V tabulkové části jsou hodnoty krajských normativů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(tabulka č. 1), ONIV (tabulka č. 2), ukazatel </w:t>
      </w:r>
      <w:r w:rsidR="00745B01" w:rsidRPr="0001107A">
        <w:rPr>
          <w:rFonts w:asciiTheme="minorHAnsi" w:eastAsia="Times New Roman" w:hAnsiTheme="minorHAnsi"/>
          <w:sz w:val="24"/>
          <w:szCs w:val="24"/>
          <w:lang w:eastAsia="cs-CZ"/>
        </w:rPr>
        <w:t>N</w:t>
      </w:r>
      <w:r w:rsidR="00745B01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bookmarkStart w:id="27" w:name="_Hlk77157411"/>
    </w:p>
    <w:bookmarkEnd w:id="27"/>
    <w:p w14:paraId="637EED6D" w14:textId="77777777" w:rsidR="006A7D60" w:rsidRPr="0001107A" w:rsidRDefault="0040558D" w:rsidP="006A7D60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2: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6A7D60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stravování ve školních jídelnách</w:t>
      </w:r>
      <w:r w:rsidR="006A7D60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176749DD" w14:textId="77777777" w:rsidR="009418EF" w:rsidRPr="0001107A" w:rsidRDefault="00C85197" w:rsidP="009418EF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proofErr w:type="gramStart"/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2</w:t>
      </w:r>
      <w:r w:rsidR="009418EF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a</w:t>
      </w:r>
      <w:proofErr w:type="gramEnd"/>
      <w:r w:rsidR="009418EF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Stravovaní, vzdělávající se v mateřské škole</w:t>
      </w:r>
    </w:p>
    <w:p w14:paraId="70895FE6" w14:textId="0257BD8B" w:rsidR="009418EF" w:rsidRPr="00633146" w:rsidRDefault="009418EF" w:rsidP="009418EF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mateřské </w:t>
      </w:r>
      <w:r w:rsidR="00D9312F" w:rsidRPr="0001107A">
        <w:rPr>
          <w:rFonts w:asciiTheme="minorHAnsi" w:eastAsia="Times New Roman" w:hAnsiTheme="minorHAnsi"/>
          <w:sz w:val="24"/>
          <w:szCs w:val="24"/>
          <w:lang w:eastAsia="cs-CZ"/>
        </w:rPr>
        <w:t>škole s počtem stravovaných do 4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00. Pro přehlednost jsou v grafech znázorněny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MP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lastRenderedPageBreak/>
        <w:t>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 – 30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30 – 100 stravovaných, 100 – 300 stravovaných. V grafické části jsou znázorněny závislosti krajských normativů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4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5),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6). V tabulkové části jsou hodnoty krajských normativů </w:t>
      </w:r>
      <w:r w:rsidR="00BD403A" w:rsidRPr="00BD403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BD403A" w:rsidRPr="00BD403A" w:rsidDel="00BD403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(tabulka č. 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0E753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Start w:id="28" w:name="_Hlk77149895"/>
    </w:p>
    <w:bookmarkEnd w:id="28"/>
    <w:p w14:paraId="6130F8BB" w14:textId="77777777" w:rsidR="006C4302" w:rsidRPr="0001107A" w:rsidRDefault="00C85197" w:rsidP="006C4302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proofErr w:type="gramStart"/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2</w:t>
      </w:r>
      <w:r w:rsidR="006C4302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b</w:t>
      </w:r>
      <w:proofErr w:type="gramEnd"/>
      <w:r w:rsidR="006C4302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Stravovaní, vzdělávající se v základní škole</w:t>
      </w:r>
    </w:p>
    <w:p w14:paraId="2EC319A4" w14:textId="218351F7" w:rsidR="006C4302" w:rsidRPr="0001107A" w:rsidRDefault="006C4302" w:rsidP="006C4302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 základní škole s počtem stravovaných do 1 000. Pro přehlednost jsou v grafech znázorněny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 – 100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100 – 300 stravovaných, 300 – 500 stravovaných, 500 – 800 stravovaných. V grafické části jsou znázorněny závislosti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5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6),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7). V tabulkové části jsou hodnoty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0935B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0DBB7E26" w14:textId="77777777" w:rsidR="006C4302" w:rsidRPr="0001107A" w:rsidRDefault="00C85197" w:rsidP="006C4302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</w:t>
      </w:r>
      <w:r w:rsidR="006C4302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c: Stravovaní, vzdělávající se ve střední škole, konzervatoři a vyšší odborné škole</w:t>
      </w:r>
    </w:p>
    <w:p w14:paraId="6CE33BE9" w14:textId="59E58C41" w:rsidR="001D2696" w:rsidRPr="0001107A" w:rsidRDefault="006C4302" w:rsidP="001D269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ve střední škole, konzervatoři a vyšší odborné škole s počtem stravovaných do 1 000. Pro přehlednost jsou v grafech znázorněny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 –</w:t>
      </w:r>
      <w:r w:rsidR="001B2A4D" w:rsidRPr="0001107A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100 – 300 stravovaných, 300 – 500 stravovaných, 500 – 800 stravovaných. V grafické části jsou znázorněny závislosti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5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6),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7). V tabulkové části jsou hodnoty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</w:t>
      </w:r>
      <w:r w:rsidR="00EF66F8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70204D" w:rsidRPr="0070204D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47E5E1E" w14:textId="77777777" w:rsidR="006C4302" w:rsidRPr="0001107A" w:rsidRDefault="00C85197" w:rsidP="001D269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proofErr w:type="gramStart"/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2</w:t>
      </w:r>
      <w:r w:rsidR="006C4302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d</w:t>
      </w:r>
      <w:proofErr w:type="gramEnd"/>
      <w:r w:rsidR="006C4302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Celodenně stravovaní</w:t>
      </w:r>
    </w:p>
    <w:p w14:paraId="5EED8421" w14:textId="7EC40FD9" w:rsidR="006C4302" w:rsidRPr="0001107A" w:rsidRDefault="006C4302" w:rsidP="006C4302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s celodenním stravováním s počtem stravovaných do 960. Pro přehlednost jsou v grafech znázorněny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 – 100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100</w:t>
      </w:r>
      <w:r w:rsidR="001B2A4D" w:rsidRPr="0001107A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300 stravovaných, 300 – 500 stravovaných. V grafické části jsou znázorněny závislosti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4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5),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6). V tabulkové části jsou hodnoty krajských normativů </w:t>
      </w:r>
      <w:r w:rsidR="00DB6A65" w:rsidRPr="00DB6A65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DB6A65" w:rsidRPr="00DB6A65" w:rsidDel="00DB6A6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C668EE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8F2E105" w14:textId="77777777" w:rsidR="00DF6B2D" w:rsidRPr="0001107A" w:rsidRDefault="00DF6B2D" w:rsidP="00DF6B2D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Příloha č. 2e: Celodenně stravovaní</w:t>
      </w:r>
      <w:r w:rsidR="0068418C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 bez oběda</w:t>
      </w:r>
    </w:p>
    <w:p w14:paraId="78AF6065" w14:textId="057F56D0" w:rsidR="00C40056" w:rsidRPr="0001107A" w:rsidRDefault="00DF6B2D" w:rsidP="00C4005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5F11C6" w:rsidRPr="005F11C6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F11C6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školních jídelen s celodenním stravováním s počtem stravovaných do 960. Pro přehlednost jsou v grafech znázorněny </w:t>
      </w:r>
      <w:r w:rsidR="005F11C6" w:rsidRPr="005F11C6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F11C6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 – 100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stravovaných, 100</w:t>
      </w:r>
      <w:r w:rsidR="001B2A4D" w:rsidRPr="0001107A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300 stravovaných, 300 – 500 stravovaných. V grafické části jsou znázorněny závislosti krajských normativů </w:t>
      </w:r>
      <w:r w:rsidR="005F11C6" w:rsidRPr="005F11C6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F11C6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4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), výše ONIV (graf č. 5),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6). V tabulkové části jsou hodnoty krajských normativů </w:t>
      </w:r>
      <w:r w:rsidR="005F11C6" w:rsidRPr="005F11C6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5F11C6" w:rsidRPr="005F11C6" w:rsidDel="005F11C6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5434E3" w:rsidRPr="005434E3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5BDA49D5" w14:textId="77777777" w:rsidR="00512C2B" w:rsidRDefault="00512C2B" w:rsidP="00C40056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</w:p>
    <w:p w14:paraId="7B11EBE3" w14:textId="425F44AC" w:rsidR="0040558D" w:rsidRPr="0001107A" w:rsidRDefault="0040558D" w:rsidP="00C40056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>P</w:t>
      </w:r>
      <w:r w:rsidR="00FB4577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říloha č. 3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Domovy mládeže</w:t>
      </w:r>
    </w:p>
    <w:p w14:paraId="79936490" w14:textId="77777777" w:rsidR="0040558D" w:rsidRPr="0001107A" w:rsidRDefault="000E35E9" w:rsidP="00FB4577">
      <w:pPr>
        <w:tabs>
          <w:tab w:val="left" w:pos="360"/>
        </w:tabs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proofErr w:type="gramStart"/>
      <w:r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3</w:t>
      </w:r>
      <w:r w:rsidR="0040558D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a</w:t>
      </w:r>
      <w:proofErr w:type="gramEnd"/>
      <w:r w:rsidR="0040558D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: Ubytovaní žáci </w:t>
      </w:r>
      <w:r w:rsidR="00816DF9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základních škol, </w:t>
      </w:r>
      <w:r w:rsidR="0040558D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středních škol a konzervatoří</w:t>
      </w:r>
    </w:p>
    <w:p w14:paraId="2685E751" w14:textId="0B0E1B30" w:rsidR="0040558D" w:rsidRPr="0001107A" w:rsidRDefault="0040558D" w:rsidP="00D03383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29" w:name="_Hlk77772223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EC0FBC" w:rsidRPr="0001107A">
        <w:rPr>
          <w:rFonts w:asciiTheme="minorHAnsi" w:eastAsia="Times New Roman" w:hAnsiTheme="minorHAnsi"/>
          <w:sz w:val="24"/>
          <w:szCs w:val="24"/>
          <w:lang w:eastAsia="cs-CZ"/>
        </w:rPr>
        <w:t>MP bez odvodů</w:t>
      </w:r>
      <w:bookmarkEnd w:id="29"/>
      <w:r w:rsidR="00EC0FBC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a ONIV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domovů mládeže s počtem ubytovaných do 500. Pro přehlednost jsou v grafech znázorněny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 – 30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ubytovaných, 30 – 100 ubytovaných, 100 – 300 ubytovaných, 300 – 500 ubytovaných.</w:t>
      </w:r>
      <w:r w:rsidR="003957EE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V grafické části jsou znázorněny závislosti krajských normativů </w:t>
      </w:r>
      <w:r w:rsidR="00D945E9" w:rsidRPr="0001107A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pedagogů 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</w:t>
      </w:r>
      <w:r w:rsidR="001B2A4D" w:rsidRPr="0001107A">
        <w:rPr>
          <w:rFonts w:asciiTheme="minorHAnsi" w:eastAsia="Times New Roman" w:hAnsiTheme="minorHAnsi"/>
          <w:sz w:val="24"/>
          <w:szCs w:val="24"/>
          <w:lang w:eastAsia="cs-CZ"/>
        </w:rPr>
        <w:t> –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5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), výše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9),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 V tabulkové části jsou hodnoty krajských normativů </w:t>
      </w:r>
      <w:r w:rsidR="00D945E9" w:rsidRPr="0001107A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624D29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7A07E3C4" w14:textId="77777777" w:rsidR="0040558D" w:rsidRPr="0001107A" w:rsidRDefault="000E35E9" w:rsidP="00EC0FBC">
      <w:pPr>
        <w:spacing w:before="120" w:after="0" w:line="240" w:lineRule="auto"/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</w:pPr>
      <w:r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 xml:space="preserve">Příloha č. </w:t>
      </w:r>
      <w:proofErr w:type="gramStart"/>
      <w:r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3</w:t>
      </w:r>
      <w:r w:rsidR="0040558D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b</w:t>
      </w:r>
      <w:proofErr w:type="gramEnd"/>
      <w:r w:rsidR="0040558D" w:rsidRPr="0001107A">
        <w:rPr>
          <w:rFonts w:asciiTheme="minorHAnsi" w:eastAsia="Times New Roman" w:hAnsiTheme="minorHAnsi"/>
          <w:i/>
          <w:sz w:val="24"/>
          <w:szCs w:val="24"/>
          <w:u w:val="single"/>
          <w:lang w:eastAsia="cs-CZ"/>
        </w:rPr>
        <w:t>: Ubytovaní studenti vyšších odborných škol</w:t>
      </w:r>
    </w:p>
    <w:p w14:paraId="1BB9D223" w14:textId="0C100407" w:rsidR="0040558D" w:rsidRPr="0001107A" w:rsidRDefault="0040558D" w:rsidP="00D03383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EC0FBC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MP bez odvodů a ONIV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domovů mládeže s počtem ubytovaných do 300. Pro přehlednost jsou v grafech znázorněny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 – 30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ubytovaných, 30 – 100 ubytovaných, 100 – 300 ubytovaných.</w:t>
      </w:r>
      <w:r w:rsidR="003957EE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V grafické části jsou znázorněny závislosti krajských normativů </w:t>
      </w:r>
      <w:r w:rsidR="00D945E9" w:rsidRPr="0001107A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pedagogů 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4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), výše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5), výše ONIV (graf č. 6),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7),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</w:t>
      </w:r>
      <w:r w:rsidR="003957EE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V tabulkové části jsou hodnoty krajských normativů </w:t>
      </w:r>
      <w:r w:rsidR="00D945E9" w:rsidRPr="0001107A">
        <w:rPr>
          <w:rFonts w:asciiTheme="minorHAnsi" w:eastAsia="Times New Roman" w:hAnsiTheme="minorHAnsi"/>
          <w:sz w:val="24"/>
          <w:szCs w:val="24"/>
          <w:lang w:eastAsia="cs-CZ"/>
        </w:rPr>
        <w:t>MP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="00D945E9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3).</w:t>
      </w:r>
      <w:r w:rsidR="006038E8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2BF4CFA" w14:textId="77777777" w:rsidR="00803FCC" w:rsidRPr="0001107A" w:rsidRDefault="0040558D" w:rsidP="00803FCC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6206C7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4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6206C7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Školní kluby</w:t>
      </w:r>
    </w:p>
    <w:p w14:paraId="3FF8D881" w14:textId="56427A6B" w:rsidR="00620D61" w:rsidRPr="00620D61" w:rsidRDefault="00803FCC" w:rsidP="00C341FD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MP bez odvodů a ONIV školních klubů s počtem </w:t>
      </w:r>
      <w:r w:rsidR="00414A45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E275F1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do 500. Pro přehlednost jsou v grafech znázorněny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také po částech pro </w:t>
      </w:r>
      <w:r w:rsidR="00391DA2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skupiny 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 – 30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414A45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56745A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, 30 – 100 </w:t>
      </w:r>
      <w:r w:rsidR="00414A45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, 100 – 300 </w:t>
      </w:r>
      <w:r w:rsidR="00414A45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, 300 – 500 </w:t>
      </w:r>
      <w:r w:rsidR="00414A45">
        <w:rPr>
          <w:rFonts w:asciiTheme="minorHAnsi" w:eastAsia="Times New Roman" w:hAnsiTheme="minorHAnsi"/>
          <w:sz w:val="24"/>
          <w:szCs w:val="24"/>
          <w:lang w:eastAsia="cs-CZ"/>
        </w:rPr>
        <w:t>žá</w:t>
      </w:r>
      <w:r w:rsidR="003465D5">
        <w:rPr>
          <w:rFonts w:asciiTheme="minorHAnsi" w:eastAsia="Times New Roman" w:hAnsiTheme="minorHAnsi"/>
          <w:sz w:val="24"/>
          <w:szCs w:val="24"/>
          <w:lang w:eastAsia="cs-CZ"/>
        </w:rPr>
        <w:t>ků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. V grafické části jsou znázorněny závislosti krajských normativů MP pedagogů bez odvodů (graf č. </w:t>
      </w:r>
      <w:proofErr w:type="gramStart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 – 5</w:t>
      </w:r>
      <w:proofErr w:type="gramEnd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), výše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(graf č. 6), výše ONIV (graf č. 7),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8), ukazatel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</w:t>
      </w:r>
      <w:r w:rsidR="00EF66F8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9),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 10). V tabulkové části jsou hodnoty krajských normativů MP bez odvodů (tabulka č. 1), ONIV (tabulka č. 2), ukazatel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č. 3).</w:t>
      </w:r>
      <w:r w:rsidR="00DC1640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4896A3DB" w14:textId="77777777" w:rsidR="00620D61" w:rsidRPr="0001107A" w:rsidRDefault="00620D61" w:rsidP="00620D61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5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Pedagogicko-psychologická poradna</w:t>
      </w:r>
    </w:p>
    <w:p w14:paraId="0C4AE2CA" w14:textId="1CE56DF8" w:rsidR="00A80299" w:rsidRDefault="00620D61" w:rsidP="00A80299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Porovnává krajské normativy MP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</w:t>
      </w:r>
      <w:r w:rsidRPr="000C1AB0">
        <w:rPr>
          <w:rFonts w:asciiTheme="minorHAnsi" w:eastAsia="Times New Roman" w:hAnsiTheme="minorHAnsi"/>
          <w:sz w:val="24"/>
          <w:szCs w:val="24"/>
          <w:lang w:eastAsia="cs-CZ"/>
        </w:rPr>
        <w:t>pedagogicko-psychologických poraden</w:t>
      </w:r>
      <w:r w:rsidR="002145C9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V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grafu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j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sou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znázorněn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krajsk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é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normativ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y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MP</w:t>
      </w:r>
      <w:r w:rsidR="007C5B14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F63AEA">
        <w:rPr>
          <w:rFonts w:asciiTheme="minorHAnsi" w:eastAsia="Times New Roman" w:hAnsiTheme="minorHAnsi"/>
          <w:sz w:val="24"/>
          <w:szCs w:val="24"/>
          <w:lang w:eastAsia="cs-CZ"/>
        </w:rPr>
        <w:t>p</w:t>
      </w:r>
      <w:r w:rsidR="00F63AEA" w:rsidRPr="00F63AEA">
        <w:rPr>
          <w:rFonts w:asciiTheme="minorHAnsi" w:eastAsia="Times New Roman" w:hAnsiTheme="minorHAnsi"/>
          <w:sz w:val="24"/>
          <w:szCs w:val="24"/>
          <w:lang w:eastAsia="cs-CZ"/>
        </w:rPr>
        <w:t>edagogicko-psychologick</w:t>
      </w:r>
      <w:r w:rsidR="00F63AEA">
        <w:rPr>
          <w:rFonts w:asciiTheme="minorHAnsi" w:eastAsia="Times New Roman" w:hAnsiTheme="minorHAnsi"/>
          <w:sz w:val="24"/>
          <w:szCs w:val="24"/>
          <w:lang w:eastAsia="cs-CZ"/>
        </w:rPr>
        <w:t>ých</w:t>
      </w:r>
      <w:r w:rsidR="00F63AEA" w:rsidRPr="00F63AEA">
        <w:rPr>
          <w:rFonts w:asciiTheme="minorHAnsi" w:eastAsia="Times New Roman" w:hAnsiTheme="minorHAnsi"/>
          <w:sz w:val="24"/>
          <w:szCs w:val="24"/>
          <w:lang w:eastAsia="cs-CZ"/>
        </w:rPr>
        <w:t xml:space="preserve"> porad</w:t>
      </w:r>
      <w:r w:rsidR="00F63AEA">
        <w:rPr>
          <w:rFonts w:asciiTheme="minorHAnsi" w:eastAsia="Times New Roman" w:hAnsiTheme="minorHAnsi"/>
          <w:sz w:val="24"/>
          <w:szCs w:val="24"/>
          <w:lang w:eastAsia="cs-CZ"/>
        </w:rPr>
        <w:t>en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bez odvodů.</w:t>
      </w:r>
    </w:p>
    <w:p w14:paraId="13089C5C" w14:textId="78BD2BEC" w:rsidR="00620D61" w:rsidRPr="00A80299" w:rsidRDefault="00620D61" w:rsidP="00A80299">
      <w:pPr>
        <w:spacing w:before="36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6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Pr="003B2180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Speciálně pedagogické centrum</w:t>
      </w:r>
    </w:p>
    <w:p w14:paraId="69FDFA6D" w14:textId="4A868FBC" w:rsidR="00C11656" w:rsidRDefault="00620D61" w:rsidP="00B00C38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Porovnává krajské normativy MP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</w:t>
      </w:r>
      <w:r w:rsidRPr="00DA1699">
        <w:rPr>
          <w:rFonts w:asciiTheme="minorHAnsi" w:eastAsia="Times New Roman" w:hAnsiTheme="minorHAnsi"/>
          <w:sz w:val="24"/>
          <w:szCs w:val="24"/>
          <w:lang w:eastAsia="cs-CZ"/>
        </w:rPr>
        <w:t>speciálně pedagogických center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1D26C1" w:rsidRPr="001D26C1">
        <w:rPr>
          <w:rFonts w:asciiTheme="minorHAnsi" w:eastAsia="Times New Roman" w:hAnsiTheme="minorHAnsi"/>
          <w:sz w:val="24"/>
          <w:szCs w:val="24"/>
          <w:lang w:eastAsia="cs-CZ"/>
        </w:rPr>
        <w:t>V grafu jsou znázorněny krajské normativy MP bez odvodů.</w:t>
      </w:r>
    </w:p>
    <w:p w14:paraId="1504DBA2" w14:textId="77777777" w:rsidR="00620D61" w:rsidRPr="0001107A" w:rsidRDefault="00620D61" w:rsidP="00620D61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7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bookmarkStart w:id="30" w:name="_Hlk77329995"/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Dětské domovy</w:t>
      </w:r>
      <w:bookmarkEnd w:id="30"/>
    </w:p>
    <w:p w14:paraId="766A8B33" w14:textId="19C38029" w:rsidR="00620D61" w:rsidRDefault="00620D61" w:rsidP="00620D61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Porovnává krajské normativy MP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dětských domovů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  <w:r w:rsidR="00C15334" w:rsidRPr="00C15334">
        <w:rPr>
          <w:rFonts w:asciiTheme="minorHAnsi" w:eastAsia="Times New Roman" w:hAnsiTheme="minorHAnsi"/>
          <w:sz w:val="24"/>
          <w:szCs w:val="24"/>
          <w:lang w:eastAsia="cs-CZ"/>
        </w:rPr>
        <w:t>V grafu jsou znázorněny krajské normativy MP bez odvodů.</w:t>
      </w:r>
    </w:p>
    <w:p w14:paraId="706B09F4" w14:textId="77777777" w:rsidR="00620D61" w:rsidRPr="0001107A" w:rsidRDefault="00620D61" w:rsidP="00620D61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 xml:space="preserve">Příloha č. 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8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Internáty</w:t>
      </w:r>
    </w:p>
    <w:p w14:paraId="5569BB2B" w14:textId="4F5F4EC9" w:rsidR="00620D61" w:rsidRDefault="00620D61" w:rsidP="00620D61">
      <w:pPr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Porovnává krajské normativy MP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internátů – žáků v ZŠ speciálních, v ZŠ samostatně zřízených dle 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>§ 16 odst. 9 šk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olského zákona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pro žáky s 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>těžk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ým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 xml:space="preserve"> zdravot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ním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 xml:space="preserve"> postiž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ením a</w:t>
      </w:r>
      <w:r w:rsidR="00EF66F8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žáků </w:t>
      </w:r>
      <w:r w:rsidRPr="00EE7DD5">
        <w:rPr>
          <w:rFonts w:asciiTheme="minorHAnsi" w:eastAsia="Times New Roman" w:hAnsiTheme="minorHAnsi"/>
          <w:sz w:val="24"/>
          <w:szCs w:val="24"/>
          <w:lang w:eastAsia="cs-CZ"/>
        </w:rPr>
        <w:t>ve škole samostatně zřízené podle § 16 odst. 9 školského zákona pro děti nebo žáky s jiným než těžkým zdravotním postižením</w:t>
      </w:r>
      <w:r w:rsidRPr="00C55995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748CC" w:rsidRPr="007748CC">
        <w:rPr>
          <w:rFonts w:asciiTheme="minorHAnsi" w:eastAsia="Times New Roman" w:hAnsiTheme="minorHAnsi"/>
          <w:sz w:val="24"/>
          <w:szCs w:val="24"/>
          <w:lang w:eastAsia="cs-CZ"/>
        </w:rPr>
        <w:t>V graf</w:t>
      </w:r>
      <w:r w:rsidR="007748CC">
        <w:rPr>
          <w:rFonts w:asciiTheme="minorHAnsi" w:eastAsia="Times New Roman" w:hAnsiTheme="minorHAnsi"/>
          <w:sz w:val="24"/>
          <w:szCs w:val="24"/>
          <w:lang w:eastAsia="cs-CZ"/>
        </w:rPr>
        <w:t>ech</w:t>
      </w:r>
      <w:r w:rsidR="007748CC" w:rsidRPr="007748CC">
        <w:rPr>
          <w:rFonts w:asciiTheme="minorHAnsi" w:eastAsia="Times New Roman" w:hAnsiTheme="minorHAnsi"/>
          <w:sz w:val="24"/>
          <w:szCs w:val="24"/>
          <w:lang w:eastAsia="cs-CZ"/>
        </w:rPr>
        <w:t xml:space="preserve"> jsou znázorněny krajské normativy MP bez odvodů.</w:t>
      </w:r>
    </w:p>
    <w:p w14:paraId="543E3F41" w14:textId="77777777" w:rsidR="00620D61" w:rsidRPr="0001107A" w:rsidRDefault="00620D61" w:rsidP="00620D61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9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5C2B93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bookmarkStart w:id="31" w:name="_Hlk82609675"/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Kursy pro získání základního vzdělání</w:t>
      </w:r>
      <w:bookmarkEnd w:id="31"/>
    </w:p>
    <w:p w14:paraId="730D8A42" w14:textId="0D4914A6" w:rsidR="00620D61" w:rsidRDefault="00620D61" w:rsidP="00620D61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Porovnává krajské normativy MP bez odvodů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 a ONIV </w:t>
      </w:r>
      <w:r w:rsidRPr="0003277D">
        <w:rPr>
          <w:rFonts w:asciiTheme="minorHAnsi" w:eastAsia="Times New Roman" w:hAnsiTheme="minorHAnsi"/>
          <w:sz w:val="24"/>
          <w:szCs w:val="24"/>
          <w:lang w:eastAsia="cs-CZ"/>
        </w:rPr>
        <w:t>kurs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ů</w:t>
      </w:r>
      <w:r w:rsidRPr="0003277D">
        <w:rPr>
          <w:rFonts w:asciiTheme="minorHAnsi" w:eastAsia="Times New Roman" w:hAnsiTheme="minorHAnsi"/>
          <w:sz w:val="24"/>
          <w:szCs w:val="24"/>
          <w:lang w:eastAsia="cs-CZ"/>
        </w:rPr>
        <w:t xml:space="preserve"> pro získání základního vzdělání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32A03A85" w14:textId="77777777" w:rsidR="0040558D" w:rsidRPr="0001107A" w:rsidRDefault="0040558D" w:rsidP="00716322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</w:t>
      </w:r>
      <w:r w:rsidR="009E717E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říloha č. 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10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2B21A9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Stravovaní, vzdělávající se v mateřské škole 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</w:p>
    <w:p w14:paraId="47F1E026" w14:textId="5999E765" w:rsidR="0040558D" w:rsidRPr="0001107A" w:rsidRDefault="0040558D" w:rsidP="00D03383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EC0FBC"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r w:rsidR="00F87034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a ukazatele N</w:t>
      </w:r>
      <w:r w:rsidR="00F87034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="00F87034" w:rsidRPr="0001107A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="00F87034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="008D6ADD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01107A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="008D6ADD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8D6ADD" w:rsidRPr="0001107A">
        <w:rPr>
          <w:rFonts w:asciiTheme="minorHAnsi" w:eastAsia="Times New Roman" w:hAnsiTheme="minorHAnsi"/>
          <w:sz w:val="24"/>
          <w:szCs w:val="24"/>
          <w:lang w:eastAsia="cs-CZ"/>
        </w:rPr>
        <w:t>70 stravovaných</w:t>
      </w:r>
      <w:r w:rsidR="007163C5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(tabulka a graf č. 1), pro</w:t>
      </w:r>
      <w:r w:rsidR="007163C5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01107A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="007163C5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7163C5" w:rsidRPr="0001107A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</w:t>
      </w:r>
      <w:r w:rsidR="00335192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pro</w:t>
      </w:r>
      <w:r w:rsidR="00335192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01107A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="00335192"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="00335192" w:rsidRPr="0001107A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530F7DC" w14:textId="77777777" w:rsidR="00290B46" w:rsidRPr="0001107A" w:rsidRDefault="00290B46" w:rsidP="00290B46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11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>Stravovaní, vzdělávající se v </w:t>
      </w:r>
      <w:r w:rsidR="00464F3F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základní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škole 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</w:p>
    <w:p w14:paraId="62A17588" w14:textId="004F02A9" w:rsidR="00290B46" w:rsidRPr="0001107A" w:rsidRDefault="00290B46" w:rsidP="00290B4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>.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</w:p>
    <w:p w14:paraId="6726CE9A" w14:textId="77777777" w:rsidR="006420E3" w:rsidRPr="0001107A" w:rsidRDefault="006420E3" w:rsidP="006420E3">
      <w:pPr>
        <w:tabs>
          <w:tab w:val="left" w:pos="360"/>
        </w:tabs>
        <w:spacing w:before="36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12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 xml:space="preserve">Stravovaní, vzdělávající se ve střední škole, v konzervatoři a ve vyšší odborné škole 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</w:p>
    <w:p w14:paraId="56D0CEDF" w14:textId="7225AF42" w:rsidR="006420E3" w:rsidRPr="0001107A" w:rsidRDefault="006420E3" w:rsidP="006420E3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239D348E" w14:textId="77777777" w:rsidR="00EB0495" w:rsidRPr="0001107A" w:rsidRDefault="00EB0495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32" w:name="_Hlk77166293"/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13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7504B0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Celodenně stravovaní 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</w:p>
    <w:bookmarkEnd w:id="32"/>
    <w:p w14:paraId="60F5E282" w14:textId="2AC17B14" w:rsidR="00EB0495" w:rsidRPr="0001107A" w:rsidRDefault="00EB0495" w:rsidP="00EB0495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krajské normativy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 a ukazatele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a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o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70 stravovaných (tabulka a graf č. 1),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100 stravovaných (tabulka a graf č. 2),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150 stravovaných (tabulka a graf č. 3),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198 stravovaných (tabulka a graf č. 4) a pro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360 stravovaných (tabulka a graf č. 5)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="00253DCB" w:rsidRPr="0001107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3FF7489" w14:textId="77777777" w:rsidR="001213E6" w:rsidRPr="0001107A" w:rsidRDefault="001213E6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Příloha č. 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14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 w:rsidR="004B188F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Domovy mládeže </w:t>
      </w:r>
      <w:r w:rsidR="002613B7"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středních škol a konzervatoří 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</w:p>
    <w:p w14:paraId="0A268769" w14:textId="5568AAFF" w:rsidR="005E3EE0" w:rsidRPr="0001107A" w:rsidRDefault="005E3EE0" w:rsidP="005E3EE0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MP bez odvodů, </w:t>
      </w:r>
      <w:bookmarkStart w:id="33" w:name="_Hlk77169381"/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</w:t>
      </w:r>
      <w:bookmarkEnd w:id="33"/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, ONIV </w:t>
      </w:r>
      <w:r w:rsidR="007A2F3B" w:rsidRPr="0001107A">
        <w:rPr>
          <w:rFonts w:asciiTheme="minorHAnsi" w:eastAsia="Times New Roman" w:hAnsiTheme="minorHAnsi"/>
          <w:sz w:val="24"/>
          <w:szCs w:val="24"/>
          <w:lang w:eastAsia="cs-CZ"/>
        </w:rPr>
        <w:t>a ukaza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tele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pro </w:t>
      </w:r>
      <w:r w:rsidR="007A2F3B" w:rsidRPr="0001107A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7A2F3B" w:rsidRPr="0001107A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1, tabulka č. 1), </w:t>
      </w:r>
      <w:r w:rsidR="001D1D14" w:rsidRPr="0001107A">
        <w:rPr>
          <w:rFonts w:asciiTheme="minorHAnsi" w:eastAsia="Times New Roman" w:hAnsiTheme="minorHAnsi"/>
          <w:sz w:val="24"/>
          <w:szCs w:val="24"/>
          <w:lang w:eastAsia="cs-CZ"/>
        </w:rPr>
        <w:t>10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0 </w:t>
      </w:r>
      <w:r w:rsidR="001D1D14" w:rsidRPr="0001107A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2, tabulka č. 2) a 1</w:t>
      </w:r>
      <w:r w:rsidR="001D1D14" w:rsidRPr="0001107A">
        <w:rPr>
          <w:rFonts w:asciiTheme="minorHAnsi" w:eastAsia="Times New Roman" w:hAnsiTheme="minorHAnsi"/>
          <w:sz w:val="24"/>
          <w:szCs w:val="24"/>
          <w:lang w:eastAsia="cs-CZ"/>
        </w:rPr>
        <w:t>50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="001D1D14" w:rsidRPr="0001107A">
        <w:rPr>
          <w:rFonts w:asciiTheme="minorHAnsi" w:eastAsia="Times New Roman" w:hAnsiTheme="minorHAnsi"/>
          <w:sz w:val="24"/>
          <w:szCs w:val="24"/>
          <w:lang w:eastAsia="cs-CZ"/>
        </w:rPr>
        <w:t>ubytovaných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(graf č. 3, tabulka č. 3) </w:t>
      </w:r>
      <w:r w:rsidR="001D1D14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a 200 ubytovaných </w:t>
      </w:r>
      <w:r w:rsidR="001A66F1"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(graf č. 4, tabulka č. 4)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. </w:t>
      </w:r>
    </w:p>
    <w:p w14:paraId="5EED2059" w14:textId="77777777" w:rsidR="00512C2B" w:rsidRDefault="00512C2B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bookmarkStart w:id="34" w:name="_Hlk82436490"/>
    </w:p>
    <w:p w14:paraId="0325803E" w14:textId="604F57EE" w:rsidR="00DA27A4" w:rsidRPr="0001107A" w:rsidRDefault="00DA27A4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lastRenderedPageBreak/>
        <w:t>Příloha č. 1</w:t>
      </w:r>
      <w:r w:rsidR="004C3349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5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  <w:t xml:space="preserve">Domovy mládeže vyšších odborných škol – porovnání let </w:t>
      </w:r>
      <w:r w:rsidR="00204E27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2019 až 2021</w:t>
      </w:r>
      <w:bookmarkEnd w:id="34"/>
    </w:p>
    <w:p w14:paraId="50B58DBC" w14:textId="5056DADD" w:rsidR="00BC1317" w:rsidRDefault="00BC1317" w:rsidP="00BC1317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Porovnává MP bez odvodů, </w:t>
      </w:r>
      <w:r w:rsidR="00E01A11" w:rsidRPr="00E01A11">
        <w:rPr>
          <w:rFonts w:asciiTheme="minorHAnsi" w:eastAsia="Times New Roman" w:hAnsiTheme="minorHAnsi"/>
          <w:sz w:val="24"/>
          <w:szCs w:val="24"/>
          <w:lang w:eastAsia="cs-CZ"/>
        </w:rPr>
        <w:t>MP pedagogických pracovníků</w:t>
      </w:r>
      <w:r w:rsidR="00E01A11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bez odvodů, </w:t>
      </w:r>
      <w:r w:rsidR="00632D9A" w:rsidRPr="00632D9A">
        <w:rPr>
          <w:rFonts w:asciiTheme="minorHAnsi" w:eastAsia="Times New Roman" w:hAnsiTheme="minorHAnsi"/>
          <w:sz w:val="24"/>
          <w:szCs w:val="24"/>
          <w:lang w:eastAsia="cs-CZ"/>
        </w:rPr>
        <w:t>MP nepedagogických zaměstnanců</w:t>
      </w:r>
      <w:r w:rsidR="00632D9A" w:rsidRPr="00632D9A" w:rsidDel="00632D9A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bez odvodů, ONIV a ukazatele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p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N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, P</w:t>
      </w:r>
      <w:r w:rsidRPr="0001107A">
        <w:rPr>
          <w:rFonts w:asciiTheme="minorHAnsi" w:eastAsia="Times New Roman" w:hAnsiTheme="minorHAnsi"/>
          <w:sz w:val="24"/>
          <w:szCs w:val="24"/>
          <w:vertAlign w:val="subscript"/>
          <w:lang w:eastAsia="cs-CZ"/>
        </w:rPr>
        <w:t>o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 xml:space="preserve"> pro 50 ubytovaných (graf č. 1, tabulka č. 1), 100 ubytovaných (graf č. 2, tabulka č. 2) a 150 ubytovaných (graf č. 3, tabulka č. 3) a 200 ubytovaných (graf č. 4, tabulka č. 4) v letech </w:t>
      </w:r>
      <w:r w:rsidR="00204E27">
        <w:rPr>
          <w:rFonts w:asciiTheme="minorHAnsi" w:eastAsia="Times New Roman" w:hAnsiTheme="minorHAnsi"/>
          <w:sz w:val="24"/>
          <w:szCs w:val="24"/>
          <w:lang w:eastAsia="cs-CZ"/>
        </w:rPr>
        <w:t>2019 až 2021</w:t>
      </w:r>
      <w:r w:rsidRPr="0001107A"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4E1E8856" w14:textId="755C2DF7" w:rsidR="00127C44" w:rsidRPr="003B128D" w:rsidRDefault="00DD1C3B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Příloha č. 1</w:t>
      </w:r>
      <w:r w:rsidR="00E23B6C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6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:</w:t>
      </w:r>
      <w:r w:rsidRPr="0001107A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ab/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M</w:t>
      </w:r>
      <w:r w:rsidRPr="00DD1C3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eziroční porovnání ukazatelů Pp a Po – porovnání let 20</w:t>
      </w:r>
      <w:r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20</w:t>
      </w:r>
      <w:r w:rsidRPr="00DD1C3B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 xml:space="preserve"> a 2021</w:t>
      </w:r>
    </w:p>
    <w:p w14:paraId="53536B21" w14:textId="1B5D33B3" w:rsidR="00AB4EE3" w:rsidRDefault="00712AC6" w:rsidP="00712AC6">
      <w:pPr>
        <w:tabs>
          <w:tab w:val="left" w:pos="360"/>
        </w:tabs>
        <w:spacing w:before="120"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Porovnává ukazatele průměrné měsíční výše rozpočtovaného platu pro pedagogické</w:t>
      </w:r>
      <w:r w:rsidR="001B7B40">
        <w:rPr>
          <w:rFonts w:asciiTheme="minorHAnsi" w:eastAsia="Times New Roman" w:hAnsiTheme="minorHAnsi"/>
          <w:sz w:val="24"/>
          <w:szCs w:val="24"/>
          <w:lang w:eastAsia="cs-CZ"/>
        </w:rPr>
        <w:t xml:space="preserve"> pracovníky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 xml:space="preserve"> (P</w:t>
      </w:r>
      <w:r w:rsidRPr="00F64D04">
        <w:rPr>
          <w:rFonts w:asciiTheme="minorHAnsi" w:eastAsia="Times New Roman" w:hAnsiTheme="minorHAnsi"/>
          <w:sz w:val="16"/>
          <w:szCs w:val="16"/>
          <w:lang w:eastAsia="cs-CZ"/>
        </w:rPr>
        <w:t>p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) a</w:t>
      </w:r>
      <w:r w:rsidR="00D564D0"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 xml:space="preserve">nepedagogické </w:t>
      </w:r>
      <w:r w:rsidR="001B7B40">
        <w:rPr>
          <w:rFonts w:asciiTheme="minorHAnsi" w:eastAsia="Times New Roman" w:hAnsiTheme="minorHAnsi"/>
          <w:sz w:val="24"/>
          <w:szCs w:val="24"/>
          <w:lang w:eastAsia="cs-CZ"/>
        </w:rPr>
        <w:t xml:space="preserve">zaměstnance 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(P</w:t>
      </w:r>
      <w:r w:rsidRPr="00F64D04">
        <w:rPr>
          <w:rFonts w:asciiTheme="minorHAnsi" w:eastAsia="Times New Roman" w:hAnsiTheme="minorHAnsi"/>
          <w:sz w:val="16"/>
          <w:szCs w:val="16"/>
          <w:lang w:eastAsia="cs-CZ"/>
        </w:rPr>
        <w:t>o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) v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letech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712AC6">
        <w:rPr>
          <w:rFonts w:asciiTheme="minorHAnsi" w:eastAsia="Times New Roman" w:hAnsiTheme="minorHAnsi"/>
          <w:sz w:val="24"/>
          <w:szCs w:val="24"/>
          <w:lang w:eastAsia="cs-CZ"/>
        </w:rPr>
        <w:t>2020 a 2021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.</w:t>
      </w:r>
    </w:p>
    <w:p w14:paraId="516AC3CD" w14:textId="77777777" w:rsidR="00512C2B" w:rsidRDefault="00512C2B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</w:p>
    <w:p w14:paraId="2C6E9EBB" w14:textId="77777777" w:rsidR="00512C2B" w:rsidRDefault="00512C2B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</w:p>
    <w:p w14:paraId="01A629EA" w14:textId="07E662F2" w:rsidR="00AB4EE3" w:rsidRPr="003B128D" w:rsidRDefault="00433608" w:rsidP="003B128D">
      <w:pPr>
        <w:tabs>
          <w:tab w:val="left" w:pos="360"/>
        </w:tabs>
        <w:spacing w:before="300" w:after="0" w:line="240" w:lineRule="auto"/>
        <w:jc w:val="both"/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</w:pPr>
      <w:r w:rsidRPr="003B128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S</w:t>
      </w:r>
      <w:r w:rsidR="00AB4EE3" w:rsidRPr="003B128D">
        <w:rPr>
          <w:rFonts w:asciiTheme="minorHAnsi" w:eastAsia="Times New Roman" w:hAnsiTheme="minorHAnsi"/>
          <w:b/>
          <w:i/>
          <w:sz w:val="24"/>
          <w:szCs w:val="24"/>
          <w:u w:val="single"/>
          <w:lang w:eastAsia="cs-CZ"/>
        </w:rPr>
        <w:t>eznam použitých zkratek</w:t>
      </w:r>
    </w:p>
    <w:p w14:paraId="427D1FAC" w14:textId="0E1522CC" w:rsidR="00CF16AE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MŠMT – Ministerstvo školství, mládeže a tělovýchovy</w:t>
      </w:r>
    </w:p>
    <w:p w14:paraId="18900D81" w14:textId="3127B287" w:rsidR="003354A5" w:rsidRDefault="00301981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bookmarkStart w:id="35" w:name="_Hlk82082322"/>
      <w:r>
        <w:rPr>
          <w:rFonts w:asciiTheme="minorHAnsi" w:eastAsia="Times New Roman" w:hAnsiTheme="minorHAnsi"/>
          <w:sz w:val="24"/>
          <w:szCs w:val="24"/>
          <w:lang w:eastAsia="cs-CZ"/>
        </w:rPr>
        <w:t>krajské úřady</w:t>
      </w:r>
      <w:r w:rsidR="003354A5"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bookmarkEnd w:id="35"/>
      <w:r w:rsidR="003354A5">
        <w:rPr>
          <w:rFonts w:asciiTheme="minorHAnsi" w:eastAsia="Times New Roman" w:hAnsiTheme="minorHAnsi"/>
          <w:sz w:val="24"/>
          <w:szCs w:val="24"/>
          <w:lang w:eastAsia="cs-CZ"/>
        </w:rPr>
        <w:t xml:space="preserve">– krajské úřady a Magistrát </w:t>
      </w:r>
      <w:r w:rsidR="00945BB0">
        <w:rPr>
          <w:rFonts w:asciiTheme="minorHAnsi" w:eastAsia="Times New Roman" w:hAnsiTheme="minorHAnsi"/>
          <w:sz w:val="24"/>
          <w:szCs w:val="24"/>
          <w:lang w:eastAsia="cs-CZ"/>
        </w:rPr>
        <w:t>h</w:t>
      </w:r>
      <w:r w:rsidR="003354A5">
        <w:rPr>
          <w:rFonts w:asciiTheme="minorHAnsi" w:eastAsia="Times New Roman" w:hAnsiTheme="minorHAnsi"/>
          <w:sz w:val="24"/>
          <w:szCs w:val="24"/>
          <w:lang w:eastAsia="cs-CZ"/>
        </w:rPr>
        <w:t>l. m. Prahy</w:t>
      </w:r>
    </w:p>
    <w:p w14:paraId="282786ED" w14:textId="129FA3A9" w:rsidR="00E55203" w:rsidRDefault="00E55203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proofErr w:type="spellStart"/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RgŠ</w:t>
      </w:r>
      <w:proofErr w:type="spellEnd"/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 xml:space="preserve"> ÚSC – Regionální školství územních samosprávných celků</w:t>
      </w:r>
    </w:p>
    <w:p w14:paraId="4906F534" w14:textId="73D65EBB" w:rsidR="00CC3E77" w:rsidRDefault="00CC3E7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vyhláška </w:t>
      </w:r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–</w:t>
      </w: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 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vyhláška č.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310/2018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 </w:t>
      </w:r>
      <w:r w:rsidRPr="00203454">
        <w:rPr>
          <w:rFonts w:asciiTheme="minorHAnsi" w:eastAsia="Times New Roman" w:hAnsiTheme="minorHAnsi"/>
          <w:sz w:val="24"/>
          <w:szCs w:val="24"/>
          <w:lang w:eastAsia="cs-CZ"/>
        </w:rPr>
        <w:t>Sb., o krajských normativech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, ve znění pozdějších předpisů</w:t>
      </w:r>
    </w:p>
    <w:p w14:paraId="76685C4E" w14:textId="1AFDF8A4" w:rsidR="00871EE9" w:rsidRDefault="005F77A5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MPZ – </w:t>
      </w:r>
      <w:r w:rsidR="00DD74D3">
        <w:rPr>
          <w:rFonts w:asciiTheme="minorHAnsi" w:eastAsia="Times New Roman" w:hAnsiTheme="minorHAnsi"/>
          <w:sz w:val="24"/>
          <w:szCs w:val="24"/>
          <w:lang w:eastAsia="cs-CZ"/>
        </w:rPr>
        <w:t>m</w:t>
      </w:r>
      <w:r w:rsidRPr="005F77A5">
        <w:rPr>
          <w:rFonts w:asciiTheme="minorHAnsi" w:eastAsia="Times New Roman" w:hAnsiTheme="minorHAnsi"/>
          <w:sz w:val="24"/>
          <w:szCs w:val="24"/>
          <w:lang w:eastAsia="cs-CZ"/>
        </w:rPr>
        <w:t>inimální personální zabezpečení</w:t>
      </w:r>
    </w:p>
    <w:p w14:paraId="205DDC95" w14:textId="46840B6F" w:rsidR="00CF16AE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MP – mzdové prostředky</w:t>
      </w:r>
    </w:p>
    <w:p w14:paraId="47791BBC" w14:textId="1D1B198F" w:rsidR="00CF16AE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ONIV – ostatní neinvestiční výdaje</w:t>
      </w:r>
    </w:p>
    <w:p w14:paraId="33B03933" w14:textId="464C30F7" w:rsidR="00024B89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MŠ – mateřská škola</w:t>
      </w:r>
    </w:p>
    <w:p w14:paraId="73FF4E2B" w14:textId="58F0C473" w:rsidR="00024B89" w:rsidRPr="00CF16AE" w:rsidRDefault="00024B89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ZŠ – základní škola</w:t>
      </w:r>
    </w:p>
    <w:p w14:paraId="2FB2D85A" w14:textId="7DAD9054" w:rsidR="00CF16AE" w:rsidRDefault="00CF16AE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 w:rsidRPr="00CF16AE">
        <w:rPr>
          <w:rFonts w:asciiTheme="minorHAnsi" w:eastAsia="Times New Roman" w:hAnsiTheme="minorHAnsi"/>
          <w:sz w:val="24"/>
          <w:szCs w:val="24"/>
          <w:lang w:eastAsia="cs-CZ"/>
        </w:rPr>
        <w:t>SŠ – střední škola</w:t>
      </w:r>
    </w:p>
    <w:p w14:paraId="0686E992" w14:textId="2945A0AB" w:rsidR="00F150AB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KON – konzervatoř</w:t>
      </w:r>
    </w:p>
    <w:p w14:paraId="54410B83" w14:textId="0C1CC950" w:rsidR="00F150AB" w:rsidRDefault="00F150AB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VOŠ – vyšší odborná škola</w:t>
      </w:r>
    </w:p>
    <w:p w14:paraId="2125C57C" w14:textId="39F679B8" w:rsidR="00355EC1" w:rsidRDefault="00714227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PPP – </w:t>
      </w:r>
      <w:r w:rsidRPr="00714227">
        <w:rPr>
          <w:rFonts w:asciiTheme="minorHAnsi" w:eastAsia="Times New Roman" w:hAnsiTheme="minorHAnsi"/>
          <w:sz w:val="24"/>
          <w:szCs w:val="24"/>
          <w:lang w:eastAsia="cs-CZ"/>
        </w:rPr>
        <w:t>Pedagogicko-psychologická poradna</w:t>
      </w:r>
    </w:p>
    <w:p w14:paraId="503F42B0" w14:textId="5FF683D6" w:rsidR="005A7D6A" w:rsidRDefault="005075DD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 xml:space="preserve">SPC – </w:t>
      </w:r>
      <w:r w:rsidRPr="002640A5">
        <w:rPr>
          <w:rFonts w:asciiTheme="minorHAnsi" w:eastAsia="Times New Roman" w:hAnsiTheme="minorHAnsi"/>
          <w:sz w:val="24"/>
          <w:szCs w:val="24"/>
          <w:lang w:eastAsia="cs-CZ"/>
        </w:rPr>
        <w:t>speciálně pedagogick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é</w:t>
      </w:r>
      <w:r w:rsidRPr="002640A5">
        <w:rPr>
          <w:rFonts w:asciiTheme="minorHAnsi" w:eastAsia="Times New Roman" w:hAnsiTheme="minorHAnsi"/>
          <w:sz w:val="24"/>
          <w:szCs w:val="24"/>
          <w:lang w:eastAsia="cs-CZ"/>
        </w:rPr>
        <w:t xml:space="preserve"> centr</w:t>
      </w:r>
      <w:r>
        <w:rPr>
          <w:rFonts w:asciiTheme="minorHAnsi" w:eastAsia="Times New Roman" w:hAnsiTheme="minorHAnsi"/>
          <w:sz w:val="24"/>
          <w:szCs w:val="24"/>
          <w:lang w:eastAsia="cs-CZ"/>
        </w:rPr>
        <w:t>um</w:t>
      </w:r>
    </w:p>
    <w:p w14:paraId="2A1D6EEB" w14:textId="16C1A2E8" w:rsidR="00663D7B" w:rsidRDefault="005A7D6A" w:rsidP="00A14A6E">
      <w:pPr>
        <w:tabs>
          <w:tab w:val="left" w:pos="360"/>
        </w:tabs>
        <w:spacing w:after="0" w:line="240" w:lineRule="auto"/>
        <w:jc w:val="both"/>
        <w:rPr>
          <w:rFonts w:asciiTheme="minorHAnsi" w:eastAsia="Times New Roman" w:hAnsi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/>
          <w:sz w:val="24"/>
          <w:szCs w:val="24"/>
          <w:lang w:eastAsia="cs-CZ"/>
        </w:rPr>
        <w:t>SVČ – středisko volného času</w:t>
      </w:r>
    </w:p>
    <w:sectPr w:rsidR="00663D7B" w:rsidSect="00CB632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1418" w:right="1134" w:bottom="1418" w:left="1134" w:header="709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C61CB" w14:textId="77777777" w:rsidR="001553F2" w:rsidRDefault="001553F2" w:rsidP="00C03BAC">
      <w:pPr>
        <w:spacing w:after="0" w:line="240" w:lineRule="auto"/>
      </w:pPr>
      <w:r>
        <w:separator/>
      </w:r>
    </w:p>
  </w:endnote>
  <w:endnote w:type="continuationSeparator" w:id="0">
    <w:p w14:paraId="3051513B" w14:textId="77777777" w:rsidR="001553F2" w:rsidRDefault="001553F2" w:rsidP="00C03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EEEC2" w14:textId="77777777" w:rsidR="001553F2" w:rsidRDefault="001553F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22445737"/>
      <w:docPartObj>
        <w:docPartGallery w:val="Page Numbers (Bottom of Page)"/>
        <w:docPartUnique/>
      </w:docPartObj>
    </w:sdtPr>
    <w:sdtEndPr/>
    <w:sdtContent>
      <w:p w14:paraId="7A89C1D9" w14:textId="77777777" w:rsidR="001553F2" w:rsidRDefault="001553F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11DE9167" w14:textId="77777777" w:rsidR="001553F2" w:rsidRDefault="001553F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5663312"/>
      <w:docPartObj>
        <w:docPartGallery w:val="Page Numbers (Bottom of Page)"/>
        <w:docPartUnique/>
      </w:docPartObj>
    </w:sdtPr>
    <w:sdtEndPr/>
    <w:sdtContent>
      <w:p w14:paraId="2BB9C355" w14:textId="77777777" w:rsidR="001553F2" w:rsidRDefault="001553F2" w:rsidP="00637D8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34A20" w14:textId="77777777" w:rsidR="001553F2" w:rsidRDefault="001553F2" w:rsidP="00C03BAC">
      <w:pPr>
        <w:spacing w:after="0" w:line="240" w:lineRule="auto"/>
      </w:pPr>
      <w:r>
        <w:separator/>
      </w:r>
    </w:p>
  </w:footnote>
  <w:footnote w:type="continuationSeparator" w:id="0">
    <w:p w14:paraId="73F1EADC" w14:textId="77777777" w:rsidR="001553F2" w:rsidRDefault="001553F2" w:rsidP="00C03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EA436" w14:textId="77777777" w:rsidR="001553F2" w:rsidRDefault="001553F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C2271" w14:textId="77777777" w:rsidR="001553F2" w:rsidRPr="00684173" w:rsidRDefault="001553F2" w:rsidP="00CB632A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Theme="minorHAnsi" w:eastAsia="Times New Roman" w:hAnsiTheme="minorHAnsi"/>
        <w:i/>
        <w:color w:val="333333"/>
        <w:sz w:val="20"/>
        <w:szCs w:val="20"/>
        <w:lang w:eastAsia="cs-CZ"/>
      </w:rPr>
    </w:pP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Materiál MŠMT č.j.</w:t>
    </w:r>
    <w:r w:rsidRPr="00684173">
      <w:rPr>
        <w:rFonts w:asciiTheme="minorHAnsi" w:hAnsiTheme="minorHAnsi"/>
      </w:rPr>
      <w:t xml:space="preserve"> </w:t>
    </w:r>
    <w:r w:rsidRPr="00576BAB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MSMT-10158/2021-1</w:t>
    </w:r>
    <w:r w:rsidRPr="00684173"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: Porovnání krajských normativů mzdových prostředků a ostatních neinvestičních výdajů stanovených jednotlivými krajskými úřady pro krajské a obecní školství v roce 20</w:t>
    </w:r>
    <w:r>
      <w:rPr>
        <w:rFonts w:asciiTheme="minorHAnsi" w:eastAsia="Times New Roman" w:hAnsiTheme="minorHAnsi"/>
        <w:i/>
        <w:color w:val="333333"/>
        <w:sz w:val="20"/>
        <w:szCs w:val="20"/>
        <w:lang w:eastAsia="cs-CZ"/>
      </w:rPr>
      <w:t>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C7716" w14:textId="77777777" w:rsidR="001553F2" w:rsidRPr="00A77380" w:rsidRDefault="001553F2" w:rsidP="00E72F5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i/>
        <w:color w:val="333333"/>
        <w:sz w:val="20"/>
        <w:szCs w:val="20"/>
        <w:lang w:eastAsia="cs-CZ"/>
      </w:rPr>
    </w:pP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Materiál MŠMT č.j.</w:t>
    </w:r>
    <w:r w:rsidRPr="00DD5BCB">
      <w:t xml:space="preserve"> </w:t>
    </w:r>
    <w:r w:rsidRPr="00ED4CAD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MSMT-</w:t>
    </w:r>
    <w:r w:rsidRPr="00916944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10449/2015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: Porovnání krajských normativů mzdových prostředků a 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 xml:space="preserve">ostatních neinvestičních výdajů </w:t>
    </w:r>
    <w:r w:rsidRPr="00A77380"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stanovených jednotlivými krajskými úřady pro krajské a obecní školství v roce 201</w:t>
    </w:r>
    <w:r>
      <w:rPr>
        <w:rFonts w:ascii="Times New Roman" w:eastAsia="Times New Roman" w:hAnsi="Times New Roman"/>
        <w:i/>
        <w:color w:val="333333"/>
        <w:sz w:val="20"/>
        <w:szCs w:val="20"/>
        <w:lang w:eastAsia="cs-CZ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CBE"/>
    <w:multiLevelType w:val="hybridMultilevel"/>
    <w:tmpl w:val="1F30D6EA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206E"/>
    <w:multiLevelType w:val="hybridMultilevel"/>
    <w:tmpl w:val="7B20D896"/>
    <w:lvl w:ilvl="0" w:tplc="EE0867D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</w:rPr>
    </w:lvl>
    <w:lvl w:ilvl="1" w:tplc="7B88B73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08D74253"/>
    <w:multiLevelType w:val="hybridMultilevel"/>
    <w:tmpl w:val="426EF1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15576"/>
    <w:multiLevelType w:val="hybridMultilevel"/>
    <w:tmpl w:val="EC283A14"/>
    <w:lvl w:ilvl="0" w:tplc="0544657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19772B3"/>
    <w:multiLevelType w:val="hybridMultilevel"/>
    <w:tmpl w:val="017C387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C905D4"/>
    <w:multiLevelType w:val="hybridMultilevel"/>
    <w:tmpl w:val="8108A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62EF"/>
    <w:multiLevelType w:val="hybridMultilevel"/>
    <w:tmpl w:val="02DAE85C"/>
    <w:lvl w:ilvl="0" w:tplc="A7D4045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47561"/>
    <w:multiLevelType w:val="hybridMultilevel"/>
    <w:tmpl w:val="028C00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82BB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1C0A65EE"/>
    <w:multiLevelType w:val="hybridMultilevel"/>
    <w:tmpl w:val="4278558C"/>
    <w:lvl w:ilvl="0" w:tplc="3594EBD8">
      <w:start w:val="14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CAF"/>
    <w:multiLevelType w:val="hybridMultilevel"/>
    <w:tmpl w:val="9AE486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0556C"/>
    <w:multiLevelType w:val="hybridMultilevel"/>
    <w:tmpl w:val="AF8636C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5D05A10"/>
    <w:multiLevelType w:val="hybridMultilevel"/>
    <w:tmpl w:val="B20866E6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6774E11"/>
    <w:multiLevelType w:val="hybridMultilevel"/>
    <w:tmpl w:val="916C577C"/>
    <w:lvl w:ilvl="0" w:tplc="E22C641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EEF41B3"/>
    <w:multiLevelType w:val="hybridMultilevel"/>
    <w:tmpl w:val="8592C9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10832"/>
    <w:multiLevelType w:val="hybridMultilevel"/>
    <w:tmpl w:val="1624B3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70F16"/>
    <w:multiLevelType w:val="hybridMultilevel"/>
    <w:tmpl w:val="FD7400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80576"/>
    <w:multiLevelType w:val="hybridMultilevel"/>
    <w:tmpl w:val="631EF5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90153"/>
    <w:multiLevelType w:val="hybridMultilevel"/>
    <w:tmpl w:val="0E146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8A56C7"/>
    <w:multiLevelType w:val="hybridMultilevel"/>
    <w:tmpl w:val="BB761ECE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431459"/>
    <w:multiLevelType w:val="hybridMultilevel"/>
    <w:tmpl w:val="110C7346"/>
    <w:lvl w:ilvl="0" w:tplc="A07EAF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7E60595"/>
    <w:multiLevelType w:val="hybridMultilevel"/>
    <w:tmpl w:val="C99E65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62419"/>
    <w:multiLevelType w:val="singleLevel"/>
    <w:tmpl w:val="114ACB84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B3D1F29"/>
    <w:multiLevelType w:val="multilevel"/>
    <w:tmpl w:val="272C0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38B50B2"/>
    <w:multiLevelType w:val="hybridMultilevel"/>
    <w:tmpl w:val="2B6AE284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22343F"/>
    <w:multiLevelType w:val="hybridMultilevel"/>
    <w:tmpl w:val="278A2EB0"/>
    <w:lvl w:ilvl="0" w:tplc="682A82BC">
      <w:start w:val="1"/>
      <w:numFmt w:val="upperRoman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01290E"/>
    <w:multiLevelType w:val="hybridMultilevel"/>
    <w:tmpl w:val="6C6016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D45720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60597BDD"/>
    <w:multiLevelType w:val="singleLevel"/>
    <w:tmpl w:val="2C7E382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691222AB"/>
    <w:multiLevelType w:val="hybridMultilevel"/>
    <w:tmpl w:val="6CC2B0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73E55"/>
    <w:multiLevelType w:val="hybridMultilevel"/>
    <w:tmpl w:val="98C0A5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E3771FC"/>
    <w:multiLevelType w:val="hybridMultilevel"/>
    <w:tmpl w:val="6122EF7C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EFD2EE6"/>
    <w:multiLevelType w:val="singleLevel"/>
    <w:tmpl w:val="C2D2780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33" w15:restartNumberingAfterBreak="0">
    <w:nsid w:val="7BE721DC"/>
    <w:multiLevelType w:val="hybridMultilevel"/>
    <w:tmpl w:val="4C38836A"/>
    <w:lvl w:ilvl="0" w:tplc="AD90F6C0">
      <w:start w:val="1"/>
      <w:numFmt w:val="decimal"/>
      <w:lvlText w:val="%1."/>
      <w:lvlJc w:val="left"/>
      <w:pPr>
        <w:tabs>
          <w:tab w:val="num" w:pos="-720"/>
        </w:tabs>
        <w:ind w:left="272" w:hanging="272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C6901F02">
      <w:start w:val="1"/>
      <w:numFmt w:val="lowerLetter"/>
      <w:lvlText w:val="%3)"/>
      <w:lvlJc w:val="left"/>
      <w:pPr>
        <w:ind w:left="3000" w:hanging="1020"/>
      </w:pPr>
      <w:rPr>
        <w:rFonts w:hint="default"/>
      </w:rPr>
    </w:lvl>
    <w:lvl w:ilvl="3" w:tplc="DEEA73F2">
      <w:numFmt w:val="bullet"/>
      <w:lvlText w:val="–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C0826"/>
    <w:multiLevelType w:val="hybridMultilevel"/>
    <w:tmpl w:val="FD147162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5" w15:restartNumberingAfterBreak="0">
    <w:nsid w:val="7CC144FE"/>
    <w:multiLevelType w:val="hybridMultilevel"/>
    <w:tmpl w:val="8A9C2858"/>
    <w:lvl w:ilvl="0" w:tplc="A9F6C5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2"/>
  </w:num>
  <w:num w:numId="3">
    <w:abstractNumId w:val="26"/>
  </w:num>
  <w:num w:numId="4">
    <w:abstractNumId w:val="31"/>
  </w:num>
  <w:num w:numId="5">
    <w:abstractNumId w:val="11"/>
  </w:num>
  <w:num w:numId="6">
    <w:abstractNumId w:val="28"/>
  </w:num>
  <w:num w:numId="7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22"/>
  </w:num>
  <w:num w:numId="9">
    <w:abstractNumId w:val="32"/>
  </w:num>
  <w:num w:numId="10">
    <w:abstractNumId w:val="27"/>
  </w:num>
  <w:num w:numId="11">
    <w:abstractNumId w:val="2"/>
  </w:num>
  <w:num w:numId="12">
    <w:abstractNumId w:val="30"/>
  </w:num>
  <w:num w:numId="13">
    <w:abstractNumId w:val="3"/>
  </w:num>
  <w:num w:numId="14">
    <w:abstractNumId w:val="8"/>
  </w:num>
  <w:num w:numId="15">
    <w:abstractNumId w:val="15"/>
  </w:num>
  <w:num w:numId="16">
    <w:abstractNumId w:val="6"/>
  </w:num>
  <w:num w:numId="17">
    <w:abstractNumId w:val="35"/>
  </w:num>
  <w:num w:numId="18">
    <w:abstractNumId w:val="1"/>
  </w:num>
  <w:num w:numId="19">
    <w:abstractNumId w:val="9"/>
  </w:num>
  <w:num w:numId="20">
    <w:abstractNumId w:val="20"/>
  </w:num>
  <w:num w:numId="21">
    <w:abstractNumId w:val="17"/>
  </w:num>
  <w:num w:numId="22">
    <w:abstractNumId w:val="10"/>
  </w:num>
  <w:num w:numId="23">
    <w:abstractNumId w:val="24"/>
  </w:num>
  <w:num w:numId="24">
    <w:abstractNumId w:val="33"/>
  </w:num>
  <w:num w:numId="25">
    <w:abstractNumId w:val="19"/>
  </w:num>
  <w:num w:numId="26">
    <w:abstractNumId w:val="0"/>
  </w:num>
  <w:num w:numId="27">
    <w:abstractNumId w:val="4"/>
  </w:num>
  <w:num w:numId="28">
    <w:abstractNumId w:val="5"/>
  </w:num>
  <w:num w:numId="29">
    <w:abstractNumId w:val="21"/>
  </w:num>
  <w:num w:numId="30">
    <w:abstractNumId w:val="14"/>
  </w:num>
  <w:num w:numId="31">
    <w:abstractNumId w:val="29"/>
  </w:num>
  <w:num w:numId="32">
    <w:abstractNumId w:val="16"/>
  </w:num>
  <w:num w:numId="33">
    <w:abstractNumId w:val="34"/>
  </w:num>
  <w:num w:numId="34">
    <w:abstractNumId w:val="13"/>
  </w:num>
  <w:num w:numId="35">
    <w:abstractNumId w:val="25"/>
  </w:num>
  <w:num w:numId="36">
    <w:abstractNumId w:val="18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2D9"/>
    <w:rsid w:val="0000004E"/>
    <w:rsid w:val="0000005E"/>
    <w:rsid w:val="00001030"/>
    <w:rsid w:val="00001BB2"/>
    <w:rsid w:val="000022B3"/>
    <w:rsid w:val="000028DA"/>
    <w:rsid w:val="00003173"/>
    <w:rsid w:val="00003551"/>
    <w:rsid w:val="000036D4"/>
    <w:rsid w:val="0000400A"/>
    <w:rsid w:val="0000410D"/>
    <w:rsid w:val="0000430C"/>
    <w:rsid w:val="00004FE4"/>
    <w:rsid w:val="00005A89"/>
    <w:rsid w:val="00005E89"/>
    <w:rsid w:val="00005F05"/>
    <w:rsid w:val="00006881"/>
    <w:rsid w:val="00007952"/>
    <w:rsid w:val="00007EA8"/>
    <w:rsid w:val="0001107A"/>
    <w:rsid w:val="000118D6"/>
    <w:rsid w:val="000119C7"/>
    <w:rsid w:val="000129B3"/>
    <w:rsid w:val="0001357E"/>
    <w:rsid w:val="00013804"/>
    <w:rsid w:val="00013DAB"/>
    <w:rsid w:val="000143A3"/>
    <w:rsid w:val="00015CA9"/>
    <w:rsid w:val="00016050"/>
    <w:rsid w:val="0001696F"/>
    <w:rsid w:val="000169EB"/>
    <w:rsid w:val="00017162"/>
    <w:rsid w:val="0001768B"/>
    <w:rsid w:val="00020971"/>
    <w:rsid w:val="000216BE"/>
    <w:rsid w:val="00021E97"/>
    <w:rsid w:val="00023898"/>
    <w:rsid w:val="00023EA3"/>
    <w:rsid w:val="00024B89"/>
    <w:rsid w:val="000260CB"/>
    <w:rsid w:val="000274CA"/>
    <w:rsid w:val="00027861"/>
    <w:rsid w:val="00030581"/>
    <w:rsid w:val="0003089A"/>
    <w:rsid w:val="00030E21"/>
    <w:rsid w:val="000318F9"/>
    <w:rsid w:val="0003277D"/>
    <w:rsid w:val="00032BFA"/>
    <w:rsid w:val="00032F45"/>
    <w:rsid w:val="000331FF"/>
    <w:rsid w:val="00033422"/>
    <w:rsid w:val="00033719"/>
    <w:rsid w:val="00035352"/>
    <w:rsid w:val="0003588A"/>
    <w:rsid w:val="00035F17"/>
    <w:rsid w:val="00035FB7"/>
    <w:rsid w:val="00037AFB"/>
    <w:rsid w:val="000412D7"/>
    <w:rsid w:val="00041ACB"/>
    <w:rsid w:val="00041E96"/>
    <w:rsid w:val="00044338"/>
    <w:rsid w:val="00044BF0"/>
    <w:rsid w:val="000451DF"/>
    <w:rsid w:val="00046B7D"/>
    <w:rsid w:val="00047998"/>
    <w:rsid w:val="0005276D"/>
    <w:rsid w:val="00052C2A"/>
    <w:rsid w:val="00053A60"/>
    <w:rsid w:val="00054A0D"/>
    <w:rsid w:val="00054BDC"/>
    <w:rsid w:val="00055743"/>
    <w:rsid w:val="00055BF9"/>
    <w:rsid w:val="00056410"/>
    <w:rsid w:val="000566EA"/>
    <w:rsid w:val="00056824"/>
    <w:rsid w:val="00056E65"/>
    <w:rsid w:val="00056EB9"/>
    <w:rsid w:val="00057440"/>
    <w:rsid w:val="00057680"/>
    <w:rsid w:val="00060511"/>
    <w:rsid w:val="00060D2D"/>
    <w:rsid w:val="000629EF"/>
    <w:rsid w:val="00062A00"/>
    <w:rsid w:val="00063B77"/>
    <w:rsid w:val="0006433E"/>
    <w:rsid w:val="00064D9E"/>
    <w:rsid w:val="00065C33"/>
    <w:rsid w:val="00066692"/>
    <w:rsid w:val="00066860"/>
    <w:rsid w:val="00066DB3"/>
    <w:rsid w:val="0006728A"/>
    <w:rsid w:val="00067474"/>
    <w:rsid w:val="000705D7"/>
    <w:rsid w:val="0007066A"/>
    <w:rsid w:val="00070BB1"/>
    <w:rsid w:val="00070D42"/>
    <w:rsid w:val="0007193D"/>
    <w:rsid w:val="00071F14"/>
    <w:rsid w:val="0007293B"/>
    <w:rsid w:val="000732FF"/>
    <w:rsid w:val="000733AA"/>
    <w:rsid w:val="00073B3C"/>
    <w:rsid w:val="00074064"/>
    <w:rsid w:val="00074FF2"/>
    <w:rsid w:val="00075518"/>
    <w:rsid w:val="00075D4B"/>
    <w:rsid w:val="0007633B"/>
    <w:rsid w:val="00076801"/>
    <w:rsid w:val="000768AD"/>
    <w:rsid w:val="00076FD6"/>
    <w:rsid w:val="000803F3"/>
    <w:rsid w:val="00080677"/>
    <w:rsid w:val="00081D96"/>
    <w:rsid w:val="00081DF8"/>
    <w:rsid w:val="00082679"/>
    <w:rsid w:val="00082AD3"/>
    <w:rsid w:val="00082BF9"/>
    <w:rsid w:val="00082F0F"/>
    <w:rsid w:val="00083866"/>
    <w:rsid w:val="00083BA7"/>
    <w:rsid w:val="00083BE6"/>
    <w:rsid w:val="00084F75"/>
    <w:rsid w:val="00086BEF"/>
    <w:rsid w:val="00086EEC"/>
    <w:rsid w:val="0008773B"/>
    <w:rsid w:val="0009022E"/>
    <w:rsid w:val="00090831"/>
    <w:rsid w:val="000919B5"/>
    <w:rsid w:val="00091B41"/>
    <w:rsid w:val="000924AC"/>
    <w:rsid w:val="000929DF"/>
    <w:rsid w:val="00092AE1"/>
    <w:rsid w:val="00092B43"/>
    <w:rsid w:val="0009359D"/>
    <w:rsid w:val="000935B6"/>
    <w:rsid w:val="000936B8"/>
    <w:rsid w:val="0009378B"/>
    <w:rsid w:val="00093AFE"/>
    <w:rsid w:val="00093EE3"/>
    <w:rsid w:val="0009435E"/>
    <w:rsid w:val="00094C24"/>
    <w:rsid w:val="000950DD"/>
    <w:rsid w:val="00096364"/>
    <w:rsid w:val="000963F6"/>
    <w:rsid w:val="0009678F"/>
    <w:rsid w:val="0009708C"/>
    <w:rsid w:val="000971E2"/>
    <w:rsid w:val="00097523"/>
    <w:rsid w:val="000A049B"/>
    <w:rsid w:val="000A1771"/>
    <w:rsid w:val="000A2207"/>
    <w:rsid w:val="000A22AA"/>
    <w:rsid w:val="000A2E1E"/>
    <w:rsid w:val="000A3200"/>
    <w:rsid w:val="000A321A"/>
    <w:rsid w:val="000A3BEC"/>
    <w:rsid w:val="000A40F6"/>
    <w:rsid w:val="000A558E"/>
    <w:rsid w:val="000A63CC"/>
    <w:rsid w:val="000A6ECD"/>
    <w:rsid w:val="000A7213"/>
    <w:rsid w:val="000A776D"/>
    <w:rsid w:val="000A778A"/>
    <w:rsid w:val="000A786D"/>
    <w:rsid w:val="000B0E0F"/>
    <w:rsid w:val="000B12B8"/>
    <w:rsid w:val="000B1E54"/>
    <w:rsid w:val="000B1ED8"/>
    <w:rsid w:val="000B29BC"/>
    <w:rsid w:val="000B29D5"/>
    <w:rsid w:val="000B3479"/>
    <w:rsid w:val="000B3655"/>
    <w:rsid w:val="000B36F9"/>
    <w:rsid w:val="000B3A8E"/>
    <w:rsid w:val="000B3EB6"/>
    <w:rsid w:val="000B4688"/>
    <w:rsid w:val="000B4DE7"/>
    <w:rsid w:val="000B5318"/>
    <w:rsid w:val="000B5650"/>
    <w:rsid w:val="000B66AE"/>
    <w:rsid w:val="000B6A8E"/>
    <w:rsid w:val="000B6AA7"/>
    <w:rsid w:val="000B7F3F"/>
    <w:rsid w:val="000C0231"/>
    <w:rsid w:val="000C1AB0"/>
    <w:rsid w:val="000C258A"/>
    <w:rsid w:val="000C3F7E"/>
    <w:rsid w:val="000C4324"/>
    <w:rsid w:val="000C49E5"/>
    <w:rsid w:val="000C4BB7"/>
    <w:rsid w:val="000C54F7"/>
    <w:rsid w:val="000C592A"/>
    <w:rsid w:val="000C6156"/>
    <w:rsid w:val="000C6524"/>
    <w:rsid w:val="000C696E"/>
    <w:rsid w:val="000C6C13"/>
    <w:rsid w:val="000C7B66"/>
    <w:rsid w:val="000D1CDE"/>
    <w:rsid w:val="000D2060"/>
    <w:rsid w:val="000D2283"/>
    <w:rsid w:val="000D228E"/>
    <w:rsid w:val="000D22E7"/>
    <w:rsid w:val="000D24AF"/>
    <w:rsid w:val="000D2717"/>
    <w:rsid w:val="000D3108"/>
    <w:rsid w:val="000D3621"/>
    <w:rsid w:val="000D3636"/>
    <w:rsid w:val="000D3D0D"/>
    <w:rsid w:val="000D3E9B"/>
    <w:rsid w:val="000D4384"/>
    <w:rsid w:val="000D4B41"/>
    <w:rsid w:val="000D6023"/>
    <w:rsid w:val="000D665C"/>
    <w:rsid w:val="000D6A71"/>
    <w:rsid w:val="000D708A"/>
    <w:rsid w:val="000D73EA"/>
    <w:rsid w:val="000D7436"/>
    <w:rsid w:val="000D7918"/>
    <w:rsid w:val="000D7E09"/>
    <w:rsid w:val="000E12FF"/>
    <w:rsid w:val="000E16C4"/>
    <w:rsid w:val="000E1C2C"/>
    <w:rsid w:val="000E2304"/>
    <w:rsid w:val="000E2433"/>
    <w:rsid w:val="000E3348"/>
    <w:rsid w:val="000E3577"/>
    <w:rsid w:val="000E35E9"/>
    <w:rsid w:val="000E3780"/>
    <w:rsid w:val="000E38A7"/>
    <w:rsid w:val="000E4497"/>
    <w:rsid w:val="000E4E2D"/>
    <w:rsid w:val="000E5B95"/>
    <w:rsid w:val="000E6142"/>
    <w:rsid w:val="000E67CE"/>
    <w:rsid w:val="000E6AD5"/>
    <w:rsid w:val="000E7536"/>
    <w:rsid w:val="000E7634"/>
    <w:rsid w:val="000F0025"/>
    <w:rsid w:val="000F092A"/>
    <w:rsid w:val="000F0EC5"/>
    <w:rsid w:val="000F11CE"/>
    <w:rsid w:val="000F153F"/>
    <w:rsid w:val="000F1A7D"/>
    <w:rsid w:val="000F1DAC"/>
    <w:rsid w:val="000F25FB"/>
    <w:rsid w:val="000F2A77"/>
    <w:rsid w:val="000F2C97"/>
    <w:rsid w:val="000F3547"/>
    <w:rsid w:val="000F3ED9"/>
    <w:rsid w:val="000F3F6B"/>
    <w:rsid w:val="000F4126"/>
    <w:rsid w:val="000F4181"/>
    <w:rsid w:val="000F426F"/>
    <w:rsid w:val="000F4951"/>
    <w:rsid w:val="000F49A6"/>
    <w:rsid w:val="000F4B85"/>
    <w:rsid w:val="000F5BC2"/>
    <w:rsid w:val="000F5E11"/>
    <w:rsid w:val="000F66E3"/>
    <w:rsid w:val="000F684B"/>
    <w:rsid w:val="000F71A7"/>
    <w:rsid w:val="000F7DD8"/>
    <w:rsid w:val="001002C0"/>
    <w:rsid w:val="00101383"/>
    <w:rsid w:val="0010191D"/>
    <w:rsid w:val="001019A8"/>
    <w:rsid w:val="00101A2C"/>
    <w:rsid w:val="00101D0B"/>
    <w:rsid w:val="00101F47"/>
    <w:rsid w:val="00102036"/>
    <w:rsid w:val="0010293C"/>
    <w:rsid w:val="00102A4F"/>
    <w:rsid w:val="001031CB"/>
    <w:rsid w:val="00103638"/>
    <w:rsid w:val="0010376F"/>
    <w:rsid w:val="00103B6F"/>
    <w:rsid w:val="00104FC9"/>
    <w:rsid w:val="0010555C"/>
    <w:rsid w:val="00105561"/>
    <w:rsid w:val="001056BD"/>
    <w:rsid w:val="00105E78"/>
    <w:rsid w:val="001070BF"/>
    <w:rsid w:val="00107CEB"/>
    <w:rsid w:val="00110079"/>
    <w:rsid w:val="00110EF0"/>
    <w:rsid w:val="00111177"/>
    <w:rsid w:val="00112548"/>
    <w:rsid w:val="001125B2"/>
    <w:rsid w:val="001126F2"/>
    <w:rsid w:val="0011347B"/>
    <w:rsid w:val="00113738"/>
    <w:rsid w:val="00113E22"/>
    <w:rsid w:val="0011460B"/>
    <w:rsid w:val="00114FBF"/>
    <w:rsid w:val="00115099"/>
    <w:rsid w:val="001150E9"/>
    <w:rsid w:val="00115439"/>
    <w:rsid w:val="0011796E"/>
    <w:rsid w:val="00117D5F"/>
    <w:rsid w:val="0012007D"/>
    <w:rsid w:val="00120449"/>
    <w:rsid w:val="00121172"/>
    <w:rsid w:val="001213E6"/>
    <w:rsid w:val="00121BC5"/>
    <w:rsid w:val="00121EA2"/>
    <w:rsid w:val="001244E0"/>
    <w:rsid w:val="00124D33"/>
    <w:rsid w:val="001270DB"/>
    <w:rsid w:val="001275E1"/>
    <w:rsid w:val="00127C44"/>
    <w:rsid w:val="00130F44"/>
    <w:rsid w:val="0013158B"/>
    <w:rsid w:val="0013169B"/>
    <w:rsid w:val="00131909"/>
    <w:rsid w:val="00131B79"/>
    <w:rsid w:val="00132080"/>
    <w:rsid w:val="00132C27"/>
    <w:rsid w:val="00132DC4"/>
    <w:rsid w:val="001330F0"/>
    <w:rsid w:val="00133392"/>
    <w:rsid w:val="00133451"/>
    <w:rsid w:val="00133873"/>
    <w:rsid w:val="00134EFA"/>
    <w:rsid w:val="001357C4"/>
    <w:rsid w:val="00135A8E"/>
    <w:rsid w:val="00135DF2"/>
    <w:rsid w:val="00136048"/>
    <w:rsid w:val="00137046"/>
    <w:rsid w:val="0013713A"/>
    <w:rsid w:val="00137EBF"/>
    <w:rsid w:val="0014039E"/>
    <w:rsid w:val="001406F1"/>
    <w:rsid w:val="001410CA"/>
    <w:rsid w:val="001414DA"/>
    <w:rsid w:val="001425D0"/>
    <w:rsid w:val="001438D0"/>
    <w:rsid w:val="001446D3"/>
    <w:rsid w:val="001446E8"/>
    <w:rsid w:val="00146721"/>
    <w:rsid w:val="001470ED"/>
    <w:rsid w:val="00147313"/>
    <w:rsid w:val="00147573"/>
    <w:rsid w:val="001478FE"/>
    <w:rsid w:val="00147B29"/>
    <w:rsid w:val="001507AE"/>
    <w:rsid w:val="00151297"/>
    <w:rsid w:val="001516AB"/>
    <w:rsid w:val="00151BA2"/>
    <w:rsid w:val="00152134"/>
    <w:rsid w:val="00152895"/>
    <w:rsid w:val="00152CFA"/>
    <w:rsid w:val="00152D25"/>
    <w:rsid w:val="00152D8A"/>
    <w:rsid w:val="00152E58"/>
    <w:rsid w:val="00153071"/>
    <w:rsid w:val="001534C2"/>
    <w:rsid w:val="00153843"/>
    <w:rsid w:val="00154331"/>
    <w:rsid w:val="00154409"/>
    <w:rsid w:val="00154411"/>
    <w:rsid w:val="00154604"/>
    <w:rsid w:val="00154B7D"/>
    <w:rsid w:val="001553F2"/>
    <w:rsid w:val="001558A0"/>
    <w:rsid w:val="00156176"/>
    <w:rsid w:val="00156B7D"/>
    <w:rsid w:val="00160B96"/>
    <w:rsid w:val="0016200A"/>
    <w:rsid w:val="001622BB"/>
    <w:rsid w:val="00162A4B"/>
    <w:rsid w:val="00163ECA"/>
    <w:rsid w:val="00164589"/>
    <w:rsid w:val="00164E9F"/>
    <w:rsid w:val="00164F2C"/>
    <w:rsid w:val="00165516"/>
    <w:rsid w:val="00165607"/>
    <w:rsid w:val="00165B4C"/>
    <w:rsid w:val="00165F6D"/>
    <w:rsid w:val="001667C1"/>
    <w:rsid w:val="00166B6E"/>
    <w:rsid w:val="00166C9B"/>
    <w:rsid w:val="00167075"/>
    <w:rsid w:val="00170202"/>
    <w:rsid w:val="0017114A"/>
    <w:rsid w:val="00172A07"/>
    <w:rsid w:val="00172ADC"/>
    <w:rsid w:val="00172B20"/>
    <w:rsid w:val="00173007"/>
    <w:rsid w:val="00173695"/>
    <w:rsid w:val="001739F6"/>
    <w:rsid w:val="00174A90"/>
    <w:rsid w:val="00175197"/>
    <w:rsid w:val="001757FB"/>
    <w:rsid w:val="0017611B"/>
    <w:rsid w:val="001765A4"/>
    <w:rsid w:val="001765E0"/>
    <w:rsid w:val="001768B7"/>
    <w:rsid w:val="00176CDD"/>
    <w:rsid w:val="00177B34"/>
    <w:rsid w:val="0018024C"/>
    <w:rsid w:val="00180849"/>
    <w:rsid w:val="00180978"/>
    <w:rsid w:val="00180BFE"/>
    <w:rsid w:val="00181124"/>
    <w:rsid w:val="00181820"/>
    <w:rsid w:val="00183ACF"/>
    <w:rsid w:val="00184946"/>
    <w:rsid w:val="00185F72"/>
    <w:rsid w:val="00186867"/>
    <w:rsid w:val="00187947"/>
    <w:rsid w:val="00187E3E"/>
    <w:rsid w:val="001903CB"/>
    <w:rsid w:val="0019193E"/>
    <w:rsid w:val="00191A3C"/>
    <w:rsid w:val="00192241"/>
    <w:rsid w:val="001934EF"/>
    <w:rsid w:val="00193BDC"/>
    <w:rsid w:val="00194822"/>
    <w:rsid w:val="001948A7"/>
    <w:rsid w:val="0019496D"/>
    <w:rsid w:val="0019538A"/>
    <w:rsid w:val="001960B4"/>
    <w:rsid w:val="00196108"/>
    <w:rsid w:val="00196508"/>
    <w:rsid w:val="00196A5B"/>
    <w:rsid w:val="00197189"/>
    <w:rsid w:val="00197A0D"/>
    <w:rsid w:val="00197A46"/>
    <w:rsid w:val="00197C3B"/>
    <w:rsid w:val="001A06A0"/>
    <w:rsid w:val="001A072D"/>
    <w:rsid w:val="001A07D2"/>
    <w:rsid w:val="001A0D02"/>
    <w:rsid w:val="001A1F11"/>
    <w:rsid w:val="001A2448"/>
    <w:rsid w:val="001A24F9"/>
    <w:rsid w:val="001A2646"/>
    <w:rsid w:val="001A2E0A"/>
    <w:rsid w:val="001A32E8"/>
    <w:rsid w:val="001A3F3C"/>
    <w:rsid w:val="001A40E5"/>
    <w:rsid w:val="001A4DF1"/>
    <w:rsid w:val="001A5336"/>
    <w:rsid w:val="001A64CE"/>
    <w:rsid w:val="001A64F3"/>
    <w:rsid w:val="001A653A"/>
    <w:rsid w:val="001A66F1"/>
    <w:rsid w:val="001A6771"/>
    <w:rsid w:val="001A681D"/>
    <w:rsid w:val="001A6AE0"/>
    <w:rsid w:val="001A6CFF"/>
    <w:rsid w:val="001A76E5"/>
    <w:rsid w:val="001A7C37"/>
    <w:rsid w:val="001B001E"/>
    <w:rsid w:val="001B08E0"/>
    <w:rsid w:val="001B10A9"/>
    <w:rsid w:val="001B1104"/>
    <w:rsid w:val="001B152F"/>
    <w:rsid w:val="001B1AD5"/>
    <w:rsid w:val="001B1D59"/>
    <w:rsid w:val="001B1E24"/>
    <w:rsid w:val="001B2A4D"/>
    <w:rsid w:val="001B2B71"/>
    <w:rsid w:val="001B2C3C"/>
    <w:rsid w:val="001B428A"/>
    <w:rsid w:val="001B510F"/>
    <w:rsid w:val="001B5826"/>
    <w:rsid w:val="001B5E9E"/>
    <w:rsid w:val="001B6723"/>
    <w:rsid w:val="001B68E0"/>
    <w:rsid w:val="001B71B2"/>
    <w:rsid w:val="001B7620"/>
    <w:rsid w:val="001B78C3"/>
    <w:rsid w:val="001B7B40"/>
    <w:rsid w:val="001C09CA"/>
    <w:rsid w:val="001C1269"/>
    <w:rsid w:val="001C1D91"/>
    <w:rsid w:val="001C2D04"/>
    <w:rsid w:val="001C322F"/>
    <w:rsid w:val="001C3690"/>
    <w:rsid w:val="001C3698"/>
    <w:rsid w:val="001C3980"/>
    <w:rsid w:val="001C3F76"/>
    <w:rsid w:val="001C40AD"/>
    <w:rsid w:val="001C51F6"/>
    <w:rsid w:val="001C5750"/>
    <w:rsid w:val="001C5D2C"/>
    <w:rsid w:val="001C678A"/>
    <w:rsid w:val="001C73E4"/>
    <w:rsid w:val="001C748B"/>
    <w:rsid w:val="001C74BD"/>
    <w:rsid w:val="001C7B2E"/>
    <w:rsid w:val="001D0374"/>
    <w:rsid w:val="001D05BE"/>
    <w:rsid w:val="001D0855"/>
    <w:rsid w:val="001D0ACE"/>
    <w:rsid w:val="001D117A"/>
    <w:rsid w:val="001D121B"/>
    <w:rsid w:val="001D1D14"/>
    <w:rsid w:val="001D20ED"/>
    <w:rsid w:val="001D2696"/>
    <w:rsid w:val="001D26C1"/>
    <w:rsid w:val="001D356C"/>
    <w:rsid w:val="001D45FD"/>
    <w:rsid w:val="001D484F"/>
    <w:rsid w:val="001D4BDD"/>
    <w:rsid w:val="001D4E54"/>
    <w:rsid w:val="001D4F04"/>
    <w:rsid w:val="001D50E6"/>
    <w:rsid w:val="001D558E"/>
    <w:rsid w:val="001D5857"/>
    <w:rsid w:val="001D5A77"/>
    <w:rsid w:val="001D63D4"/>
    <w:rsid w:val="001D6EE0"/>
    <w:rsid w:val="001D718C"/>
    <w:rsid w:val="001E0284"/>
    <w:rsid w:val="001E0577"/>
    <w:rsid w:val="001E0F62"/>
    <w:rsid w:val="001E1A5D"/>
    <w:rsid w:val="001E1D1A"/>
    <w:rsid w:val="001E2798"/>
    <w:rsid w:val="001E2A76"/>
    <w:rsid w:val="001E490D"/>
    <w:rsid w:val="001E51F9"/>
    <w:rsid w:val="001E5968"/>
    <w:rsid w:val="001E5E3E"/>
    <w:rsid w:val="001E6CCC"/>
    <w:rsid w:val="001E7137"/>
    <w:rsid w:val="001F06D1"/>
    <w:rsid w:val="001F07CC"/>
    <w:rsid w:val="001F20E9"/>
    <w:rsid w:val="001F286C"/>
    <w:rsid w:val="001F2DCA"/>
    <w:rsid w:val="001F394E"/>
    <w:rsid w:val="001F3E08"/>
    <w:rsid w:val="001F412A"/>
    <w:rsid w:val="001F426C"/>
    <w:rsid w:val="001F435B"/>
    <w:rsid w:val="001F4DDC"/>
    <w:rsid w:val="001F5486"/>
    <w:rsid w:val="001F6C82"/>
    <w:rsid w:val="001F73E9"/>
    <w:rsid w:val="001F7984"/>
    <w:rsid w:val="002001F0"/>
    <w:rsid w:val="00201853"/>
    <w:rsid w:val="00201CE4"/>
    <w:rsid w:val="00201F9A"/>
    <w:rsid w:val="002020CF"/>
    <w:rsid w:val="0020230A"/>
    <w:rsid w:val="00202B69"/>
    <w:rsid w:val="00203454"/>
    <w:rsid w:val="00203817"/>
    <w:rsid w:val="00203894"/>
    <w:rsid w:val="00203F7C"/>
    <w:rsid w:val="00204501"/>
    <w:rsid w:val="002045D5"/>
    <w:rsid w:val="00204BEC"/>
    <w:rsid w:val="00204E27"/>
    <w:rsid w:val="00206166"/>
    <w:rsid w:val="00206A5D"/>
    <w:rsid w:val="00207655"/>
    <w:rsid w:val="002076A4"/>
    <w:rsid w:val="002076D1"/>
    <w:rsid w:val="00207AAD"/>
    <w:rsid w:val="00207ED9"/>
    <w:rsid w:val="002105D9"/>
    <w:rsid w:val="00210D76"/>
    <w:rsid w:val="002110DF"/>
    <w:rsid w:val="00211315"/>
    <w:rsid w:val="00211A91"/>
    <w:rsid w:val="00211E7A"/>
    <w:rsid w:val="00212199"/>
    <w:rsid w:val="0021387B"/>
    <w:rsid w:val="00213C23"/>
    <w:rsid w:val="00213E19"/>
    <w:rsid w:val="00213E90"/>
    <w:rsid w:val="00213FFB"/>
    <w:rsid w:val="002145C9"/>
    <w:rsid w:val="00214B97"/>
    <w:rsid w:val="002157FE"/>
    <w:rsid w:val="00215A47"/>
    <w:rsid w:val="00215C36"/>
    <w:rsid w:val="00217D44"/>
    <w:rsid w:val="002207A8"/>
    <w:rsid w:val="002217E5"/>
    <w:rsid w:val="002218AC"/>
    <w:rsid w:val="002225A9"/>
    <w:rsid w:val="002227A7"/>
    <w:rsid w:val="002231E6"/>
    <w:rsid w:val="00223834"/>
    <w:rsid w:val="00223A97"/>
    <w:rsid w:val="00223C11"/>
    <w:rsid w:val="002240F9"/>
    <w:rsid w:val="00224151"/>
    <w:rsid w:val="00224B14"/>
    <w:rsid w:val="002253E2"/>
    <w:rsid w:val="00225707"/>
    <w:rsid w:val="002261A9"/>
    <w:rsid w:val="00227849"/>
    <w:rsid w:val="00227B1B"/>
    <w:rsid w:val="002300EA"/>
    <w:rsid w:val="00230200"/>
    <w:rsid w:val="002309B0"/>
    <w:rsid w:val="00230E05"/>
    <w:rsid w:val="00231DA5"/>
    <w:rsid w:val="0023335E"/>
    <w:rsid w:val="002335D3"/>
    <w:rsid w:val="00233BD6"/>
    <w:rsid w:val="00234E32"/>
    <w:rsid w:val="00235147"/>
    <w:rsid w:val="002356A8"/>
    <w:rsid w:val="00236316"/>
    <w:rsid w:val="00236D08"/>
    <w:rsid w:val="002373AE"/>
    <w:rsid w:val="002373D0"/>
    <w:rsid w:val="00240EC0"/>
    <w:rsid w:val="002410A1"/>
    <w:rsid w:val="00241DC7"/>
    <w:rsid w:val="00242262"/>
    <w:rsid w:val="00242609"/>
    <w:rsid w:val="00244720"/>
    <w:rsid w:val="00244819"/>
    <w:rsid w:val="0024609A"/>
    <w:rsid w:val="0024652A"/>
    <w:rsid w:val="00246A8B"/>
    <w:rsid w:val="002476DB"/>
    <w:rsid w:val="002478B7"/>
    <w:rsid w:val="00247FAE"/>
    <w:rsid w:val="00250300"/>
    <w:rsid w:val="00250A3C"/>
    <w:rsid w:val="00251731"/>
    <w:rsid w:val="00251E6C"/>
    <w:rsid w:val="00252D0F"/>
    <w:rsid w:val="002535CA"/>
    <w:rsid w:val="00253DCB"/>
    <w:rsid w:val="00254068"/>
    <w:rsid w:val="002540F4"/>
    <w:rsid w:val="002545E0"/>
    <w:rsid w:val="00254BB1"/>
    <w:rsid w:val="00256BD0"/>
    <w:rsid w:val="00257E67"/>
    <w:rsid w:val="002606A3"/>
    <w:rsid w:val="00261122"/>
    <w:rsid w:val="0026130B"/>
    <w:rsid w:val="002613B7"/>
    <w:rsid w:val="00261851"/>
    <w:rsid w:val="002640A5"/>
    <w:rsid w:val="002643BE"/>
    <w:rsid w:val="0026489D"/>
    <w:rsid w:val="0026697E"/>
    <w:rsid w:val="00267026"/>
    <w:rsid w:val="00267080"/>
    <w:rsid w:val="002677A1"/>
    <w:rsid w:val="002678B2"/>
    <w:rsid w:val="002701A3"/>
    <w:rsid w:val="00270C3B"/>
    <w:rsid w:val="002716CC"/>
    <w:rsid w:val="00271A2E"/>
    <w:rsid w:val="0027238E"/>
    <w:rsid w:val="002726E5"/>
    <w:rsid w:val="00273FBB"/>
    <w:rsid w:val="002743BF"/>
    <w:rsid w:val="00275376"/>
    <w:rsid w:val="00275B42"/>
    <w:rsid w:val="00275B62"/>
    <w:rsid w:val="002768C8"/>
    <w:rsid w:val="002769CE"/>
    <w:rsid w:val="00277069"/>
    <w:rsid w:val="00277393"/>
    <w:rsid w:val="00277549"/>
    <w:rsid w:val="00277A83"/>
    <w:rsid w:val="00277B13"/>
    <w:rsid w:val="0028079F"/>
    <w:rsid w:val="00280CC2"/>
    <w:rsid w:val="00280DAD"/>
    <w:rsid w:val="002813FF"/>
    <w:rsid w:val="00281A87"/>
    <w:rsid w:val="0028240C"/>
    <w:rsid w:val="002833A4"/>
    <w:rsid w:val="0028357A"/>
    <w:rsid w:val="00284155"/>
    <w:rsid w:val="00286417"/>
    <w:rsid w:val="002874A8"/>
    <w:rsid w:val="0029049F"/>
    <w:rsid w:val="00290B46"/>
    <w:rsid w:val="00291441"/>
    <w:rsid w:val="002917EB"/>
    <w:rsid w:val="00291C26"/>
    <w:rsid w:val="00291D08"/>
    <w:rsid w:val="00293768"/>
    <w:rsid w:val="00293B6C"/>
    <w:rsid w:val="00293BD1"/>
    <w:rsid w:val="00293CC3"/>
    <w:rsid w:val="00294A3E"/>
    <w:rsid w:val="00294E1E"/>
    <w:rsid w:val="00295227"/>
    <w:rsid w:val="002955C1"/>
    <w:rsid w:val="00295E2A"/>
    <w:rsid w:val="00295E37"/>
    <w:rsid w:val="00296967"/>
    <w:rsid w:val="00296E90"/>
    <w:rsid w:val="00297414"/>
    <w:rsid w:val="00297893"/>
    <w:rsid w:val="002A081E"/>
    <w:rsid w:val="002A0BFF"/>
    <w:rsid w:val="002A0E56"/>
    <w:rsid w:val="002A12A0"/>
    <w:rsid w:val="002A1667"/>
    <w:rsid w:val="002A1E66"/>
    <w:rsid w:val="002A2824"/>
    <w:rsid w:val="002A30A9"/>
    <w:rsid w:val="002A37D4"/>
    <w:rsid w:val="002A3875"/>
    <w:rsid w:val="002A3B90"/>
    <w:rsid w:val="002A3FD2"/>
    <w:rsid w:val="002A459B"/>
    <w:rsid w:val="002A49CD"/>
    <w:rsid w:val="002A5A49"/>
    <w:rsid w:val="002A5F22"/>
    <w:rsid w:val="002A5FFF"/>
    <w:rsid w:val="002A61D5"/>
    <w:rsid w:val="002A6A64"/>
    <w:rsid w:val="002A7175"/>
    <w:rsid w:val="002A71F6"/>
    <w:rsid w:val="002A7259"/>
    <w:rsid w:val="002A78F3"/>
    <w:rsid w:val="002A7B37"/>
    <w:rsid w:val="002A7E13"/>
    <w:rsid w:val="002B0113"/>
    <w:rsid w:val="002B03F6"/>
    <w:rsid w:val="002B0746"/>
    <w:rsid w:val="002B08C2"/>
    <w:rsid w:val="002B14B2"/>
    <w:rsid w:val="002B1720"/>
    <w:rsid w:val="002B182C"/>
    <w:rsid w:val="002B1BAB"/>
    <w:rsid w:val="002B21A9"/>
    <w:rsid w:val="002B2226"/>
    <w:rsid w:val="002B2E9B"/>
    <w:rsid w:val="002B5805"/>
    <w:rsid w:val="002B595E"/>
    <w:rsid w:val="002B5BA6"/>
    <w:rsid w:val="002B5C66"/>
    <w:rsid w:val="002B6C0A"/>
    <w:rsid w:val="002B709D"/>
    <w:rsid w:val="002B7325"/>
    <w:rsid w:val="002B7AD7"/>
    <w:rsid w:val="002B7FC5"/>
    <w:rsid w:val="002C041E"/>
    <w:rsid w:val="002C0C69"/>
    <w:rsid w:val="002C1C12"/>
    <w:rsid w:val="002C2363"/>
    <w:rsid w:val="002C25D5"/>
    <w:rsid w:val="002C376D"/>
    <w:rsid w:val="002C4459"/>
    <w:rsid w:val="002C49E3"/>
    <w:rsid w:val="002C4AF3"/>
    <w:rsid w:val="002C5E8C"/>
    <w:rsid w:val="002C63A7"/>
    <w:rsid w:val="002C69A6"/>
    <w:rsid w:val="002C776D"/>
    <w:rsid w:val="002C79CB"/>
    <w:rsid w:val="002C7C8E"/>
    <w:rsid w:val="002D0A81"/>
    <w:rsid w:val="002D0B8A"/>
    <w:rsid w:val="002D109C"/>
    <w:rsid w:val="002D31DC"/>
    <w:rsid w:val="002D343B"/>
    <w:rsid w:val="002D348C"/>
    <w:rsid w:val="002D3596"/>
    <w:rsid w:val="002D3DB7"/>
    <w:rsid w:val="002D4657"/>
    <w:rsid w:val="002D4C8A"/>
    <w:rsid w:val="002D5093"/>
    <w:rsid w:val="002D54D9"/>
    <w:rsid w:val="002D59E5"/>
    <w:rsid w:val="002D5F46"/>
    <w:rsid w:val="002D6F10"/>
    <w:rsid w:val="002D7557"/>
    <w:rsid w:val="002D762C"/>
    <w:rsid w:val="002D7E2C"/>
    <w:rsid w:val="002E0066"/>
    <w:rsid w:val="002E014D"/>
    <w:rsid w:val="002E05BB"/>
    <w:rsid w:val="002E077B"/>
    <w:rsid w:val="002E09C8"/>
    <w:rsid w:val="002E0BC8"/>
    <w:rsid w:val="002E1D85"/>
    <w:rsid w:val="002E4061"/>
    <w:rsid w:val="002E409B"/>
    <w:rsid w:val="002E4217"/>
    <w:rsid w:val="002E440F"/>
    <w:rsid w:val="002E506D"/>
    <w:rsid w:val="002E5EEE"/>
    <w:rsid w:val="002E5F27"/>
    <w:rsid w:val="002E6812"/>
    <w:rsid w:val="002E6DB5"/>
    <w:rsid w:val="002E725C"/>
    <w:rsid w:val="002E75F1"/>
    <w:rsid w:val="002E7AAB"/>
    <w:rsid w:val="002F0A3E"/>
    <w:rsid w:val="002F1220"/>
    <w:rsid w:val="002F1732"/>
    <w:rsid w:val="002F1B44"/>
    <w:rsid w:val="002F1F7D"/>
    <w:rsid w:val="002F214B"/>
    <w:rsid w:val="002F272E"/>
    <w:rsid w:val="002F2F13"/>
    <w:rsid w:val="002F328C"/>
    <w:rsid w:val="002F37B9"/>
    <w:rsid w:val="002F3A9D"/>
    <w:rsid w:val="002F3E9A"/>
    <w:rsid w:val="002F5208"/>
    <w:rsid w:val="002F525C"/>
    <w:rsid w:val="002F5719"/>
    <w:rsid w:val="002F62BE"/>
    <w:rsid w:val="002F7758"/>
    <w:rsid w:val="002F7956"/>
    <w:rsid w:val="00300F5F"/>
    <w:rsid w:val="00301148"/>
    <w:rsid w:val="00301844"/>
    <w:rsid w:val="00301981"/>
    <w:rsid w:val="00301F58"/>
    <w:rsid w:val="00302281"/>
    <w:rsid w:val="00302F04"/>
    <w:rsid w:val="00303671"/>
    <w:rsid w:val="003049BD"/>
    <w:rsid w:val="00306077"/>
    <w:rsid w:val="00307EE2"/>
    <w:rsid w:val="003106C2"/>
    <w:rsid w:val="00310992"/>
    <w:rsid w:val="00310AAE"/>
    <w:rsid w:val="00310CB4"/>
    <w:rsid w:val="00311118"/>
    <w:rsid w:val="00311D28"/>
    <w:rsid w:val="0031209C"/>
    <w:rsid w:val="0031222A"/>
    <w:rsid w:val="00312AEB"/>
    <w:rsid w:val="003134C5"/>
    <w:rsid w:val="0031419E"/>
    <w:rsid w:val="00314538"/>
    <w:rsid w:val="003145AB"/>
    <w:rsid w:val="00314B0D"/>
    <w:rsid w:val="00315AA1"/>
    <w:rsid w:val="00316287"/>
    <w:rsid w:val="00316B5E"/>
    <w:rsid w:val="00316CD0"/>
    <w:rsid w:val="0031708E"/>
    <w:rsid w:val="003170F6"/>
    <w:rsid w:val="003177EC"/>
    <w:rsid w:val="00321292"/>
    <w:rsid w:val="003220DF"/>
    <w:rsid w:val="00322B6D"/>
    <w:rsid w:val="003232C6"/>
    <w:rsid w:val="003236D4"/>
    <w:rsid w:val="00323E27"/>
    <w:rsid w:val="0032419A"/>
    <w:rsid w:val="00324500"/>
    <w:rsid w:val="00324DF8"/>
    <w:rsid w:val="003254C2"/>
    <w:rsid w:val="003256CD"/>
    <w:rsid w:val="00325AE8"/>
    <w:rsid w:val="003261F8"/>
    <w:rsid w:val="003266B9"/>
    <w:rsid w:val="003277C0"/>
    <w:rsid w:val="00327B5D"/>
    <w:rsid w:val="00330625"/>
    <w:rsid w:val="00332D44"/>
    <w:rsid w:val="0033310D"/>
    <w:rsid w:val="00333123"/>
    <w:rsid w:val="003337A0"/>
    <w:rsid w:val="00334BBB"/>
    <w:rsid w:val="00335192"/>
    <w:rsid w:val="003354A5"/>
    <w:rsid w:val="00335926"/>
    <w:rsid w:val="00335FDE"/>
    <w:rsid w:val="003361CB"/>
    <w:rsid w:val="003364D5"/>
    <w:rsid w:val="0033737B"/>
    <w:rsid w:val="00337424"/>
    <w:rsid w:val="00340BD0"/>
    <w:rsid w:val="003417F4"/>
    <w:rsid w:val="00342282"/>
    <w:rsid w:val="00342CC7"/>
    <w:rsid w:val="003433F0"/>
    <w:rsid w:val="00343417"/>
    <w:rsid w:val="00343501"/>
    <w:rsid w:val="003459CC"/>
    <w:rsid w:val="00345F06"/>
    <w:rsid w:val="003465D5"/>
    <w:rsid w:val="003468A6"/>
    <w:rsid w:val="00346FD2"/>
    <w:rsid w:val="00347377"/>
    <w:rsid w:val="0034764B"/>
    <w:rsid w:val="0035018A"/>
    <w:rsid w:val="003508AC"/>
    <w:rsid w:val="003519DD"/>
    <w:rsid w:val="00351F6F"/>
    <w:rsid w:val="00352FA0"/>
    <w:rsid w:val="0035382B"/>
    <w:rsid w:val="00353F36"/>
    <w:rsid w:val="003542A4"/>
    <w:rsid w:val="00354F6C"/>
    <w:rsid w:val="003552E8"/>
    <w:rsid w:val="003552E9"/>
    <w:rsid w:val="0035585D"/>
    <w:rsid w:val="00355EC1"/>
    <w:rsid w:val="00356A20"/>
    <w:rsid w:val="00356F1C"/>
    <w:rsid w:val="00357512"/>
    <w:rsid w:val="003609A4"/>
    <w:rsid w:val="00360DFA"/>
    <w:rsid w:val="003613AF"/>
    <w:rsid w:val="00362682"/>
    <w:rsid w:val="0036316F"/>
    <w:rsid w:val="00363B08"/>
    <w:rsid w:val="00364E14"/>
    <w:rsid w:val="0036582C"/>
    <w:rsid w:val="00365A9B"/>
    <w:rsid w:val="00365C56"/>
    <w:rsid w:val="0036631B"/>
    <w:rsid w:val="00366A6E"/>
    <w:rsid w:val="003677BE"/>
    <w:rsid w:val="00367D2D"/>
    <w:rsid w:val="00367F4E"/>
    <w:rsid w:val="003700D4"/>
    <w:rsid w:val="0037035E"/>
    <w:rsid w:val="0037092C"/>
    <w:rsid w:val="00370D35"/>
    <w:rsid w:val="00371E0B"/>
    <w:rsid w:val="00372049"/>
    <w:rsid w:val="003724B3"/>
    <w:rsid w:val="003747C4"/>
    <w:rsid w:val="00375905"/>
    <w:rsid w:val="00375A9E"/>
    <w:rsid w:val="003761FF"/>
    <w:rsid w:val="003762FB"/>
    <w:rsid w:val="00376A22"/>
    <w:rsid w:val="00376A95"/>
    <w:rsid w:val="00377154"/>
    <w:rsid w:val="00377CA8"/>
    <w:rsid w:val="00380D08"/>
    <w:rsid w:val="00381611"/>
    <w:rsid w:val="003818F4"/>
    <w:rsid w:val="00381D37"/>
    <w:rsid w:val="003820C1"/>
    <w:rsid w:val="00382851"/>
    <w:rsid w:val="00382AFD"/>
    <w:rsid w:val="00382C37"/>
    <w:rsid w:val="003833E1"/>
    <w:rsid w:val="00384088"/>
    <w:rsid w:val="003842F4"/>
    <w:rsid w:val="003849C9"/>
    <w:rsid w:val="00385327"/>
    <w:rsid w:val="00385C28"/>
    <w:rsid w:val="00385ED5"/>
    <w:rsid w:val="00385FBC"/>
    <w:rsid w:val="0038647E"/>
    <w:rsid w:val="003865DC"/>
    <w:rsid w:val="0038682E"/>
    <w:rsid w:val="00386FCA"/>
    <w:rsid w:val="00387511"/>
    <w:rsid w:val="00390170"/>
    <w:rsid w:val="003903E1"/>
    <w:rsid w:val="0039094B"/>
    <w:rsid w:val="00390EBF"/>
    <w:rsid w:val="003913A3"/>
    <w:rsid w:val="003913E0"/>
    <w:rsid w:val="003918DF"/>
    <w:rsid w:val="003919E6"/>
    <w:rsid w:val="00391A44"/>
    <w:rsid w:val="00391DA2"/>
    <w:rsid w:val="00391F9E"/>
    <w:rsid w:val="003920E1"/>
    <w:rsid w:val="00392997"/>
    <w:rsid w:val="003935CA"/>
    <w:rsid w:val="00393DB9"/>
    <w:rsid w:val="003940A7"/>
    <w:rsid w:val="003940B0"/>
    <w:rsid w:val="0039447A"/>
    <w:rsid w:val="00394483"/>
    <w:rsid w:val="00394884"/>
    <w:rsid w:val="00394A7A"/>
    <w:rsid w:val="00394CC7"/>
    <w:rsid w:val="003957EE"/>
    <w:rsid w:val="00395C9E"/>
    <w:rsid w:val="00396924"/>
    <w:rsid w:val="00396DE9"/>
    <w:rsid w:val="003970D9"/>
    <w:rsid w:val="003971B8"/>
    <w:rsid w:val="00397C8E"/>
    <w:rsid w:val="003A0B78"/>
    <w:rsid w:val="003A0B9F"/>
    <w:rsid w:val="003A2C41"/>
    <w:rsid w:val="003A34C7"/>
    <w:rsid w:val="003A3F78"/>
    <w:rsid w:val="003A432B"/>
    <w:rsid w:val="003A457F"/>
    <w:rsid w:val="003A47B4"/>
    <w:rsid w:val="003A4BAC"/>
    <w:rsid w:val="003A4BD3"/>
    <w:rsid w:val="003A4D82"/>
    <w:rsid w:val="003A519B"/>
    <w:rsid w:val="003A5BE4"/>
    <w:rsid w:val="003A671B"/>
    <w:rsid w:val="003A6E8F"/>
    <w:rsid w:val="003A701F"/>
    <w:rsid w:val="003A7091"/>
    <w:rsid w:val="003A7E6F"/>
    <w:rsid w:val="003B04C7"/>
    <w:rsid w:val="003B1168"/>
    <w:rsid w:val="003B128D"/>
    <w:rsid w:val="003B2180"/>
    <w:rsid w:val="003B225C"/>
    <w:rsid w:val="003B28ED"/>
    <w:rsid w:val="003B35CA"/>
    <w:rsid w:val="003B3F13"/>
    <w:rsid w:val="003B445B"/>
    <w:rsid w:val="003B4A14"/>
    <w:rsid w:val="003B538F"/>
    <w:rsid w:val="003B5C6A"/>
    <w:rsid w:val="003B62E1"/>
    <w:rsid w:val="003B6C3E"/>
    <w:rsid w:val="003B730E"/>
    <w:rsid w:val="003B7A71"/>
    <w:rsid w:val="003B7AB4"/>
    <w:rsid w:val="003C0278"/>
    <w:rsid w:val="003C064E"/>
    <w:rsid w:val="003C0C0D"/>
    <w:rsid w:val="003C0C39"/>
    <w:rsid w:val="003C0DE3"/>
    <w:rsid w:val="003C1775"/>
    <w:rsid w:val="003C223C"/>
    <w:rsid w:val="003C2828"/>
    <w:rsid w:val="003C2BD6"/>
    <w:rsid w:val="003C2C97"/>
    <w:rsid w:val="003C2F64"/>
    <w:rsid w:val="003C2F9C"/>
    <w:rsid w:val="003C346B"/>
    <w:rsid w:val="003C38D1"/>
    <w:rsid w:val="003C3A89"/>
    <w:rsid w:val="003C3BB2"/>
    <w:rsid w:val="003C3F66"/>
    <w:rsid w:val="003C4162"/>
    <w:rsid w:val="003C55DA"/>
    <w:rsid w:val="003C5710"/>
    <w:rsid w:val="003C5768"/>
    <w:rsid w:val="003C6599"/>
    <w:rsid w:val="003C65E6"/>
    <w:rsid w:val="003C67B0"/>
    <w:rsid w:val="003C6EDE"/>
    <w:rsid w:val="003C7766"/>
    <w:rsid w:val="003C7A25"/>
    <w:rsid w:val="003C7BE4"/>
    <w:rsid w:val="003C7E6E"/>
    <w:rsid w:val="003D0574"/>
    <w:rsid w:val="003D09D2"/>
    <w:rsid w:val="003D0A6F"/>
    <w:rsid w:val="003D2438"/>
    <w:rsid w:val="003D28B2"/>
    <w:rsid w:val="003D28C0"/>
    <w:rsid w:val="003D2C37"/>
    <w:rsid w:val="003D2E06"/>
    <w:rsid w:val="003D321A"/>
    <w:rsid w:val="003D477C"/>
    <w:rsid w:val="003D47C0"/>
    <w:rsid w:val="003D545F"/>
    <w:rsid w:val="003D763B"/>
    <w:rsid w:val="003D7932"/>
    <w:rsid w:val="003E1154"/>
    <w:rsid w:val="003E1A0C"/>
    <w:rsid w:val="003E1A13"/>
    <w:rsid w:val="003E2145"/>
    <w:rsid w:val="003E318F"/>
    <w:rsid w:val="003E3226"/>
    <w:rsid w:val="003E3334"/>
    <w:rsid w:val="003E3563"/>
    <w:rsid w:val="003E3A8B"/>
    <w:rsid w:val="003E3F31"/>
    <w:rsid w:val="003E44D0"/>
    <w:rsid w:val="003E453C"/>
    <w:rsid w:val="003E5206"/>
    <w:rsid w:val="003E553D"/>
    <w:rsid w:val="003E5707"/>
    <w:rsid w:val="003E5721"/>
    <w:rsid w:val="003E583E"/>
    <w:rsid w:val="003E59F0"/>
    <w:rsid w:val="003F03CA"/>
    <w:rsid w:val="003F04A3"/>
    <w:rsid w:val="003F2D84"/>
    <w:rsid w:val="003F325B"/>
    <w:rsid w:val="003F513F"/>
    <w:rsid w:val="003F57AC"/>
    <w:rsid w:val="003F6B14"/>
    <w:rsid w:val="003F6C62"/>
    <w:rsid w:val="003F7923"/>
    <w:rsid w:val="003F7D61"/>
    <w:rsid w:val="003F7F9B"/>
    <w:rsid w:val="004003D0"/>
    <w:rsid w:val="004003E8"/>
    <w:rsid w:val="00400E34"/>
    <w:rsid w:val="00400E81"/>
    <w:rsid w:val="00401290"/>
    <w:rsid w:val="0040132E"/>
    <w:rsid w:val="00402022"/>
    <w:rsid w:val="0040355B"/>
    <w:rsid w:val="0040381C"/>
    <w:rsid w:val="00403C2C"/>
    <w:rsid w:val="00403E65"/>
    <w:rsid w:val="00403F82"/>
    <w:rsid w:val="0040492A"/>
    <w:rsid w:val="00404974"/>
    <w:rsid w:val="0040553B"/>
    <w:rsid w:val="0040558D"/>
    <w:rsid w:val="00405C5D"/>
    <w:rsid w:val="00406702"/>
    <w:rsid w:val="0040677E"/>
    <w:rsid w:val="00407D16"/>
    <w:rsid w:val="00410234"/>
    <w:rsid w:val="00410306"/>
    <w:rsid w:val="004106E3"/>
    <w:rsid w:val="00411665"/>
    <w:rsid w:val="00411D9B"/>
    <w:rsid w:val="00412B5F"/>
    <w:rsid w:val="00412D51"/>
    <w:rsid w:val="0041306A"/>
    <w:rsid w:val="00413994"/>
    <w:rsid w:val="00413BA5"/>
    <w:rsid w:val="00413D64"/>
    <w:rsid w:val="00413F89"/>
    <w:rsid w:val="00414A45"/>
    <w:rsid w:val="00414E1F"/>
    <w:rsid w:val="00415D78"/>
    <w:rsid w:val="00415F72"/>
    <w:rsid w:val="00416C73"/>
    <w:rsid w:val="0041782C"/>
    <w:rsid w:val="004179E4"/>
    <w:rsid w:val="00417A9C"/>
    <w:rsid w:val="00420F97"/>
    <w:rsid w:val="00421BA4"/>
    <w:rsid w:val="004224BE"/>
    <w:rsid w:val="00422F59"/>
    <w:rsid w:val="004235EB"/>
    <w:rsid w:val="00423AD6"/>
    <w:rsid w:val="00425924"/>
    <w:rsid w:val="004261D4"/>
    <w:rsid w:val="00426450"/>
    <w:rsid w:val="00426C11"/>
    <w:rsid w:val="00426EDD"/>
    <w:rsid w:val="0042740D"/>
    <w:rsid w:val="00427D36"/>
    <w:rsid w:val="004305CA"/>
    <w:rsid w:val="0043087D"/>
    <w:rsid w:val="00430CDA"/>
    <w:rsid w:val="00430EAF"/>
    <w:rsid w:val="00431133"/>
    <w:rsid w:val="00432F3A"/>
    <w:rsid w:val="00433608"/>
    <w:rsid w:val="0043381A"/>
    <w:rsid w:val="00433E84"/>
    <w:rsid w:val="00434C6A"/>
    <w:rsid w:val="00434D0F"/>
    <w:rsid w:val="004356D6"/>
    <w:rsid w:val="00436979"/>
    <w:rsid w:val="00437626"/>
    <w:rsid w:val="004379F9"/>
    <w:rsid w:val="00437CCB"/>
    <w:rsid w:val="0044056B"/>
    <w:rsid w:val="00440FF4"/>
    <w:rsid w:val="0044133E"/>
    <w:rsid w:val="00441C46"/>
    <w:rsid w:val="004424B8"/>
    <w:rsid w:val="004427BC"/>
    <w:rsid w:val="00442815"/>
    <w:rsid w:val="004437B2"/>
    <w:rsid w:val="00443985"/>
    <w:rsid w:val="00443991"/>
    <w:rsid w:val="00444263"/>
    <w:rsid w:val="0044444B"/>
    <w:rsid w:val="00445A93"/>
    <w:rsid w:val="00446B19"/>
    <w:rsid w:val="00446DF7"/>
    <w:rsid w:val="004470D6"/>
    <w:rsid w:val="004476CB"/>
    <w:rsid w:val="0045039D"/>
    <w:rsid w:val="0045071C"/>
    <w:rsid w:val="0045105B"/>
    <w:rsid w:val="004518E0"/>
    <w:rsid w:val="00453719"/>
    <w:rsid w:val="00453737"/>
    <w:rsid w:val="0045530A"/>
    <w:rsid w:val="00455EC0"/>
    <w:rsid w:val="0045622A"/>
    <w:rsid w:val="00457401"/>
    <w:rsid w:val="0045798B"/>
    <w:rsid w:val="00460083"/>
    <w:rsid w:val="0046030C"/>
    <w:rsid w:val="00462BEA"/>
    <w:rsid w:val="00462C4C"/>
    <w:rsid w:val="00463381"/>
    <w:rsid w:val="00464F3F"/>
    <w:rsid w:val="00465409"/>
    <w:rsid w:val="004659B0"/>
    <w:rsid w:val="00465B17"/>
    <w:rsid w:val="00466087"/>
    <w:rsid w:val="00466E9E"/>
    <w:rsid w:val="00470F26"/>
    <w:rsid w:val="004711BF"/>
    <w:rsid w:val="00471D9A"/>
    <w:rsid w:val="00472C3F"/>
    <w:rsid w:val="00473234"/>
    <w:rsid w:val="00473619"/>
    <w:rsid w:val="00474C57"/>
    <w:rsid w:val="004754BF"/>
    <w:rsid w:val="0047635E"/>
    <w:rsid w:val="00477573"/>
    <w:rsid w:val="004778EF"/>
    <w:rsid w:val="00477F46"/>
    <w:rsid w:val="00480CD6"/>
    <w:rsid w:val="00480FEA"/>
    <w:rsid w:val="00482129"/>
    <w:rsid w:val="00482D6A"/>
    <w:rsid w:val="00482F4F"/>
    <w:rsid w:val="004834A1"/>
    <w:rsid w:val="00483892"/>
    <w:rsid w:val="00484316"/>
    <w:rsid w:val="00484394"/>
    <w:rsid w:val="004858C5"/>
    <w:rsid w:val="00485B0A"/>
    <w:rsid w:val="00485C5E"/>
    <w:rsid w:val="004867B7"/>
    <w:rsid w:val="004877FD"/>
    <w:rsid w:val="00487AD1"/>
    <w:rsid w:val="00487B09"/>
    <w:rsid w:val="004902E2"/>
    <w:rsid w:val="00490F64"/>
    <w:rsid w:val="00491E31"/>
    <w:rsid w:val="00492269"/>
    <w:rsid w:val="0049236F"/>
    <w:rsid w:val="0049343D"/>
    <w:rsid w:val="004935BE"/>
    <w:rsid w:val="00494A5B"/>
    <w:rsid w:val="0049547D"/>
    <w:rsid w:val="00495B5A"/>
    <w:rsid w:val="00497668"/>
    <w:rsid w:val="004A0672"/>
    <w:rsid w:val="004A0AF4"/>
    <w:rsid w:val="004A0C94"/>
    <w:rsid w:val="004A1961"/>
    <w:rsid w:val="004A1E3D"/>
    <w:rsid w:val="004A2FFC"/>
    <w:rsid w:val="004A327C"/>
    <w:rsid w:val="004A3749"/>
    <w:rsid w:val="004A4707"/>
    <w:rsid w:val="004A6885"/>
    <w:rsid w:val="004A73A4"/>
    <w:rsid w:val="004A79A6"/>
    <w:rsid w:val="004A7BF3"/>
    <w:rsid w:val="004A7DB3"/>
    <w:rsid w:val="004B012A"/>
    <w:rsid w:val="004B0463"/>
    <w:rsid w:val="004B178A"/>
    <w:rsid w:val="004B188F"/>
    <w:rsid w:val="004B2170"/>
    <w:rsid w:val="004B225D"/>
    <w:rsid w:val="004B2318"/>
    <w:rsid w:val="004B2A2B"/>
    <w:rsid w:val="004B32F5"/>
    <w:rsid w:val="004B3A4B"/>
    <w:rsid w:val="004B3A84"/>
    <w:rsid w:val="004B3B15"/>
    <w:rsid w:val="004B4458"/>
    <w:rsid w:val="004B47AA"/>
    <w:rsid w:val="004B497B"/>
    <w:rsid w:val="004B4B57"/>
    <w:rsid w:val="004B4EFA"/>
    <w:rsid w:val="004B5006"/>
    <w:rsid w:val="004B67A3"/>
    <w:rsid w:val="004B722B"/>
    <w:rsid w:val="004B7E71"/>
    <w:rsid w:val="004C0AD0"/>
    <w:rsid w:val="004C0C8E"/>
    <w:rsid w:val="004C0F95"/>
    <w:rsid w:val="004C0FF3"/>
    <w:rsid w:val="004C153F"/>
    <w:rsid w:val="004C1887"/>
    <w:rsid w:val="004C25A5"/>
    <w:rsid w:val="004C2928"/>
    <w:rsid w:val="004C3349"/>
    <w:rsid w:val="004C433C"/>
    <w:rsid w:val="004C4A9D"/>
    <w:rsid w:val="004C4D37"/>
    <w:rsid w:val="004C531E"/>
    <w:rsid w:val="004C5454"/>
    <w:rsid w:val="004C62BD"/>
    <w:rsid w:val="004C6ADF"/>
    <w:rsid w:val="004C6B97"/>
    <w:rsid w:val="004C7D5C"/>
    <w:rsid w:val="004D0122"/>
    <w:rsid w:val="004D093E"/>
    <w:rsid w:val="004D0A15"/>
    <w:rsid w:val="004D0A3A"/>
    <w:rsid w:val="004D39E6"/>
    <w:rsid w:val="004D3F4C"/>
    <w:rsid w:val="004D5789"/>
    <w:rsid w:val="004D5CB5"/>
    <w:rsid w:val="004D6205"/>
    <w:rsid w:val="004D6AF3"/>
    <w:rsid w:val="004D714E"/>
    <w:rsid w:val="004D76AA"/>
    <w:rsid w:val="004D7806"/>
    <w:rsid w:val="004E038C"/>
    <w:rsid w:val="004E0497"/>
    <w:rsid w:val="004E0B91"/>
    <w:rsid w:val="004E0EAB"/>
    <w:rsid w:val="004E1B74"/>
    <w:rsid w:val="004E1FDA"/>
    <w:rsid w:val="004E21A8"/>
    <w:rsid w:val="004E2818"/>
    <w:rsid w:val="004E2B40"/>
    <w:rsid w:val="004E3B5E"/>
    <w:rsid w:val="004E44AC"/>
    <w:rsid w:val="004E487E"/>
    <w:rsid w:val="004E6593"/>
    <w:rsid w:val="004E66D2"/>
    <w:rsid w:val="004E699C"/>
    <w:rsid w:val="004E7002"/>
    <w:rsid w:val="004E7084"/>
    <w:rsid w:val="004E70C2"/>
    <w:rsid w:val="004E780B"/>
    <w:rsid w:val="004F05BC"/>
    <w:rsid w:val="004F1B5B"/>
    <w:rsid w:val="004F3570"/>
    <w:rsid w:val="004F4411"/>
    <w:rsid w:val="004F52D6"/>
    <w:rsid w:val="004F5497"/>
    <w:rsid w:val="004F54D2"/>
    <w:rsid w:val="004F5E2D"/>
    <w:rsid w:val="004F65EC"/>
    <w:rsid w:val="004F7105"/>
    <w:rsid w:val="004F76F7"/>
    <w:rsid w:val="004F782E"/>
    <w:rsid w:val="004F7BAD"/>
    <w:rsid w:val="00500052"/>
    <w:rsid w:val="0050005A"/>
    <w:rsid w:val="005004BC"/>
    <w:rsid w:val="00500666"/>
    <w:rsid w:val="0050068A"/>
    <w:rsid w:val="00501B86"/>
    <w:rsid w:val="005020F3"/>
    <w:rsid w:val="00502CA8"/>
    <w:rsid w:val="00503552"/>
    <w:rsid w:val="00503BB6"/>
    <w:rsid w:val="00503C65"/>
    <w:rsid w:val="00503CA9"/>
    <w:rsid w:val="00503FB3"/>
    <w:rsid w:val="005040DD"/>
    <w:rsid w:val="005055D6"/>
    <w:rsid w:val="0050573A"/>
    <w:rsid w:val="00505F8A"/>
    <w:rsid w:val="00506007"/>
    <w:rsid w:val="00506A91"/>
    <w:rsid w:val="005075DD"/>
    <w:rsid w:val="00507D6D"/>
    <w:rsid w:val="005119DD"/>
    <w:rsid w:val="00511A34"/>
    <w:rsid w:val="00511B51"/>
    <w:rsid w:val="005121B4"/>
    <w:rsid w:val="00512778"/>
    <w:rsid w:val="00512C2B"/>
    <w:rsid w:val="0051310B"/>
    <w:rsid w:val="0051319A"/>
    <w:rsid w:val="00513478"/>
    <w:rsid w:val="0051387F"/>
    <w:rsid w:val="00513D61"/>
    <w:rsid w:val="00513DCE"/>
    <w:rsid w:val="00515109"/>
    <w:rsid w:val="00515240"/>
    <w:rsid w:val="00515C5E"/>
    <w:rsid w:val="00515CA1"/>
    <w:rsid w:val="00515CE1"/>
    <w:rsid w:val="00515EE0"/>
    <w:rsid w:val="00516922"/>
    <w:rsid w:val="00516C66"/>
    <w:rsid w:val="00516E42"/>
    <w:rsid w:val="00517129"/>
    <w:rsid w:val="00517355"/>
    <w:rsid w:val="005203C1"/>
    <w:rsid w:val="005204FF"/>
    <w:rsid w:val="00521222"/>
    <w:rsid w:val="005215B8"/>
    <w:rsid w:val="0052225F"/>
    <w:rsid w:val="005223F6"/>
    <w:rsid w:val="005228C1"/>
    <w:rsid w:val="005230FC"/>
    <w:rsid w:val="005231F7"/>
    <w:rsid w:val="00523437"/>
    <w:rsid w:val="00523930"/>
    <w:rsid w:val="00523DDF"/>
    <w:rsid w:val="00524302"/>
    <w:rsid w:val="0052563A"/>
    <w:rsid w:val="00525A9A"/>
    <w:rsid w:val="00525B63"/>
    <w:rsid w:val="00525FF0"/>
    <w:rsid w:val="0052720B"/>
    <w:rsid w:val="00527473"/>
    <w:rsid w:val="0052787B"/>
    <w:rsid w:val="00527AB4"/>
    <w:rsid w:val="005301DE"/>
    <w:rsid w:val="00530C6A"/>
    <w:rsid w:val="005311A7"/>
    <w:rsid w:val="005317D8"/>
    <w:rsid w:val="00531893"/>
    <w:rsid w:val="00531CAC"/>
    <w:rsid w:val="00532749"/>
    <w:rsid w:val="00532D6C"/>
    <w:rsid w:val="0053320C"/>
    <w:rsid w:val="00533A28"/>
    <w:rsid w:val="005345AF"/>
    <w:rsid w:val="00534F59"/>
    <w:rsid w:val="00537534"/>
    <w:rsid w:val="005406D6"/>
    <w:rsid w:val="005409DE"/>
    <w:rsid w:val="00540C61"/>
    <w:rsid w:val="00540D57"/>
    <w:rsid w:val="00541266"/>
    <w:rsid w:val="00541282"/>
    <w:rsid w:val="0054227A"/>
    <w:rsid w:val="00543162"/>
    <w:rsid w:val="005434E3"/>
    <w:rsid w:val="00543759"/>
    <w:rsid w:val="005438DF"/>
    <w:rsid w:val="005457D5"/>
    <w:rsid w:val="00545C9B"/>
    <w:rsid w:val="00546D15"/>
    <w:rsid w:val="00546D39"/>
    <w:rsid w:val="00546EA3"/>
    <w:rsid w:val="005508CA"/>
    <w:rsid w:val="00550DD8"/>
    <w:rsid w:val="0055124D"/>
    <w:rsid w:val="00551844"/>
    <w:rsid w:val="00552399"/>
    <w:rsid w:val="00552401"/>
    <w:rsid w:val="00552953"/>
    <w:rsid w:val="00552EFF"/>
    <w:rsid w:val="00552F6D"/>
    <w:rsid w:val="005533B0"/>
    <w:rsid w:val="00553F24"/>
    <w:rsid w:val="005541EF"/>
    <w:rsid w:val="0055430C"/>
    <w:rsid w:val="00554AA5"/>
    <w:rsid w:val="00554CEC"/>
    <w:rsid w:val="00556174"/>
    <w:rsid w:val="0055632C"/>
    <w:rsid w:val="00556DE3"/>
    <w:rsid w:val="00556FC4"/>
    <w:rsid w:val="005574F6"/>
    <w:rsid w:val="0056017D"/>
    <w:rsid w:val="00560483"/>
    <w:rsid w:val="00560CD2"/>
    <w:rsid w:val="00560FDD"/>
    <w:rsid w:val="00563175"/>
    <w:rsid w:val="00563785"/>
    <w:rsid w:val="00564579"/>
    <w:rsid w:val="005647D8"/>
    <w:rsid w:val="005649CF"/>
    <w:rsid w:val="00564C7B"/>
    <w:rsid w:val="005651C2"/>
    <w:rsid w:val="00566536"/>
    <w:rsid w:val="005665A5"/>
    <w:rsid w:val="00566634"/>
    <w:rsid w:val="00566ADD"/>
    <w:rsid w:val="00566F17"/>
    <w:rsid w:val="005670FB"/>
    <w:rsid w:val="0056745A"/>
    <w:rsid w:val="00567ADE"/>
    <w:rsid w:val="005708E0"/>
    <w:rsid w:val="005709D9"/>
    <w:rsid w:val="00570A7F"/>
    <w:rsid w:val="00570B74"/>
    <w:rsid w:val="00572A86"/>
    <w:rsid w:val="00572A8C"/>
    <w:rsid w:val="00574244"/>
    <w:rsid w:val="005755A4"/>
    <w:rsid w:val="00576054"/>
    <w:rsid w:val="0057616A"/>
    <w:rsid w:val="005762FA"/>
    <w:rsid w:val="00576A12"/>
    <w:rsid w:val="00576BAB"/>
    <w:rsid w:val="00576EE9"/>
    <w:rsid w:val="00577318"/>
    <w:rsid w:val="00580019"/>
    <w:rsid w:val="005805EB"/>
    <w:rsid w:val="00580FB8"/>
    <w:rsid w:val="00581BC9"/>
    <w:rsid w:val="0058238B"/>
    <w:rsid w:val="00582F12"/>
    <w:rsid w:val="005831A3"/>
    <w:rsid w:val="005832EC"/>
    <w:rsid w:val="00583647"/>
    <w:rsid w:val="00583941"/>
    <w:rsid w:val="00584CD7"/>
    <w:rsid w:val="00584EE7"/>
    <w:rsid w:val="00585F48"/>
    <w:rsid w:val="0058605D"/>
    <w:rsid w:val="0058647A"/>
    <w:rsid w:val="005870E8"/>
    <w:rsid w:val="00587434"/>
    <w:rsid w:val="00587B8E"/>
    <w:rsid w:val="00590863"/>
    <w:rsid w:val="00590B3B"/>
    <w:rsid w:val="00590DD4"/>
    <w:rsid w:val="005925FD"/>
    <w:rsid w:val="00592675"/>
    <w:rsid w:val="00592ABF"/>
    <w:rsid w:val="0059388D"/>
    <w:rsid w:val="00593B63"/>
    <w:rsid w:val="00594641"/>
    <w:rsid w:val="00594724"/>
    <w:rsid w:val="00595203"/>
    <w:rsid w:val="0059524E"/>
    <w:rsid w:val="00595ECE"/>
    <w:rsid w:val="00596099"/>
    <w:rsid w:val="005966B3"/>
    <w:rsid w:val="0059737D"/>
    <w:rsid w:val="005A03F6"/>
    <w:rsid w:val="005A0C18"/>
    <w:rsid w:val="005A0D10"/>
    <w:rsid w:val="005A0E4A"/>
    <w:rsid w:val="005A1828"/>
    <w:rsid w:val="005A1DA1"/>
    <w:rsid w:val="005A1DB9"/>
    <w:rsid w:val="005A1E05"/>
    <w:rsid w:val="005A2CD2"/>
    <w:rsid w:val="005A2D02"/>
    <w:rsid w:val="005A3435"/>
    <w:rsid w:val="005A3F16"/>
    <w:rsid w:val="005A403E"/>
    <w:rsid w:val="005A49E0"/>
    <w:rsid w:val="005A7143"/>
    <w:rsid w:val="005A7342"/>
    <w:rsid w:val="005A7813"/>
    <w:rsid w:val="005A7D5E"/>
    <w:rsid w:val="005A7D6A"/>
    <w:rsid w:val="005A7DF8"/>
    <w:rsid w:val="005B14E6"/>
    <w:rsid w:val="005B19C5"/>
    <w:rsid w:val="005B1E6A"/>
    <w:rsid w:val="005B2FBA"/>
    <w:rsid w:val="005B40CA"/>
    <w:rsid w:val="005B41B4"/>
    <w:rsid w:val="005B41E6"/>
    <w:rsid w:val="005B4F8E"/>
    <w:rsid w:val="005B5D46"/>
    <w:rsid w:val="005B60E6"/>
    <w:rsid w:val="005B6B92"/>
    <w:rsid w:val="005B7F59"/>
    <w:rsid w:val="005C04D0"/>
    <w:rsid w:val="005C06AA"/>
    <w:rsid w:val="005C0E9B"/>
    <w:rsid w:val="005C17B7"/>
    <w:rsid w:val="005C2B93"/>
    <w:rsid w:val="005C3070"/>
    <w:rsid w:val="005C5A56"/>
    <w:rsid w:val="005C66DA"/>
    <w:rsid w:val="005C6A19"/>
    <w:rsid w:val="005C6A9C"/>
    <w:rsid w:val="005C7D97"/>
    <w:rsid w:val="005C7FC9"/>
    <w:rsid w:val="005D0519"/>
    <w:rsid w:val="005D0C3D"/>
    <w:rsid w:val="005D1741"/>
    <w:rsid w:val="005D40A0"/>
    <w:rsid w:val="005D4B26"/>
    <w:rsid w:val="005D5074"/>
    <w:rsid w:val="005D597F"/>
    <w:rsid w:val="005D5FBE"/>
    <w:rsid w:val="005D6240"/>
    <w:rsid w:val="005D6895"/>
    <w:rsid w:val="005D6A4B"/>
    <w:rsid w:val="005D6E3F"/>
    <w:rsid w:val="005D6ED2"/>
    <w:rsid w:val="005D715C"/>
    <w:rsid w:val="005D7B5A"/>
    <w:rsid w:val="005E0236"/>
    <w:rsid w:val="005E0287"/>
    <w:rsid w:val="005E03E1"/>
    <w:rsid w:val="005E0663"/>
    <w:rsid w:val="005E090D"/>
    <w:rsid w:val="005E1328"/>
    <w:rsid w:val="005E14D6"/>
    <w:rsid w:val="005E18A8"/>
    <w:rsid w:val="005E1981"/>
    <w:rsid w:val="005E2D77"/>
    <w:rsid w:val="005E39F7"/>
    <w:rsid w:val="005E3B49"/>
    <w:rsid w:val="005E3C06"/>
    <w:rsid w:val="005E3EE0"/>
    <w:rsid w:val="005E4014"/>
    <w:rsid w:val="005E4230"/>
    <w:rsid w:val="005E477E"/>
    <w:rsid w:val="005E4E2B"/>
    <w:rsid w:val="005E4F45"/>
    <w:rsid w:val="005E5A32"/>
    <w:rsid w:val="005E5C6C"/>
    <w:rsid w:val="005E6110"/>
    <w:rsid w:val="005E6281"/>
    <w:rsid w:val="005E72B4"/>
    <w:rsid w:val="005F0464"/>
    <w:rsid w:val="005F0604"/>
    <w:rsid w:val="005F07EB"/>
    <w:rsid w:val="005F0887"/>
    <w:rsid w:val="005F0D3F"/>
    <w:rsid w:val="005F117B"/>
    <w:rsid w:val="005F11C6"/>
    <w:rsid w:val="005F15CE"/>
    <w:rsid w:val="005F20D7"/>
    <w:rsid w:val="005F2CB0"/>
    <w:rsid w:val="005F2D18"/>
    <w:rsid w:val="005F2E9B"/>
    <w:rsid w:val="005F3E8D"/>
    <w:rsid w:val="005F431D"/>
    <w:rsid w:val="005F4BAA"/>
    <w:rsid w:val="005F58E6"/>
    <w:rsid w:val="005F633B"/>
    <w:rsid w:val="005F674A"/>
    <w:rsid w:val="005F6AA1"/>
    <w:rsid w:val="005F6BFA"/>
    <w:rsid w:val="005F6D59"/>
    <w:rsid w:val="005F6D64"/>
    <w:rsid w:val="005F764E"/>
    <w:rsid w:val="005F77A5"/>
    <w:rsid w:val="00600D18"/>
    <w:rsid w:val="006010CA"/>
    <w:rsid w:val="00601939"/>
    <w:rsid w:val="006038E8"/>
    <w:rsid w:val="006044C3"/>
    <w:rsid w:val="006047F5"/>
    <w:rsid w:val="00605283"/>
    <w:rsid w:val="00605BF0"/>
    <w:rsid w:val="00605D8D"/>
    <w:rsid w:val="006067F4"/>
    <w:rsid w:val="00606DF8"/>
    <w:rsid w:val="0060747F"/>
    <w:rsid w:val="006077A1"/>
    <w:rsid w:val="00607D79"/>
    <w:rsid w:val="00610443"/>
    <w:rsid w:val="00610A1C"/>
    <w:rsid w:val="00611993"/>
    <w:rsid w:val="006119D1"/>
    <w:rsid w:val="0061307B"/>
    <w:rsid w:val="006136AF"/>
    <w:rsid w:val="00613AB8"/>
    <w:rsid w:val="00613D0B"/>
    <w:rsid w:val="006143A6"/>
    <w:rsid w:val="00614701"/>
    <w:rsid w:val="00614C1D"/>
    <w:rsid w:val="0061553D"/>
    <w:rsid w:val="00616BCF"/>
    <w:rsid w:val="00617026"/>
    <w:rsid w:val="006175E3"/>
    <w:rsid w:val="0061766B"/>
    <w:rsid w:val="006179D1"/>
    <w:rsid w:val="00617CD8"/>
    <w:rsid w:val="00617EE3"/>
    <w:rsid w:val="006206C7"/>
    <w:rsid w:val="00620A1F"/>
    <w:rsid w:val="00620BB5"/>
    <w:rsid w:val="00620D61"/>
    <w:rsid w:val="00620FA6"/>
    <w:rsid w:val="006211C0"/>
    <w:rsid w:val="0062129B"/>
    <w:rsid w:val="0062177C"/>
    <w:rsid w:val="00622694"/>
    <w:rsid w:val="006228A4"/>
    <w:rsid w:val="00622FC7"/>
    <w:rsid w:val="00623194"/>
    <w:rsid w:val="006242A8"/>
    <w:rsid w:val="006243BB"/>
    <w:rsid w:val="00624584"/>
    <w:rsid w:val="00624D29"/>
    <w:rsid w:val="00624F00"/>
    <w:rsid w:val="00625C64"/>
    <w:rsid w:val="00625D68"/>
    <w:rsid w:val="00625E3A"/>
    <w:rsid w:val="00625E71"/>
    <w:rsid w:val="0062629E"/>
    <w:rsid w:val="006266FE"/>
    <w:rsid w:val="00626EBB"/>
    <w:rsid w:val="00630F61"/>
    <w:rsid w:val="00631982"/>
    <w:rsid w:val="00631EAE"/>
    <w:rsid w:val="00631FB3"/>
    <w:rsid w:val="00632D9A"/>
    <w:rsid w:val="00632FF2"/>
    <w:rsid w:val="00633146"/>
    <w:rsid w:val="00633D05"/>
    <w:rsid w:val="00634988"/>
    <w:rsid w:val="00634B1C"/>
    <w:rsid w:val="00634CDA"/>
    <w:rsid w:val="0063528A"/>
    <w:rsid w:val="006361E4"/>
    <w:rsid w:val="00636CF2"/>
    <w:rsid w:val="0063739D"/>
    <w:rsid w:val="0063789C"/>
    <w:rsid w:val="00637D84"/>
    <w:rsid w:val="00640875"/>
    <w:rsid w:val="00640D1A"/>
    <w:rsid w:val="0064169C"/>
    <w:rsid w:val="006420E3"/>
    <w:rsid w:val="00642171"/>
    <w:rsid w:val="0064222F"/>
    <w:rsid w:val="0064292A"/>
    <w:rsid w:val="00643062"/>
    <w:rsid w:val="0064346E"/>
    <w:rsid w:val="00643573"/>
    <w:rsid w:val="00644428"/>
    <w:rsid w:val="00644782"/>
    <w:rsid w:val="00645417"/>
    <w:rsid w:val="00646E1B"/>
    <w:rsid w:val="006478EA"/>
    <w:rsid w:val="00650FFE"/>
    <w:rsid w:val="00651633"/>
    <w:rsid w:val="00651C45"/>
    <w:rsid w:val="0065222C"/>
    <w:rsid w:val="00652622"/>
    <w:rsid w:val="006528BB"/>
    <w:rsid w:val="00652D4F"/>
    <w:rsid w:val="00652E72"/>
    <w:rsid w:val="00652FC4"/>
    <w:rsid w:val="0065305E"/>
    <w:rsid w:val="006535E7"/>
    <w:rsid w:val="0065389F"/>
    <w:rsid w:val="006551A8"/>
    <w:rsid w:val="00655A08"/>
    <w:rsid w:val="006578CE"/>
    <w:rsid w:val="006605B4"/>
    <w:rsid w:val="00661469"/>
    <w:rsid w:val="006616A2"/>
    <w:rsid w:val="00662F1E"/>
    <w:rsid w:val="006638D6"/>
    <w:rsid w:val="00663D7B"/>
    <w:rsid w:val="00663E54"/>
    <w:rsid w:val="00663F62"/>
    <w:rsid w:val="00664770"/>
    <w:rsid w:val="00664853"/>
    <w:rsid w:val="00665430"/>
    <w:rsid w:val="00665C57"/>
    <w:rsid w:val="00666C58"/>
    <w:rsid w:val="00667AA8"/>
    <w:rsid w:val="00667E11"/>
    <w:rsid w:val="00667F61"/>
    <w:rsid w:val="006701D9"/>
    <w:rsid w:val="00670868"/>
    <w:rsid w:val="00670888"/>
    <w:rsid w:val="006719EB"/>
    <w:rsid w:val="00671FFA"/>
    <w:rsid w:val="00673144"/>
    <w:rsid w:val="00673580"/>
    <w:rsid w:val="00675136"/>
    <w:rsid w:val="006752CA"/>
    <w:rsid w:val="006758D3"/>
    <w:rsid w:val="0067638A"/>
    <w:rsid w:val="00677743"/>
    <w:rsid w:val="00677DAB"/>
    <w:rsid w:val="00680D22"/>
    <w:rsid w:val="0068160C"/>
    <w:rsid w:val="00682020"/>
    <w:rsid w:val="00682706"/>
    <w:rsid w:val="00682B43"/>
    <w:rsid w:val="00683401"/>
    <w:rsid w:val="00683D61"/>
    <w:rsid w:val="00684173"/>
    <w:rsid w:val="0068418C"/>
    <w:rsid w:val="0068591A"/>
    <w:rsid w:val="00686854"/>
    <w:rsid w:val="00686884"/>
    <w:rsid w:val="0068708D"/>
    <w:rsid w:val="00687B40"/>
    <w:rsid w:val="006914B7"/>
    <w:rsid w:val="006915A6"/>
    <w:rsid w:val="0069210E"/>
    <w:rsid w:val="00692F14"/>
    <w:rsid w:val="006930E9"/>
    <w:rsid w:val="00693317"/>
    <w:rsid w:val="00693BD9"/>
    <w:rsid w:val="00693C59"/>
    <w:rsid w:val="0069623E"/>
    <w:rsid w:val="00696893"/>
    <w:rsid w:val="00696AB2"/>
    <w:rsid w:val="00697153"/>
    <w:rsid w:val="00697797"/>
    <w:rsid w:val="00697F8A"/>
    <w:rsid w:val="006A00D3"/>
    <w:rsid w:val="006A0E38"/>
    <w:rsid w:val="006A0F3A"/>
    <w:rsid w:val="006A156C"/>
    <w:rsid w:val="006A16B4"/>
    <w:rsid w:val="006A19B5"/>
    <w:rsid w:val="006A1B57"/>
    <w:rsid w:val="006A1C06"/>
    <w:rsid w:val="006A233E"/>
    <w:rsid w:val="006A2DA8"/>
    <w:rsid w:val="006A33AF"/>
    <w:rsid w:val="006A3AC2"/>
    <w:rsid w:val="006A52D6"/>
    <w:rsid w:val="006A5711"/>
    <w:rsid w:val="006A6CA6"/>
    <w:rsid w:val="006A7325"/>
    <w:rsid w:val="006A74B8"/>
    <w:rsid w:val="006A7877"/>
    <w:rsid w:val="006A7D60"/>
    <w:rsid w:val="006B05AB"/>
    <w:rsid w:val="006B11FE"/>
    <w:rsid w:val="006B1868"/>
    <w:rsid w:val="006B2162"/>
    <w:rsid w:val="006B2327"/>
    <w:rsid w:val="006B2437"/>
    <w:rsid w:val="006B2B20"/>
    <w:rsid w:val="006B2EBD"/>
    <w:rsid w:val="006B335F"/>
    <w:rsid w:val="006B36DD"/>
    <w:rsid w:val="006B39B7"/>
    <w:rsid w:val="006B3A45"/>
    <w:rsid w:val="006B3BB7"/>
    <w:rsid w:val="006B44EF"/>
    <w:rsid w:val="006B5665"/>
    <w:rsid w:val="006B5E4D"/>
    <w:rsid w:val="006B6E0E"/>
    <w:rsid w:val="006B7309"/>
    <w:rsid w:val="006B73E7"/>
    <w:rsid w:val="006B798F"/>
    <w:rsid w:val="006B7AB4"/>
    <w:rsid w:val="006C2541"/>
    <w:rsid w:val="006C2731"/>
    <w:rsid w:val="006C34D4"/>
    <w:rsid w:val="006C38A8"/>
    <w:rsid w:val="006C4302"/>
    <w:rsid w:val="006C4976"/>
    <w:rsid w:val="006C4E23"/>
    <w:rsid w:val="006C55C7"/>
    <w:rsid w:val="006C55E1"/>
    <w:rsid w:val="006C55F7"/>
    <w:rsid w:val="006C60DA"/>
    <w:rsid w:val="006C69D8"/>
    <w:rsid w:val="006C78A4"/>
    <w:rsid w:val="006D02BF"/>
    <w:rsid w:val="006D0309"/>
    <w:rsid w:val="006D0B0A"/>
    <w:rsid w:val="006D0CA9"/>
    <w:rsid w:val="006D1540"/>
    <w:rsid w:val="006D1A1D"/>
    <w:rsid w:val="006D1EC0"/>
    <w:rsid w:val="006D2847"/>
    <w:rsid w:val="006D3134"/>
    <w:rsid w:val="006D53A0"/>
    <w:rsid w:val="006D6CFE"/>
    <w:rsid w:val="006D6FB8"/>
    <w:rsid w:val="006D7308"/>
    <w:rsid w:val="006D796B"/>
    <w:rsid w:val="006D7C36"/>
    <w:rsid w:val="006E00B1"/>
    <w:rsid w:val="006E01EF"/>
    <w:rsid w:val="006E19F4"/>
    <w:rsid w:val="006E1F6F"/>
    <w:rsid w:val="006E3482"/>
    <w:rsid w:val="006E34DE"/>
    <w:rsid w:val="006E3500"/>
    <w:rsid w:val="006E3AA8"/>
    <w:rsid w:val="006E3AF3"/>
    <w:rsid w:val="006E462D"/>
    <w:rsid w:val="006E4647"/>
    <w:rsid w:val="006E49D5"/>
    <w:rsid w:val="006E4C0C"/>
    <w:rsid w:val="006E5DC2"/>
    <w:rsid w:val="006E5E8C"/>
    <w:rsid w:val="006E67CB"/>
    <w:rsid w:val="006E72DC"/>
    <w:rsid w:val="006E77C3"/>
    <w:rsid w:val="006E77D5"/>
    <w:rsid w:val="006F0003"/>
    <w:rsid w:val="006F0857"/>
    <w:rsid w:val="006F0DC5"/>
    <w:rsid w:val="006F10F5"/>
    <w:rsid w:val="006F14F1"/>
    <w:rsid w:val="006F2049"/>
    <w:rsid w:val="006F2941"/>
    <w:rsid w:val="006F34AA"/>
    <w:rsid w:val="006F359F"/>
    <w:rsid w:val="006F494D"/>
    <w:rsid w:val="006F49EF"/>
    <w:rsid w:val="006F4DEA"/>
    <w:rsid w:val="006F4EB6"/>
    <w:rsid w:val="006F555A"/>
    <w:rsid w:val="006F560D"/>
    <w:rsid w:val="006F5CAB"/>
    <w:rsid w:val="006F5E72"/>
    <w:rsid w:val="006F615D"/>
    <w:rsid w:val="006F61F2"/>
    <w:rsid w:val="006F62A4"/>
    <w:rsid w:val="006F6D0C"/>
    <w:rsid w:val="006F70B9"/>
    <w:rsid w:val="007007DE"/>
    <w:rsid w:val="00701548"/>
    <w:rsid w:val="00701929"/>
    <w:rsid w:val="00702037"/>
    <w:rsid w:val="0070204D"/>
    <w:rsid w:val="0070250D"/>
    <w:rsid w:val="00702B27"/>
    <w:rsid w:val="0070331E"/>
    <w:rsid w:val="00703A8B"/>
    <w:rsid w:val="00703B5B"/>
    <w:rsid w:val="00703D12"/>
    <w:rsid w:val="00703E9E"/>
    <w:rsid w:val="007044F5"/>
    <w:rsid w:val="00704DDC"/>
    <w:rsid w:val="00704FC0"/>
    <w:rsid w:val="00705548"/>
    <w:rsid w:val="007058FF"/>
    <w:rsid w:val="007059D5"/>
    <w:rsid w:val="007062EE"/>
    <w:rsid w:val="00706540"/>
    <w:rsid w:val="00706736"/>
    <w:rsid w:val="007072EF"/>
    <w:rsid w:val="007104FD"/>
    <w:rsid w:val="00710787"/>
    <w:rsid w:val="007107AC"/>
    <w:rsid w:val="00710D71"/>
    <w:rsid w:val="00711A12"/>
    <w:rsid w:val="0071201A"/>
    <w:rsid w:val="007120A0"/>
    <w:rsid w:val="00712858"/>
    <w:rsid w:val="0071291F"/>
    <w:rsid w:val="00712AC6"/>
    <w:rsid w:val="00714227"/>
    <w:rsid w:val="00714528"/>
    <w:rsid w:val="0071497B"/>
    <w:rsid w:val="00714F28"/>
    <w:rsid w:val="00716322"/>
    <w:rsid w:val="007163C5"/>
    <w:rsid w:val="00716770"/>
    <w:rsid w:val="007174AE"/>
    <w:rsid w:val="007206B9"/>
    <w:rsid w:val="00720854"/>
    <w:rsid w:val="00720D9B"/>
    <w:rsid w:val="007219CD"/>
    <w:rsid w:val="00722B42"/>
    <w:rsid w:val="00723420"/>
    <w:rsid w:val="00725386"/>
    <w:rsid w:val="0072674A"/>
    <w:rsid w:val="0072676C"/>
    <w:rsid w:val="0072683C"/>
    <w:rsid w:val="007273B0"/>
    <w:rsid w:val="007276B0"/>
    <w:rsid w:val="00727D84"/>
    <w:rsid w:val="00727F5D"/>
    <w:rsid w:val="0073024D"/>
    <w:rsid w:val="007313C2"/>
    <w:rsid w:val="0073178F"/>
    <w:rsid w:val="007318D6"/>
    <w:rsid w:val="007320A2"/>
    <w:rsid w:val="007325E9"/>
    <w:rsid w:val="0073400A"/>
    <w:rsid w:val="007344E8"/>
    <w:rsid w:val="00734DA5"/>
    <w:rsid w:val="00735004"/>
    <w:rsid w:val="00735030"/>
    <w:rsid w:val="007352DF"/>
    <w:rsid w:val="007352F4"/>
    <w:rsid w:val="00735972"/>
    <w:rsid w:val="00737148"/>
    <w:rsid w:val="00737AEA"/>
    <w:rsid w:val="007403C6"/>
    <w:rsid w:val="00740DB0"/>
    <w:rsid w:val="00741705"/>
    <w:rsid w:val="007419A2"/>
    <w:rsid w:val="00741FB8"/>
    <w:rsid w:val="007423AF"/>
    <w:rsid w:val="00743042"/>
    <w:rsid w:val="00743C8A"/>
    <w:rsid w:val="00743FD6"/>
    <w:rsid w:val="0074499B"/>
    <w:rsid w:val="00744A6C"/>
    <w:rsid w:val="00745962"/>
    <w:rsid w:val="00745B01"/>
    <w:rsid w:val="00745FD3"/>
    <w:rsid w:val="00746D60"/>
    <w:rsid w:val="00747FDA"/>
    <w:rsid w:val="007504B0"/>
    <w:rsid w:val="00750547"/>
    <w:rsid w:val="007506E0"/>
    <w:rsid w:val="00750949"/>
    <w:rsid w:val="007511FB"/>
    <w:rsid w:val="00751713"/>
    <w:rsid w:val="00752003"/>
    <w:rsid w:val="0075282E"/>
    <w:rsid w:val="007528DE"/>
    <w:rsid w:val="00752C4B"/>
    <w:rsid w:val="00752EA4"/>
    <w:rsid w:val="007542A1"/>
    <w:rsid w:val="007552AA"/>
    <w:rsid w:val="007562A1"/>
    <w:rsid w:val="00756C87"/>
    <w:rsid w:val="00757583"/>
    <w:rsid w:val="00757859"/>
    <w:rsid w:val="007578CE"/>
    <w:rsid w:val="00757EF9"/>
    <w:rsid w:val="00761AC0"/>
    <w:rsid w:val="00761C65"/>
    <w:rsid w:val="00762169"/>
    <w:rsid w:val="00762668"/>
    <w:rsid w:val="00762803"/>
    <w:rsid w:val="007637A8"/>
    <w:rsid w:val="00763DC1"/>
    <w:rsid w:val="007640AE"/>
    <w:rsid w:val="00764126"/>
    <w:rsid w:val="0076489A"/>
    <w:rsid w:val="0076532C"/>
    <w:rsid w:val="007653DC"/>
    <w:rsid w:val="00766416"/>
    <w:rsid w:val="00766B56"/>
    <w:rsid w:val="0076704A"/>
    <w:rsid w:val="007676AB"/>
    <w:rsid w:val="00772332"/>
    <w:rsid w:val="00772AE7"/>
    <w:rsid w:val="00773429"/>
    <w:rsid w:val="007748CC"/>
    <w:rsid w:val="00774D89"/>
    <w:rsid w:val="00775063"/>
    <w:rsid w:val="00775196"/>
    <w:rsid w:val="00775771"/>
    <w:rsid w:val="00775E2E"/>
    <w:rsid w:val="0077684B"/>
    <w:rsid w:val="007804DC"/>
    <w:rsid w:val="00780846"/>
    <w:rsid w:val="00780D9C"/>
    <w:rsid w:val="00781898"/>
    <w:rsid w:val="00781BBF"/>
    <w:rsid w:val="007822DF"/>
    <w:rsid w:val="007822E6"/>
    <w:rsid w:val="00783BC1"/>
    <w:rsid w:val="00784454"/>
    <w:rsid w:val="007846D0"/>
    <w:rsid w:val="00785224"/>
    <w:rsid w:val="0078558A"/>
    <w:rsid w:val="00785F6F"/>
    <w:rsid w:val="00786610"/>
    <w:rsid w:val="00787517"/>
    <w:rsid w:val="00790B45"/>
    <w:rsid w:val="00790E97"/>
    <w:rsid w:val="00791BD6"/>
    <w:rsid w:val="00792385"/>
    <w:rsid w:val="007924CF"/>
    <w:rsid w:val="007925AB"/>
    <w:rsid w:val="0079274D"/>
    <w:rsid w:val="0079279C"/>
    <w:rsid w:val="007929B3"/>
    <w:rsid w:val="00793121"/>
    <w:rsid w:val="00793412"/>
    <w:rsid w:val="0079382E"/>
    <w:rsid w:val="007944B8"/>
    <w:rsid w:val="00794F9E"/>
    <w:rsid w:val="00795276"/>
    <w:rsid w:val="00795477"/>
    <w:rsid w:val="00795BD8"/>
    <w:rsid w:val="00795C6D"/>
    <w:rsid w:val="00796246"/>
    <w:rsid w:val="00796D0F"/>
    <w:rsid w:val="007A0008"/>
    <w:rsid w:val="007A0162"/>
    <w:rsid w:val="007A1C34"/>
    <w:rsid w:val="007A2440"/>
    <w:rsid w:val="007A2E06"/>
    <w:rsid w:val="007A2F3B"/>
    <w:rsid w:val="007A3241"/>
    <w:rsid w:val="007A33A6"/>
    <w:rsid w:val="007A340C"/>
    <w:rsid w:val="007A551A"/>
    <w:rsid w:val="007A61BF"/>
    <w:rsid w:val="007A66F7"/>
    <w:rsid w:val="007A6787"/>
    <w:rsid w:val="007A6C55"/>
    <w:rsid w:val="007A7B43"/>
    <w:rsid w:val="007A7E0F"/>
    <w:rsid w:val="007B11D4"/>
    <w:rsid w:val="007B1387"/>
    <w:rsid w:val="007B1439"/>
    <w:rsid w:val="007B1592"/>
    <w:rsid w:val="007B1FF5"/>
    <w:rsid w:val="007B24A0"/>
    <w:rsid w:val="007B2D0E"/>
    <w:rsid w:val="007B30E6"/>
    <w:rsid w:val="007B3292"/>
    <w:rsid w:val="007B38CF"/>
    <w:rsid w:val="007B3C51"/>
    <w:rsid w:val="007B41CA"/>
    <w:rsid w:val="007B41E2"/>
    <w:rsid w:val="007B47F1"/>
    <w:rsid w:val="007B4CDB"/>
    <w:rsid w:val="007B59D5"/>
    <w:rsid w:val="007B5C9F"/>
    <w:rsid w:val="007B6760"/>
    <w:rsid w:val="007B74C3"/>
    <w:rsid w:val="007B7961"/>
    <w:rsid w:val="007B7C79"/>
    <w:rsid w:val="007B7D8E"/>
    <w:rsid w:val="007C0D15"/>
    <w:rsid w:val="007C10EF"/>
    <w:rsid w:val="007C1206"/>
    <w:rsid w:val="007C15DB"/>
    <w:rsid w:val="007C17A6"/>
    <w:rsid w:val="007C1B39"/>
    <w:rsid w:val="007C1E34"/>
    <w:rsid w:val="007C232D"/>
    <w:rsid w:val="007C287B"/>
    <w:rsid w:val="007C30F2"/>
    <w:rsid w:val="007C33B6"/>
    <w:rsid w:val="007C3B8B"/>
    <w:rsid w:val="007C4198"/>
    <w:rsid w:val="007C43ED"/>
    <w:rsid w:val="007C5121"/>
    <w:rsid w:val="007C536F"/>
    <w:rsid w:val="007C5387"/>
    <w:rsid w:val="007C576A"/>
    <w:rsid w:val="007C5861"/>
    <w:rsid w:val="007C5B14"/>
    <w:rsid w:val="007C6D11"/>
    <w:rsid w:val="007C7C9D"/>
    <w:rsid w:val="007D0507"/>
    <w:rsid w:val="007D0576"/>
    <w:rsid w:val="007D0780"/>
    <w:rsid w:val="007D1074"/>
    <w:rsid w:val="007D33B5"/>
    <w:rsid w:val="007D3DA8"/>
    <w:rsid w:val="007D3F52"/>
    <w:rsid w:val="007D4282"/>
    <w:rsid w:val="007D458B"/>
    <w:rsid w:val="007D4923"/>
    <w:rsid w:val="007D513F"/>
    <w:rsid w:val="007D5630"/>
    <w:rsid w:val="007D5670"/>
    <w:rsid w:val="007D586A"/>
    <w:rsid w:val="007D71BF"/>
    <w:rsid w:val="007D71DD"/>
    <w:rsid w:val="007D7989"/>
    <w:rsid w:val="007E01CB"/>
    <w:rsid w:val="007E1233"/>
    <w:rsid w:val="007E1D78"/>
    <w:rsid w:val="007E2A34"/>
    <w:rsid w:val="007E3BEC"/>
    <w:rsid w:val="007E4119"/>
    <w:rsid w:val="007E4D4F"/>
    <w:rsid w:val="007E50EC"/>
    <w:rsid w:val="007E5747"/>
    <w:rsid w:val="007E5C3C"/>
    <w:rsid w:val="007E5D04"/>
    <w:rsid w:val="007E5E8C"/>
    <w:rsid w:val="007E6744"/>
    <w:rsid w:val="007E684F"/>
    <w:rsid w:val="007E6A18"/>
    <w:rsid w:val="007E6ADB"/>
    <w:rsid w:val="007E6C33"/>
    <w:rsid w:val="007E7536"/>
    <w:rsid w:val="007E774B"/>
    <w:rsid w:val="007E7D9D"/>
    <w:rsid w:val="007F0827"/>
    <w:rsid w:val="007F0CDC"/>
    <w:rsid w:val="007F15C3"/>
    <w:rsid w:val="007F1FB0"/>
    <w:rsid w:val="007F2A56"/>
    <w:rsid w:val="007F2D04"/>
    <w:rsid w:val="007F3D07"/>
    <w:rsid w:val="007F561A"/>
    <w:rsid w:val="007F5EE9"/>
    <w:rsid w:val="007F6712"/>
    <w:rsid w:val="007F67C7"/>
    <w:rsid w:val="007F7474"/>
    <w:rsid w:val="007F783A"/>
    <w:rsid w:val="00801DFB"/>
    <w:rsid w:val="00801EA5"/>
    <w:rsid w:val="00801FF2"/>
    <w:rsid w:val="00802102"/>
    <w:rsid w:val="00802682"/>
    <w:rsid w:val="00802719"/>
    <w:rsid w:val="00802B79"/>
    <w:rsid w:val="00802FC9"/>
    <w:rsid w:val="00802FFB"/>
    <w:rsid w:val="00803EC5"/>
    <w:rsid w:val="00803FCC"/>
    <w:rsid w:val="00804AE1"/>
    <w:rsid w:val="00805B87"/>
    <w:rsid w:val="00806BA6"/>
    <w:rsid w:val="00806E44"/>
    <w:rsid w:val="00807D27"/>
    <w:rsid w:val="00807FF7"/>
    <w:rsid w:val="00810161"/>
    <w:rsid w:val="00810927"/>
    <w:rsid w:val="00810D8C"/>
    <w:rsid w:val="008110DD"/>
    <w:rsid w:val="00811541"/>
    <w:rsid w:val="008115AC"/>
    <w:rsid w:val="008117BD"/>
    <w:rsid w:val="0081304F"/>
    <w:rsid w:val="00814238"/>
    <w:rsid w:val="00814A11"/>
    <w:rsid w:val="00814D6A"/>
    <w:rsid w:val="008155EB"/>
    <w:rsid w:val="00815D50"/>
    <w:rsid w:val="00815EF5"/>
    <w:rsid w:val="008169AA"/>
    <w:rsid w:val="00816DF9"/>
    <w:rsid w:val="0081745C"/>
    <w:rsid w:val="008176BF"/>
    <w:rsid w:val="00820030"/>
    <w:rsid w:val="008206E6"/>
    <w:rsid w:val="00820810"/>
    <w:rsid w:val="0082099F"/>
    <w:rsid w:val="0082124F"/>
    <w:rsid w:val="00822768"/>
    <w:rsid w:val="00822C15"/>
    <w:rsid w:val="008237D8"/>
    <w:rsid w:val="00824382"/>
    <w:rsid w:val="00824A0F"/>
    <w:rsid w:val="00825662"/>
    <w:rsid w:val="00825EF2"/>
    <w:rsid w:val="008271A3"/>
    <w:rsid w:val="008279B9"/>
    <w:rsid w:val="008279DF"/>
    <w:rsid w:val="00827A23"/>
    <w:rsid w:val="00827AE7"/>
    <w:rsid w:val="00827CA6"/>
    <w:rsid w:val="00827D53"/>
    <w:rsid w:val="008302C4"/>
    <w:rsid w:val="0083066B"/>
    <w:rsid w:val="00830E10"/>
    <w:rsid w:val="00831432"/>
    <w:rsid w:val="008316C0"/>
    <w:rsid w:val="008326EA"/>
    <w:rsid w:val="00832B59"/>
    <w:rsid w:val="00832E55"/>
    <w:rsid w:val="008337C7"/>
    <w:rsid w:val="00833F1B"/>
    <w:rsid w:val="008343A5"/>
    <w:rsid w:val="00834EA2"/>
    <w:rsid w:val="008354C2"/>
    <w:rsid w:val="008356A4"/>
    <w:rsid w:val="00837241"/>
    <w:rsid w:val="0083771B"/>
    <w:rsid w:val="00837ED8"/>
    <w:rsid w:val="00840B6B"/>
    <w:rsid w:val="00840B96"/>
    <w:rsid w:val="00840E6E"/>
    <w:rsid w:val="00841CAE"/>
    <w:rsid w:val="0084204A"/>
    <w:rsid w:val="00842172"/>
    <w:rsid w:val="00843329"/>
    <w:rsid w:val="00843A80"/>
    <w:rsid w:val="00844110"/>
    <w:rsid w:val="00844A4D"/>
    <w:rsid w:val="0084501F"/>
    <w:rsid w:val="00845AEE"/>
    <w:rsid w:val="00845BB1"/>
    <w:rsid w:val="00845CA6"/>
    <w:rsid w:val="00846358"/>
    <w:rsid w:val="0084688E"/>
    <w:rsid w:val="00847067"/>
    <w:rsid w:val="00847AA3"/>
    <w:rsid w:val="00850132"/>
    <w:rsid w:val="00850A02"/>
    <w:rsid w:val="00851025"/>
    <w:rsid w:val="008510CF"/>
    <w:rsid w:val="00851AC9"/>
    <w:rsid w:val="00851DE0"/>
    <w:rsid w:val="00852175"/>
    <w:rsid w:val="008521BF"/>
    <w:rsid w:val="008530E1"/>
    <w:rsid w:val="0085343D"/>
    <w:rsid w:val="00853500"/>
    <w:rsid w:val="00853832"/>
    <w:rsid w:val="00854098"/>
    <w:rsid w:val="008541D0"/>
    <w:rsid w:val="00855191"/>
    <w:rsid w:val="00855830"/>
    <w:rsid w:val="00855E11"/>
    <w:rsid w:val="008576F6"/>
    <w:rsid w:val="008578EB"/>
    <w:rsid w:val="00860292"/>
    <w:rsid w:val="008604EB"/>
    <w:rsid w:val="00860A41"/>
    <w:rsid w:val="0086117B"/>
    <w:rsid w:val="00861403"/>
    <w:rsid w:val="00861710"/>
    <w:rsid w:val="00861C2F"/>
    <w:rsid w:val="00861F21"/>
    <w:rsid w:val="008620E4"/>
    <w:rsid w:val="00862A55"/>
    <w:rsid w:val="00862BFD"/>
    <w:rsid w:val="00862CB3"/>
    <w:rsid w:val="00862F98"/>
    <w:rsid w:val="0086387B"/>
    <w:rsid w:val="00865BA3"/>
    <w:rsid w:val="00866217"/>
    <w:rsid w:val="0086641E"/>
    <w:rsid w:val="00866C3A"/>
    <w:rsid w:val="00867FCB"/>
    <w:rsid w:val="00870788"/>
    <w:rsid w:val="00870A9B"/>
    <w:rsid w:val="00870E56"/>
    <w:rsid w:val="008710B3"/>
    <w:rsid w:val="00871476"/>
    <w:rsid w:val="00871EE9"/>
    <w:rsid w:val="008722AA"/>
    <w:rsid w:val="008725A0"/>
    <w:rsid w:val="00872DE7"/>
    <w:rsid w:val="0087321D"/>
    <w:rsid w:val="008742DC"/>
    <w:rsid w:val="008746DD"/>
    <w:rsid w:val="008747A0"/>
    <w:rsid w:val="00874A42"/>
    <w:rsid w:val="00874D40"/>
    <w:rsid w:val="00875D4B"/>
    <w:rsid w:val="00876EBC"/>
    <w:rsid w:val="00877381"/>
    <w:rsid w:val="00877BA7"/>
    <w:rsid w:val="00881767"/>
    <w:rsid w:val="00881B27"/>
    <w:rsid w:val="00881BCD"/>
    <w:rsid w:val="00882533"/>
    <w:rsid w:val="00882A67"/>
    <w:rsid w:val="00882F1C"/>
    <w:rsid w:val="00883245"/>
    <w:rsid w:val="008846C6"/>
    <w:rsid w:val="00885162"/>
    <w:rsid w:val="008855D3"/>
    <w:rsid w:val="008855FD"/>
    <w:rsid w:val="00886199"/>
    <w:rsid w:val="00886908"/>
    <w:rsid w:val="0089037E"/>
    <w:rsid w:val="0089072D"/>
    <w:rsid w:val="00891941"/>
    <w:rsid w:val="00891B67"/>
    <w:rsid w:val="00891CFA"/>
    <w:rsid w:val="00892125"/>
    <w:rsid w:val="00892E67"/>
    <w:rsid w:val="00893DBF"/>
    <w:rsid w:val="00893EFD"/>
    <w:rsid w:val="008946DA"/>
    <w:rsid w:val="00895B1B"/>
    <w:rsid w:val="00895FBB"/>
    <w:rsid w:val="00896167"/>
    <w:rsid w:val="008966D4"/>
    <w:rsid w:val="008971F1"/>
    <w:rsid w:val="008973D6"/>
    <w:rsid w:val="00897AF0"/>
    <w:rsid w:val="008A0003"/>
    <w:rsid w:val="008A00D6"/>
    <w:rsid w:val="008A0909"/>
    <w:rsid w:val="008A1EF9"/>
    <w:rsid w:val="008A244E"/>
    <w:rsid w:val="008A326D"/>
    <w:rsid w:val="008A37D9"/>
    <w:rsid w:val="008A531B"/>
    <w:rsid w:val="008A568B"/>
    <w:rsid w:val="008A56EA"/>
    <w:rsid w:val="008A5A4B"/>
    <w:rsid w:val="008A6116"/>
    <w:rsid w:val="008A6215"/>
    <w:rsid w:val="008A6A66"/>
    <w:rsid w:val="008A72FA"/>
    <w:rsid w:val="008A7747"/>
    <w:rsid w:val="008A77D2"/>
    <w:rsid w:val="008A7A2F"/>
    <w:rsid w:val="008A7BB2"/>
    <w:rsid w:val="008B009F"/>
    <w:rsid w:val="008B01D8"/>
    <w:rsid w:val="008B028A"/>
    <w:rsid w:val="008B0CDA"/>
    <w:rsid w:val="008B0E04"/>
    <w:rsid w:val="008B0F81"/>
    <w:rsid w:val="008B0FEB"/>
    <w:rsid w:val="008B338F"/>
    <w:rsid w:val="008B395B"/>
    <w:rsid w:val="008B3DDD"/>
    <w:rsid w:val="008B4064"/>
    <w:rsid w:val="008B415D"/>
    <w:rsid w:val="008B45E5"/>
    <w:rsid w:val="008B4A8A"/>
    <w:rsid w:val="008B6D62"/>
    <w:rsid w:val="008B6E48"/>
    <w:rsid w:val="008B6E89"/>
    <w:rsid w:val="008B70F6"/>
    <w:rsid w:val="008B7765"/>
    <w:rsid w:val="008B7EBD"/>
    <w:rsid w:val="008B7ECE"/>
    <w:rsid w:val="008C04E9"/>
    <w:rsid w:val="008C0682"/>
    <w:rsid w:val="008C072C"/>
    <w:rsid w:val="008C0B6F"/>
    <w:rsid w:val="008C1379"/>
    <w:rsid w:val="008C1963"/>
    <w:rsid w:val="008C1BA1"/>
    <w:rsid w:val="008C1CE2"/>
    <w:rsid w:val="008C1FA0"/>
    <w:rsid w:val="008C2119"/>
    <w:rsid w:val="008C2D4E"/>
    <w:rsid w:val="008C3017"/>
    <w:rsid w:val="008C38ED"/>
    <w:rsid w:val="008C4AC5"/>
    <w:rsid w:val="008C4B2E"/>
    <w:rsid w:val="008C5329"/>
    <w:rsid w:val="008C562C"/>
    <w:rsid w:val="008C56DD"/>
    <w:rsid w:val="008C5CAF"/>
    <w:rsid w:val="008C60F0"/>
    <w:rsid w:val="008C610E"/>
    <w:rsid w:val="008C77BA"/>
    <w:rsid w:val="008C7924"/>
    <w:rsid w:val="008C7DC8"/>
    <w:rsid w:val="008D1487"/>
    <w:rsid w:val="008D228D"/>
    <w:rsid w:val="008D2487"/>
    <w:rsid w:val="008D267A"/>
    <w:rsid w:val="008D269E"/>
    <w:rsid w:val="008D2C59"/>
    <w:rsid w:val="008D3818"/>
    <w:rsid w:val="008D39A1"/>
    <w:rsid w:val="008D3D9F"/>
    <w:rsid w:val="008D4BE0"/>
    <w:rsid w:val="008D5463"/>
    <w:rsid w:val="008D5C7E"/>
    <w:rsid w:val="008D5CB2"/>
    <w:rsid w:val="008D60C1"/>
    <w:rsid w:val="008D6ADD"/>
    <w:rsid w:val="008D6C85"/>
    <w:rsid w:val="008D6DCB"/>
    <w:rsid w:val="008D7065"/>
    <w:rsid w:val="008D7343"/>
    <w:rsid w:val="008D7903"/>
    <w:rsid w:val="008D7A21"/>
    <w:rsid w:val="008E00C4"/>
    <w:rsid w:val="008E0C62"/>
    <w:rsid w:val="008E0E0A"/>
    <w:rsid w:val="008E2FC9"/>
    <w:rsid w:val="008E3D02"/>
    <w:rsid w:val="008E3F4F"/>
    <w:rsid w:val="008E5641"/>
    <w:rsid w:val="008E5769"/>
    <w:rsid w:val="008E6D83"/>
    <w:rsid w:val="008E716A"/>
    <w:rsid w:val="008E7322"/>
    <w:rsid w:val="008E79D7"/>
    <w:rsid w:val="008E7D57"/>
    <w:rsid w:val="008F079B"/>
    <w:rsid w:val="008F0B04"/>
    <w:rsid w:val="008F0E11"/>
    <w:rsid w:val="008F15DF"/>
    <w:rsid w:val="008F1E9C"/>
    <w:rsid w:val="008F2024"/>
    <w:rsid w:val="008F40F8"/>
    <w:rsid w:val="008F4237"/>
    <w:rsid w:val="008F45B0"/>
    <w:rsid w:val="008F4BCA"/>
    <w:rsid w:val="008F5D3C"/>
    <w:rsid w:val="008F5F79"/>
    <w:rsid w:val="008F6655"/>
    <w:rsid w:val="008F67E4"/>
    <w:rsid w:val="008F6814"/>
    <w:rsid w:val="008F68AA"/>
    <w:rsid w:val="008F7FE2"/>
    <w:rsid w:val="00900349"/>
    <w:rsid w:val="009003F5"/>
    <w:rsid w:val="00900C60"/>
    <w:rsid w:val="00900F4A"/>
    <w:rsid w:val="009015F8"/>
    <w:rsid w:val="009016AF"/>
    <w:rsid w:val="009024A4"/>
    <w:rsid w:val="009026E1"/>
    <w:rsid w:val="00902A6F"/>
    <w:rsid w:val="00903807"/>
    <w:rsid w:val="0090440D"/>
    <w:rsid w:val="00905B98"/>
    <w:rsid w:val="00906066"/>
    <w:rsid w:val="009068B7"/>
    <w:rsid w:val="00906B5C"/>
    <w:rsid w:val="00907F5F"/>
    <w:rsid w:val="00910805"/>
    <w:rsid w:val="00910A98"/>
    <w:rsid w:val="00911E2C"/>
    <w:rsid w:val="00912D6D"/>
    <w:rsid w:val="00912D9F"/>
    <w:rsid w:val="00912E0A"/>
    <w:rsid w:val="00913678"/>
    <w:rsid w:val="009139A6"/>
    <w:rsid w:val="0091404F"/>
    <w:rsid w:val="00914592"/>
    <w:rsid w:val="0091499B"/>
    <w:rsid w:val="009152DE"/>
    <w:rsid w:val="009154F6"/>
    <w:rsid w:val="00916944"/>
    <w:rsid w:val="00916F77"/>
    <w:rsid w:val="0091707A"/>
    <w:rsid w:val="00917811"/>
    <w:rsid w:val="00917E44"/>
    <w:rsid w:val="00917E9E"/>
    <w:rsid w:val="0092047F"/>
    <w:rsid w:val="00920702"/>
    <w:rsid w:val="0092097A"/>
    <w:rsid w:val="0092108C"/>
    <w:rsid w:val="00921530"/>
    <w:rsid w:val="00922378"/>
    <w:rsid w:val="009232E1"/>
    <w:rsid w:val="0092359F"/>
    <w:rsid w:val="009236A9"/>
    <w:rsid w:val="00923AEF"/>
    <w:rsid w:val="00924490"/>
    <w:rsid w:val="00925FB4"/>
    <w:rsid w:val="00926D55"/>
    <w:rsid w:val="00926E7E"/>
    <w:rsid w:val="009271CD"/>
    <w:rsid w:val="009308FA"/>
    <w:rsid w:val="00930CC1"/>
    <w:rsid w:val="00930D11"/>
    <w:rsid w:val="00931355"/>
    <w:rsid w:val="009319D0"/>
    <w:rsid w:val="00931D85"/>
    <w:rsid w:val="00931EDF"/>
    <w:rsid w:val="00932A3F"/>
    <w:rsid w:val="00933795"/>
    <w:rsid w:val="00934072"/>
    <w:rsid w:val="00934804"/>
    <w:rsid w:val="00934942"/>
    <w:rsid w:val="009350CC"/>
    <w:rsid w:val="00935752"/>
    <w:rsid w:val="009358CD"/>
    <w:rsid w:val="00936C24"/>
    <w:rsid w:val="00936C4B"/>
    <w:rsid w:val="00936D5C"/>
    <w:rsid w:val="00936F73"/>
    <w:rsid w:val="0093794F"/>
    <w:rsid w:val="009379DA"/>
    <w:rsid w:val="00937A7E"/>
    <w:rsid w:val="00940D63"/>
    <w:rsid w:val="00941594"/>
    <w:rsid w:val="009418EF"/>
    <w:rsid w:val="00941AA6"/>
    <w:rsid w:val="009423EA"/>
    <w:rsid w:val="00942C18"/>
    <w:rsid w:val="009440EF"/>
    <w:rsid w:val="009443CF"/>
    <w:rsid w:val="0094491E"/>
    <w:rsid w:val="00944D22"/>
    <w:rsid w:val="00945220"/>
    <w:rsid w:val="009458E2"/>
    <w:rsid w:val="00945BB0"/>
    <w:rsid w:val="00946F81"/>
    <w:rsid w:val="0094730D"/>
    <w:rsid w:val="00947C49"/>
    <w:rsid w:val="009502E4"/>
    <w:rsid w:val="00950303"/>
    <w:rsid w:val="009514DC"/>
    <w:rsid w:val="0095157C"/>
    <w:rsid w:val="00952205"/>
    <w:rsid w:val="009522C2"/>
    <w:rsid w:val="00953515"/>
    <w:rsid w:val="00953D32"/>
    <w:rsid w:val="00954286"/>
    <w:rsid w:val="0095432D"/>
    <w:rsid w:val="009544B8"/>
    <w:rsid w:val="00954823"/>
    <w:rsid w:val="00955034"/>
    <w:rsid w:val="00955077"/>
    <w:rsid w:val="00955AD6"/>
    <w:rsid w:val="00956C46"/>
    <w:rsid w:val="00956D6C"/>
    <w:rsid w:val="00957261"/>
    <w:rsid w:val="00957656"/>
    <w:rsid w:val="00957E41"/>
    <w:rsid w:val="00960330"/>
    <w:rsid w:val="00960575"/>
    <w:rsid w:val="0096080C"/>
    <w:rsid w:val="00960F8F"/>
    <w:rsid w:val="00961867"/>
    <w:rsid w:val="009621EA"/>
    <w:rsid w:val="00962691"/>
    <w:rsid w:val="00962B9B"/>
    <w:rsid w:val="00963416"/>
    <w:rsid w:val="009634E8"/>
    <w:rsid w:val="00963B11"/>
    <w:rsid w:val="00964227"/>
    <w:rsid w:val="009646E8"/>
    <w:rsid w:val="009655D5"/>
    <w:rsid w:val="0096620F"/>
    <w:rsid w:val="00966470"/>
    <w:rsid w:val="0096686D"/>
    <w:rsid w:val="00966E6A"/>
    <w:rsid w:val="00966ED7"/>
    <w:rsid w:val="0096715D"/>
    <w:rsid w:val="00967AEB"/>
    <w:rsid w:val="00967F2B"/>
    <w:rsid w:val="00970F7A"/>
    <w:rsid w:val="009718EE"/>
    <w:rsid w:val="00971D94"/>
    <w:rsid w:val="009723F3"/>
    <w:rsid w:val="00972A51"/>
    <w:rsid w:val="00972E4C"/>
    <w:rsid w:val="00973E9C"/>
    <w:rsid w:val="0097409F"/>
    <w:rsid w:val="00974202"/>
    <w:rsid w:val="00975AD8"/>
    <w:rsid w:val="00975CBB"/>
    <w:rsid w:val="009771F5"/>
    <w:rsid w:val="009778D1"/>
    <w:rsid w:val="009801C2"/>
    <w:rsid w:val="00980229"/>
    <w:rsid w:val="0098177F"/>
    <w:rsid w:val="00982163"/>
    <w:rsid w:val="0098362C"/>
    <w:rsid w:val="00983FFA"/>
    <w:rsid w:val="00984312"/>
    <w:rsid w:val="00984FA5"/>
    <w:rsid w:val="009850BC"/>
    <w:rsid w:val="00985D14"/>
    <w:rsid w:val="00986249"/>
    <w:rsid w:val="0098680F"/>
    <w:rsid w:val="00987349"/>
    <w:rsid w:val="00987371"/>
    <w:rsid w:val="00987B41"/>
    <w:rsid w:val="00990478"/>
    <w:rsid w:val="00990730"/>
    <w:rsid w:val="00990939"/>
    <w:rsid w:val="00991340"/>
    <w:rsid w:val="00991C06"/>
    <w:rsid w:val="00991C54"/>
    <w:rsid w:val="009920A1"/>
    <w:rsid w:val="00992424"/>
    <w:rsid w:val="009924F3"/>
    <w:rsid w:val="00992ADC"/>
    <w:rsid w:val="00993CB9"/>
    <w:rsid w:val="009944C7"/>
    <w:rsid w:val="00994B27"/>
    <w:rsid w:val="00994C4E"/>
    <w:rsid w:val="00994EEB"/>
    <w:rsid w:val="009951E0"/>
    <w:rsid w:val="00996321"/>
    <w:rsid w:val="009966BC"/>
    <w:rsid w:val="00996E34"/>
    <w:rsid w:val="00997A6D"/>
    <w:rsid w:val="00997DA1"/>
    <w:rsid w:val="00997E4B"/>
    <w:rsid w:val="009A015E"/>
    <w:rsid w:val="009A07D4"/>
    <w:rsid w:val="009A08CD"/>
    <w:rsid w:val="009A0AA8"/>
    <w:rsid w:val="009A12D3"/>
    <w:rsid w:val="009A15A0"/>
    <w:rsid w:val="009A1A6D"/>
    <w:rsid w:val="009A2E9B"/>
    <w:rsid w:val="009A2ED2"/>
    <w:rsid w:val="009A31FD"/>
    <w:rsid w:val="009A350B"/>
    <w:rsid w:val="009A3A68"/>
    <w:rsid w:val="009A3E97"/>
    <w:rsid w:val="009A5FA1"/>
    <w:rsid w:val="009A61D8"/>
    <w:rsid w:val="009A62B6"/>
    <w:rsid w:val="009A6703"/>
    <w:rsid w:val="009A6A1B"/>
    <w:rsid w:val="009B00C1"/>
    <w:rsid w:val="009B1658"/>
    <w:rsid w:val="009B1830"/>
    <w:rsid w:val="009B4AFD"/>
    <w:rsid w:val="009B4BB8"/>
    <w:rsid w:val="009B4F76"/>
    <w:rsid w:val="009B50B0"/>
    <w:rsid w:val="009B5275"/>
    <w:rsid w:val="009B602B"/>
    <w:rsid w:val="009B7E8C"/>
    <w:rsid w:val="009C02B3"/>
    <w:rsid w:val="009C171A"/>
    <w:rsid w:val="009C1734"/>
    <w:rsid w:val="009C31CA"/>
    <w:rsid w:val="009C4421"/>
    <w:rsid w:val="009C4CC1"/>
    <w:rsid w:val="009C4E1D"/>
    <w:rsid w:val="009C4F5E"/>
    <w:rsid w:val="009C5C2C"/>
    <w:rsid w:val="009C61B3"/>
    <w:rsid w:val="009C79B3"/>
    <w:rsid w:val="009D18E4"/>
    <w:rsid w:val="009D2501"/>
    <w:rsid w:val="009D3E26"/>
    <w:rsid w:val="009D4244"/>
    <w:rsid w:val="009D517A"/>
    <w:rsid w:val="009D5B5F"/>
    <w:rsid w:val="009D5D11"/>
    <w:rsid w:val="009D716A"/>
    <w:rsid w:val="009D7F4F"/>
    <w:rsid w:val="009E03F4"/>
    <w:rsid w:val="009E0984"/>
    <w:rsid w:val="009E0DA6"/>
    <w:rsid w:val="009E0DC3"/>
    <w:rsid w:val="009E142E"/>
    <w:rsid w:val="009E16DB"/>
    <w:rsid w:val="009E1B4E"/>
    <w:rsid w:val="009E1B8B"/>
    <w:rsid w:val="009E1C73"/>
    <w:rsid w:val="009E20E4"/>
    <w:rsid w:val="009E256B"/>
    <w:rsid w:val="009E27C4"/>
    <w:rsid w:val="009E2F4A"/>
    <w:rsid w:val="009E3349"/>
    <w:rsid w:val="009E3451"/>
    <w:rsid w:val="009E4389"/>
    <w:rsid w:val="009E4ECF"/>
    <w:rsid w:val="009E53F1"/>
    <w:rsid w:val="009E5D1B"/>
    <w:rsid w:val="009E5F19"/>
    <w:rsid w:val="009E641E"/>
    <w:rsid w:val="009E6BEC"/>
    <w:rsid w:val="009E6E73"/>
    <w:rsid w:val="009E717E"/>
    <w:rsid w:val="009E76F8"/>
    <w:rsid w:val="009E7A38"/>
    <w:rsid w:val="009F1201"/>
    <w:rsid w:val="009F1D19"/>
    <w:rsid w:val="009F3C49"/>
    <w:rsid w:val="009F3F8B"/>
    <w:rsid w:val="009F466A"/>
    <w:rsid w:val="009F4DA4"/>
    <w:rsid w:val="009F4DA8"/>
    <w:rsid w:val="009F6B2D"/>
    <w:rsid w:val="009F6F12"/>
    <w:rsid w:val="009F733F"/>
    <w:rsid w:val="009F7E83"/>
    <w:rsid w:val="00A01381"/>
    <w:rsid w:val="00A01655"/>
    <w:rsid w:val="00A01808"/>
    <w:rsid w:val="00A01F75"/>
    <w:rsid w:val="00A02171"/>
    <w:rsid w:val="00A023D9"/>
    <w:rsid w:val="00A02656"/>
    <w:rsid w:val="00A0268D"/>
    <w:rsid w:val="00A033A3"/>
    <w:rsid w:val="00A03CE2"/>
    <w:rsid w:val="00A03ED0"/>
    <w:rsid w:val="00A04A6A"/>
    <w:rsid w:val="00A04E71"/>
    <w:rsid w:val="00A05C62"/>
    <w:rsid w:val="00A06044"/>
    <w:rsid w:val="00A06977"/>
    <w:rsid w:val="00A07BB1"/>
    <w:rsid w:val="00A10C27"/>
    <w:rsid w:val="00A110E2"/>
    <w:rsid w:val="00A1146F"/>
    <w:rsid w:val="00A1367E"/>
    <w:rsid w:val="00A13688"/>
    <w:rsid w:val="00A13852"/>
    <w:rsid w:val="00A1417D"/>
    <w:rsid w:val="00A14A6E"/>
    <w:rsid w:val="00A15059"/>
    <w:rsid w:val="00A20398"/>
    <w:rsid w:val="00A207C6"/>
    <w:rsid w:val="00A20CBB"/>
    <w:rsid w:val="00A211FA"/>
    <w:rsid w:val="00A2198B"/>
    <w:rsid w:val="00A21F12"/>
    <w:rsid w:val="00A23525"/>
    <w:rsid w:val="00A24C75"/>
    <w:rsid w:val="00A24FCF"/>
    <w:rsid w:val="00A25313"/>
    <w:rsid w:val="00A25FA1"/>
    <w:rsid w:val="00A26537"/>
    <w:rsid w:val="00A278FC"/>
    <w:rsid w:val="00A30013"/>
    <w:rsid w:val="00A3038B"/>
    <w:rsid w:val="00A304EC"/>
    <w:rsid w:val="00A3185B"/>
    <w:rsid w:val="00A321A4"/>
    <w:rsid w:val="00A32AAA"/>
    <w:rsid w:val="00A33470"/>
    <w:rsid w:val="00A33DD7"/>
    <w:rsid w:val="00A34707"/>
    <w:rsid w:val="00A354AD"/>
    <w:rsid w:val="00A3561D"/>
    <w:rsid w:val="00A358A1"/>
    <w:rsid w:val="00A3598C"/>
    <w:rsid w:val="00A35D99"/>
    <w:rsid w:val="00A36EF7"/>
    <w:rsid w:val="00A3721C"/>
    <w:rsid w:val="00A377E2"/>
    <w:rsid w:val="00A40BED"/>
    <w:rsid w:val="00A411CD"/>
    <w:rsid w:val="00A428A1"/>
    <w:rsid w:val="00A430ED"/>
    <w:rsid w:val="00A43301"/>
    <w:rsid w:val="00A43B89"/>
    <w:rsid w:val="00A444D2"/>
    <w:rsid w:val="00A44570"/>
    <w:rsid w:val="00A445DF"/>
    <w:rsid w:val="00A4488E"/>
    <w:rsid w:val="00A46967"/>
    <w:rsid w:val="00A51108"/>
    <w:rsid w:val="00A51492"/>
    <w:rsid w:val="00A52239"/>
    <w:rsid w:val="00A53AF9"/>
    <w:rsid w:val="00A53D7C"/>
    <w:rsid w:val="00A53F8B"/>
    <w:rsid w:val="00A54210"/>
    <w:rsid w:val="00A542EC"/>
    <w:rsid w:val="00A558D3"/>
    <w:rsid w:val="00A56342"/>
    <w:rsid w:val="00A56B59"/>
    <w:rsid w:val="00A5791F"/>
    <w:rsid w:val="00A60A21"/>
    <w:rsid w:val="00A60C92"/>
    <w:rsid w:val="00A621D6"/>
    <w:rsid w:val="00A62706"/>
    <w:rsid w:val="00A6363B"/>
    <w:rsid w:val="00A63C7F"/>
    <w:rsid w:val="00A6509E"/>
    <w:rsid w:val="00A65244"/>
    <w:rsid w:val="00A65295"/>
    <w:rsid w:val="00A66EB4"/>
    <w:rsid w:val="00A6770A"/>
    <w:rsid w:val="00A67873"/>
    <w:rsid w:val="00A67C65"/>
    <w:rsid w:val="00A67D95"/>
    <w:rsid w:val="00A70106"/>
    <w:rsid w:val="00A706FD"/>
    <w:rsid w:val="00A70743"/>
    <w:rsid w:val="00A72182"/>
    <w:rsid w:val="00A72AD3"/>
    <w:rsid w:val="00A74663"/>
    <w:rsid w:val="00A74C8F"/>
    <w:rsid w:val="00A75951"/>
    <w:rsid w:val="00A76032"/>
    <w:rsid w:val="00A76059"/>
    <w:rsid w:val="00A762C1"/>
    <w:rsid w:val="00A76F68"/>
    <w:rsid w:val="00A7728F"/>
    <w:rsid w:val="00A77293"/>
    <w:rsid w:val="00A77380"/>
    <w:rsid w:val="00A80214"/>
    <w:rsid w:val="00A80299"/>
    <w:rsid w:val="00A808C4"/>
    <w:rsid w:val="00A82388"/>
    <w:rsid w:val="00A829AE"/>
    <w:rsid w:val="00A82CAF"/>
    <w:rsid w:val="00A833C7"/>
    <w:rsid w:val="00A836E8"/>
    <w:rsid w:val="00A84126"/>
    <w:rsid w:val="00A84A48"/>
    <w:rsid w:val="00A84F0A"/>
    <w:rsid w:val="00A8585D"/>
    <w:rsid w:val="00A859AC"/>
    <w:rsid w:val="00A8633C"/>
    <w:rsid w:val="00A867FC"/>
    <w:rsid w:val="00A8688F"/>
    <w:rsid w:val="00A87010"/>
    <w:rsid w:val="00A8724E"/>
    <w:rsid w:val="00A873A5"/>
    <w:rsid w:val="00A90F21"/>
    <w:rsid w:val="00A919EC"/>
    <w:rsid w:val="00A91DDB"/>
    <w:rsid w:val="00A91F90"/>
    <w:rsid w:val="00A920FA"/>
    <w:rsid w:val="00A93021"/>
    <w:rsid w:val="00A93D17"/>
    <w:rsid w:val="00A944C0"/>
    <w:rsid w:val="00A94DD2"/>
    <w:rsid w:val="00A95E4A"/>
    <w:rsid w:val="00A95E8E"/>
    <w:rsid w:val="00AA11A2"/>
    <w:rsid w:val="00AA16B4"/>
    <w:rsid w:val="00AA1EA1"/>
    <w:rsid w:val="00AA2481"/>
    <w:rsid w:val="00AA24E1"/>
    <w:rsid w:val="00AA2CE4"/>
    <w:rsid w:val="00AA2EF4"/>
    <w:rsid w:val="00AA30AC"/>
    <w:rsid w:val="00AA3805"/>
    <w:rsid w:val="00AA3F5B"/>
    <w:rsid w:val="00AA4A6F"/>
    <w:rsid w:val="00AA4B10"/>
    <w:rsid w:val="00AA4D16"/>
    <w:rsid w:val="00AA5A80"/>
    <w:rsid w:val="00AA6A82"/>
    <w:rsid w:val="00AA6C04"/>
    <w:rsid w:val="00AA6D47"/>
    <w:rsid w:val="00AA7E38"/>
    <w:rsid w:val="00AB01BF"/>
    <w:rsid w:val="00AB0394"/>
    <w:rsid w:val="00AB0EF2"/>
    <w:rsid w:val="00AB151A"/>
    <w:rsid w:val="00AB23AA"/>
    <w:rsid w:val="00AB2865"/>
    <w:rsid w:val="00AB2BD4"/>
    <w:rsid w:val="00AB2F1B"/>
    <w:rsid w:val="00AB3303"/>
    <w:rsid w:val="00AB3CBC"/>
    <w:rsid w:val="00AB3CE1"/>
    <w:rsid w:val="00AB4020"/>
    <w:rsid w:val="00AB492D"/>
    <w:rsid w:val="00AB4D2B"/>
    <w:rsid w:val="00AB4E04"/>
    <w:rsid w:val="00AB4EE3"/>
    <w:rsid w:val="00AB563B"/>
    <w:rsid w:val="00AB5688"/>
    <w:rsid w:val="00AB5B65"/>
    <w:rsid w:val="00AB5F90"/>
    <w:rsid w:val="00AB6507"/>
    <w:rsid w:val="00AB745E"/>
    <w:rsid w:val="00AB79CA"/>
    <w:rsid w:val="00AB7CEC"/>
    <w:rsid w:val="00AC15A8"/>
    <w:rsid w:val="00AC1AC0"/>
    <w:rsid w:val="00AC26B9"/>
    <w:rsid w:val="00AC2B0E"/>
    <w:rsid w:val="00AC3111"/>
    <w:rsid w:val="00AC4912"/>
    <w:rsid w:val="00AC4C76"/>
    <w:rsid w:val="00AC69CE"/>
    <w:rsid w:val="00AC6AD9"/>
    <w:rsid w:val="00AC6BEF"/>
    <w:rsid w:val="00AC6E7D"/>
    <w:rsid w:val="00AC707D"/>
    <w:rsid w:val="00AC72BA"/>
    <w:rsid w:val="00AC7F44"/>
    <w:rsid w:val="00AD032B"/>
    <w:rsid w:val="00AD047C"/>
    <w:rsid w:val="00AD0AA7"/>
    <w:rsid w:val="00AD1FBC"/>
    <w:rsid w:val="00AD20FA"/>
    <w:rsid w:val="00AD27A2"/>
    <w:rsid w:val="00AD2CAC"/>
    <w:rsid w:val="00AD35B2"/>
    <w:rsid w:val="00AD38A7"/>
    <w:rsid w:val="00AD418C"/>
    <w:rsid w:val="00AD575B"/>
    <w:rsid w:val="00AD6844"/>
    <w:rsid w:val="00AD732C"/>
    <w:rsid w:val="00AD76FE"/>
    <w:rsid w:val="00AD7EF1"/>
    <w:rsid w:val="00AE021A"/>
    <w:rsid w:val="00AE023B"/>
    <w:rsid w:val="00AE0801"/>
    <w:rsid w:val="00AE0CEC"/>
    <w:rsid w:val="00AE1904"/>
    <w:rsid w:val="00AE1A4D"/>
    <w:rsid w:val="00AE1BB7"/>
    <w:rsid w:val="00AE21B3"/>
    <w:rsid w:val="00AE2678"/>
    <w:rsid w:val="00AE2D90"/>
    <w:rsid w:val="00AE3AB7"/>
    <w:rsid w:val="00AE4D7C"/>
    <w:rsid w:val="00AE4ECE"/>
    <w:rsid w:val="00AE51CF"/>
    <w:rsid w:val="00AE57CA"/>
    <w:rsid w:val="00AE5851"/>
    <w:rsid w:val="00AE5F14"/>
    <w:rsid w:val="00AE61E9"/>
    <w:rsid w:val="00AE68AE"/>
    <w:rsid w:val="00AF02FE"/>
    <w:rsid w:val="00AF066D"/>
    <w:rsid w:val="00AF0787"/>
    <w:rsid w:val="00AF17E2"/>
    <w:rsid w:val="00AF2374"/>
    <w:rsid w:val="00AF2C73"/>
    <w:rsid w:val="00AF30A9"/>
    <w:rsid w:val="00AF37C8"/>
    <w:rsid w:val="00AF3D1B"/>
    <w:rsid w:val="00AF3D49"/>
    <w:rsid w:val="00AF444C"/>
    <w:rsid w:val="00AF458B"/>
    <w:rsid w:val="00AF5CB4"/>
    <w:rsid w:val="00AF6BB7"/>
    <w:rsid w:val="00AF7222"/>
    <w:rsid w:val="00AF7AF7"/>
    <w:rsid w:val="00B00C38"/>
    <w:rsid w:val="00B020BB"/>
    <w:rsid w:val="00B02171"/>
    <w:rsid w:val="00B02F20"/>
    <w:rsid w:val="00B02F8D"/>
    <w:rsid w:val="00B0304D"/>
    <w:rsid w:val="00B03A7D"/>
    <w:rsid w:val="00B03A84"/>
    <w:rsid w:val="00B05837"/>
    <w:rsid w:val="00B059BA"/>
    <w:rsid w:val="00B06C50"/>
    <w:rsid w:val="00B07239"/>
    <w:rsid w:val="00B07657"/>
    <w:rsid w:val="00B07770"/>
    <w:rsid w:val="00B1001C"/>
    <w:rsid w:val="00B10A6A"/>
    <w:rsid w:val="00B10F8C"/>
    <w:rsid w:val="00B116EF"/>
    <w:rsid w:val="00B11F77"/>
    <w:rsid w:val="00B12A72"/>
    <w:rsid w:val="00B12F6D"/>
    <w:rsid w:val="00B13436"/>
    <w:rsid w:val="00B13B05"/>
    <w:rsid w:val="00B13E76"/>
    <w:rsid w:val="00B143A0"/>
    <w:rsid w:val="00B144FC"/>
    <w:rsid w:val="00B1451C"/>
    <w:rsid w:val="00B15198"/>
    <w:rsid w:val="00B155E4"/>
    <w:rsid w:val="00B15601"/>
    <w:rsid w:val="00B15612"/>
    <w:rsid w:val="00B1584C"/>
    <w:rsid w:val="00B15912"/>
    <w:rsid w:val="00B15FBB"/>
    <w:rsid w:val="00B16323"/>
    <w:rsid w:val="00B16440"/>
    <w:rsid w:val="00B1689B"/>
    <w:rsid w:val="00B16AAF"/>
    <w:rsid w:val="00B170A3"/>
    <w:rsid w:val="00B176B6"/>
    <w:rsid w:val="00B17B6F"/>
    <w:rsid w:val="00B20304"/>
    <w:rsid w:val="00B20765"/>
    <w:rsid w:val="00B20CFF"/>
    <w:rsid w:val="00B2101C"/>
    <w:rsid w:val="00B22158"/>
    <w:rsid w:val="00B22B8D"/>
    <w:rsid w:val="00B2307D"/>
    <w:rsid w:val="00B23A08"/>
    <w:rsid w:val="00B244E3"/>
    <w:rsid w:val="00B24998"/>
    <w:rsid w:val="00B24EC8"/>
    <w:rsid w:val="00B25006"/>
    <w:rsid w:val="00B2562A"/>
    <w:rsid w:val="00B261E6"/>
    <w:rsid w:val="00B27043"/>
    <w:rsid w:val="00B304B3"/>
    <w:rsid w:val="00B313B2"/>
    <w:rsid w:val="00B31412"/>
    <w:rsid w:val="00B324FC"/>
    <w:rsid w:val="00B325F1"/>
    <w:rsid w:val="00B32A35"/>
    <w:rsid w:val="00B33C9D"/>
    <w:rsid w:val="00B34E43"/>
    <w:rsid w:val="00B34E83"/>
    <w:rsid w:val="00B34F2E"/>
    <w:rsid w:val="00B34F36"/>
    <w:rsid w:val="00B35631"/>
    <w:rsid w:val="00B35988"/>
    <w:rsid w:val="00B35A7F"/>
    <w:rsid w:val="00B3615C"/>
    <w:rsid w:val="00B3676B"/>
    <w:rsid w:val="00B36AC6"/>
    <w:rsid w:val="00B373AA"/>
    <w:rsid w:val="00B378E3"/>
    <w:rsid w:val="00B404EF"/>
    <w:rsid w:val="00B409DC"/>
    <w:rsid w:val="00B4157D"/>
    <w:rsid w:val="00B416D9"/>
    <w:rsid w:val="00B41D0C"/>
    <w:rsid w:val="00B42F7F"/>
    <w:rsid w:val="00B42FFB"/>
    <w:rsid w:val="00B432BA"/>
    <w:rsid w:val="00B437D8"/>
    <w:rsid w:val="00B43C4D"/>
    <w:rsid w:val="00B44092"/>
    <w:rsid w:val="00B4426D"/>
    <w:rsid w:val="00B44C9A"/>
    <w:rsid w:val="00B46F4F"/>
    <w:rsid w:val="00B4745D"/>
    <w:rsid w:val="00B476A5"/>
    <w:rsid w:val="00B4770B"/>
    <w:rsid w:val="00B508C2"/>
    <w:rsid w:val="00B50C47"/>
    <w:rsid w:val="00B512CF"/>
    <w:rsid w:val="00B512FC"/>
    <w:rsid w:val="00B5173F"/>
    <w:rsid w:val="00B51DFF"/>
    <w:rsid w:val="00B52062"/>
    <w:rsid w:val="00B52717"/>
    <w:rsid w:val="00B53D3B"/>
    <w:rsid w:val="00B5586E"/>
    <w:rsid w:val="00B55A16"/>
    <w:rsid w:val="00B55ECC"/>
    <w:rsid w:val="00B569F0"/>
    <w:rsid w:val="00B57B9B"/>
    <w:rsid w:val="00B60BCC"/>
    <w:rsid w:val="00B60DCF"/>
    <w:rsid w:val="00B61A9C"/>
    <w:rsid w:val="00B61B94"/>
    <w:rsid w:val="00B61D6E"/>
    <w:rsid w:val="00B62FF7"/>
    <w:rsid w:val="00B633EC"/>
    <w:rsid w:val="00B64741"/>
    <w:rsid w:val="00B64852"/>
    <w:rsid w:val="00B65302"/>
    <w:rsid w:val="00B65679"/>
    <w:rsid w:val="00B662D3"/>
    <w:rsid w:val="00B6683D"/>
    <w:rsid w:val="00B669ED"/>
    <w:rsid w:val="00B67358"/>
    <w:rsid w:val="00B677E7"/>
    <w:rsid w:val="00B67A65"/>
    <w:rsid w:val="00B67F40"/>
    <w:rsid w:val="00B7174C"/>
    <w:rsid w:val="00B71F14"/>
    <w:rsid w:val="00B7248D"/>
    <w:rsid w:val="00B72603"/>
    <w:rsid w:val="00B72629"/>
    <w:rsid w:val="00B730F1"/>
    <w:rsid w:val="00B7353A"/>
    <w:rsid w:val="00B73CBD"/>
    <w:rsid w:val="00B740B8"/>
    <w:rsid w:val="00B7447F"/>
    <w:rsid w:val="00B7450C"/>
    <w:rsid w:val="00B74A9F"/>
    <w:rsid w:val="00B75843"/>
    <w:rsid w:val="00B7586A"/>
    <w:rsid w:val="00B76092"/>
    <w:rsid w:val="00B76312"/>
    <w:rsid w:val="00B77028"/>
    <w:rsid w:val="00B7791C"/>
    <w:rsid w:val="00B77C8C"/>
    <w:rsid w:val="00B8043C"/>
    <w:rsid w:val="00B80950"/>
    <w:rsid w:val="00B81566"/>
    <w:rsid w:val="00B817BC"/>
    <w:rsid w:val="00B8246D"/>
    <w:rsid w:val="00B82BE1"/>
    <w:rsid w:val="00B82D0C"/>
    <w:rsid w:val="00B8323C"/>
    <w:rsid w:val="00B8325D"/>
    <w:rsid w:val="00B83475"/>
    <w:rsid w:val="00B8383D"/>
    <w:rsid w:val="00B83CC1"/>
    <w:rsid w:val="00B84235"/>
    <w:rsid w:val="00B851A0"/>
    <w:rsid w:val="00B8592F"/>
    <w:rsid w:val="00B85AB0"/>
    <w:rsid w:val="00B85DFE"/>
    <w:rsid w:val="00B863E0"/>
    <w:rsid w:val="00B867E6"/>
    <w:rsid w:val="00B90D8E"/>
    <w:rsid w:val="00B9183F"/>
    <w:rsid w:val="00B91E9F"/>
    <w:rsid w:val="00B932EF"/>
    <w:rsid w:val="00B93992"/>
    <w:rsid w:val="00B942A6"/>
    <w:rsid w:val="00B94BC8"/>
    <w:rsid w:val="00B94D09"/>
    <w:rsid w:val="00B9530E"/>
    <w:rsid w:val="00B95450"/>
    <w:rsid w:val="00B95BC6"/>
    <w:rsid w:val="00B96E41"/>
    <w:rsid w:val="00B96F56"/>
    <w:rsid w:val="00B976A3"/>
    <w:rsid w:val="00B97CF7"/>
    <w:rsid w:val="00BA05D9"/>
    <w:rsid w:val="00BA12D9"/>
    <w:rsid w:val="00BA1B4C"/>
    <w:rsid w:val="00BA265A"/>
    <w:rsid w:val="00BA26AC"/>
    <w:rsid w:val="00BA3392"/>
    <w:rsid w:val="00BA3D95"/>
    <w:rsid w:val="00BA4385"/>
    <w:rsid w:val="00BA444C"/>
    <w:rsid w:val="00BA4C3A"/>
    <w:rsid w:val="00BA4FF9"/>
    <w:rsid w:val="00BA606D"/>
    <w:rsid w:val="00BA65CF"/>
    <w:rsid w:val="00BA6CF4"/>
    <w:rsid w:val="00BA7035"/>
    <w:rsid w:val="00BA71C8"/>
    <w:rsid w:val="00BA73B4"/>
    <w:rsid w:val="00BA7691"/>
    <w:rsid w:val="00BB0ECB"/>
    <w:rsid w:val="00BB1040"/>
    <w:rsid w:val="00BB11A8"/>
    <w:rsid w:val="00BB16A4"/>
    <w:rsid w:val="00BB2486"/>
    <w:rsid w:val="00BB38F3"/>
    <w:rsid w:val="00BB399C"/>
    <w:rsid w:val="00BB461B"/>
    <w:rsid w:val="00BB5561"/>
    <w:rsid w:val="00BB6FE9"/>
    <w:rsid w:val="00BB78F6"/>
    <w:rsid w:val="00BC0D46"/>
    <w:rsid w:val="00BC1317"/>
    <w:rsid w:val="00BC133D"/>
    <w:rsid w:val="00BC151B"/>
    <w:rsid w:val="00BC33C4"/>
    <w:rsid w:val="00BC36B5"/>
    <w:rsid w:val="00BC3AED"/>
    <w:rsid w:val="00BC403D"/>
    <w:rsid w:val="00BC5E63"/>
    <w:rsid w:val="00BC6510"/>
    <w:rsid w:val="00BC6526"/>
    <w:rsid w:val="00BC6CB9"/>
    <w:rsid w:val="00BC6DE5"/>
    <w:rsid w:val="00BC73FC"/>
    <w:rsid w:val="00BC797A"/>
    <w:rsid w:val="00BC7C44"/>
    <w:rsid w:val="00BC7E0B"/>
    <w:rsid w:val="00BD01B6"/>
    <w:rsid w:val="00BD0AD2"/>
    <w:rsid w:val="00BD1436"/>
    <w:rsid w:val="00BD1DDA"/>
    <w:rsid w:val="00BD2745"/>
    <w:rsid w:val="00BD28DC"/>
    <w:rsid w:val="00BD403A"/>
    <w:rsid w:val="00BD40F9"/>
    <w:rsid w:val="00BD42B2"/>
    <w:rsid w:val="00BD4321"/>
    <w:rsid w:val="00BD44E2"/>
    <w:rsid w:val="00BD4771"/>
    <w:rsid w:val="00BD47EA"/>
    <w:rsid w:val="00BD4E40"/>
    <w:rsid w:val="00BD518D"/>
    <w:rsid w:val="00BD54EF"/>
    <w:rsid w:val="00BD60A9"/>
    <w:rsid w:val="00BD6506"/>
    <w:rsid w:val="00BD7BA1"/>
    <w:rsid w:val="00BD7D4B"/>
    <w:rsid w:val="00BE001D"/>
    <w:rsid w:val="00BE022B"/>
    <w:rsid w:val="00BE0B5E"/>
    <w:rsid w:val="00BE0C7D"/>
    <w:rsid w:val="00BE101F"/>
    <w:rsid w:val="00BE1B52"/>
    <w:rsid w:val="00BE240F"/>
    <w:rsid w:val="00BE31B9"/>
    <w:rsid w:val="00BE4073"/>
    <w:rsid w:val="00BE5247"/>
    <w:rsid w:val="00BE5294"/>
    <w:rsid w:val="00BE60CC"/>
    <w:rsid w:val="00BE6232"/>
    <w:rsid w:val="00BE6B03"/>
    <w:rsid w:val="00BE7F02"/>
    <w:rsid w:val="00BF0344"/>
    <w:rsid w:val="00BF0C0E"/>
    <w:rsid w:val="00BF11A1"/>
    <w:rsid w:val="00BF1628"/>
    <w:rsid w:val="00BF1B87"/>
    <w:rsid w:val="00BF1D94"/>
    <w:rsid w:val="00BF237D"/>
    <w:rsid w:val="00BF4A5D"/>
    <w:rsid w:val="00BF4D8D"/>
    <w:rsid w:val="00BF5378"/>
    <w:rsid w:val="00BF5739"/>
    <w:rsid w:val="00BF5A0A"/>
    <w:rsid w:val="00BF5E51"/>
    <w:rsid w:val="00BF60BE"/>
    <w:rsid w:val="00BF6A2E"/>
    <w:rsid w:val="00BF6E46"/>
    <w:rsid w:val="00BF781A"/>
    <w:rsid w:val="00BF7A94"/>
    <w:rsid w:val="00C003AB"/>
    <w:rsid w:val="00C008EA"/>
    <w:rsid w:val="00C01476"/>
    <w:rsid w:val="00C01FD8"/>
    <w:rsid w:val="00C023D4"/>
    <w:rsid w:val="00C03BAC"/>
    <w:rsid w:val="00C04AB8"/>
    <w:rsid w:val="00C04B03"/>
    <w:rsid w:val="00C05C4A"/>
    <w:rsid w:val="00C06670"/>
    <w:rsid w:val="00C06E6C"/>
    <w:rsid w:val="00C06E6E"/>
    <w:rsid w:val="00C072B1"/>
    <w:rsid w:val="00C07E87"/>
    <w:rsid w:val="00C07F7D"/>
    <w:rsid w:val="00C10DB4"/>
    <w:rsid w:val="00C11656"/>
    <w:rsid w:val="00C12994"/>
    <w:rsid w:val="00C12DAD"/>
    <w:rsid w:val="00C1390A"/>
    <w:rsid w:val="00C14043"/>
    <w:rsid w:val="00C15334"/>
    <w:rsid w:val="00C16D69"/>
    <w:rsid w:val="00C17F39"/>
    <w:rsid w:val="00C2011C"/>
    <w:rsid w:val="00C2057A"/>
    <w:rsid w:val="00C20FBA"/>
    <w:rsid w:val="00C21707"/>
    <w:rsid w:val="00C228A6"/>
    <w:rsid w:val="00C22A58"/>
    <w:rsid w:val="00C22A6F"/>
    <w:rsid w:val="00C2540D"/>
    <w:rsid w:val="00C25F26"/>
    <w:rsid w:val="00C26187"/>
    <w:rsid w:val="00C26247"/>
    <w:rsid w:val="00C273CF"/>
    <w:rsid w:val="00C27974"/>
    <w:rsid w:val="00C279CC"/>
    <w:rsid w:val="00C27AB1"/>
    <w:rsid w:val="00C308B2"/>
    <w:rsid w:val="00C310D0"/>
    <w:rsid w:val="00C316E1"/>
    <w:rsid w:val="00C31A50"/>
    <w:rsid w:val="00C31C8D"/>
    <w:rsid w:val="00C32D11"/>
    <w:rsid w:val="00C32DA9"/>
    <w:rsid w:val="00C33BC0"/>
    <w:rsid w:val="00C33DFF"/>
    <w:rsid w:val="00C341FD"/>
    <w:rsid w:val="00C354AF"/>
    <w:rsid w:val="00C3607D"/>
    <w:rsid w:val="00C367E3"/>
    <w:rsid w:val="00C36965"/>
    <w:rsid w:val="00C37004"/>
    <w:rsid w:val="00C37041"/>
    <w:rsid w:val="00C378B0"/>
    <w:rsid w:val="00C37B2C"/>
    <w:rsid w:val="00C37E5E"/>
    <w:rsid w:val="00C40056"/>
    <w:rsid w:val="00C41BC3"/>
    <w:rsid w:val="00C41D30"/>
    <w:rsid w:val="00C4249F"/>
    <w:rsid w:val="00C426A5"/>
    <w:rsid w:val="00C432C0"/>
    <w:rsid w:val="00C436DF"/>
    <w:rsid w:val="00C43951"/>
    <w:rsid w:val="00C43C82"/>
    <w:rsid w:val="00C44112"/>
    <w:rsid w:val="00C44121"/>
    <w:rsid w:val="00C44CD8"/>
    <w:rsid w:val="00C450E9"/>
    <w:rsid w:val="00C45752"/>
    <w:rsid w:val="00C46E47"/>
    <w:rsid w:val="00C46E72"/>
    <w:rsid w:val="00C475F4"/>
    <w:rsid w:val="00C478E1"/>
    <w:rsid w:val="00C51C7C"/>
    <w:rsid w:val="00C51FDE"/>
    <w:rsid w:val="00C52225"/>
    <w:rsid w:val="00C53594"/>
    <w:rsid w:val="00C53D6E"/>
    <w:rsid w:val="00C53F63"/>
    <w:rsid w:val="00C548A6"/>
    <w:rsid w:val="00C54B45"/>
    <w:rsid w:val="00C54C45"/>
    <w:rsid w:val="00C55995"/>
    <w:rsid w:val="00C5624D"/>
    <w:rsid w:val="00C56253"/>
    <w:rsid w:val="00C57B22"/>
    <w:rsid w:val="00C60FF8"/>
    <w:rsid w:val="00C6123A"/>
    <w:rsid w:val="00C6155F"/>
    <w:rsid w:val="00C62251"/>
    <w:rsid w:val="00C628E5"/>
    <w:rsid w:val="00C62C1D"/>
    <w:rsid w:val="00C634FC"/>
    <w:rsid w:val="00C643BD"/>
    <w:rsid w:val="00C649E9"/>
    <w:rsid w:val="00C65099"/>
    <w:rsid w:val="00C655FF"/>
    <w:rsid w:val="00C66316"/>
    <w:rsid w:val="00C668EE"/>
    <w:rsid w:val="00C668FF"/>
    <w:rsid w:val="00C66A5A"/>
    <w:rsid w:val="00C6725F"/>
    <w:rsid w:val="00C676BF"/>
    <w:rsid w:val="00C709E6"/>
    <w:rsid w:val="00C716DA"/>
    <w:rsid w:val="00C71E94"/>
    <w:rsid w:val="00C72591"/>
    <w:rsid w:val="00C729DB"/>
    <w:rsid w:val="00C73C0B"/>
    <w:rsid w:val="00C745E8"/>
    <w:rsid w:val="00C7488D"/>
    <w:rsid w:val="00C74E42"/>
    <w:rsid w:val="00C75057"/>
    <w:rsid w:val="00C75598"/>
    <w:rsid w:val="00C75641"/>
    <w:rsid w:val="00C75F4C"/>
    <w:rsid w:val="00C76520"/>
    <w:rsid w:val="00C807D8"/>
    <w:rsid w:val="00C807F9"/>
    <w:rsid w:val="00C80B8A"/>
    <w:rsid w:val="00C81E4D"/>
    <w:rsid w:val="00C81FDA"/>
    <w:rsid w:val="00C82544"/>
    <w:rsid w:val="00C82819"/>
    <w:rsid w:val="00C83138"/>
    <w:rsid w:val="00C835E8"/>
    <w:rsid w:val="00C84129"/>
    <w:rsid w:val="00C84C1D"/>
    <w:rsid w:val="00C84F26"/>
    <w:rsid w:val="00C85197"/>
    <w:rsid w:val="00C858D0"/>
    <w:rsid w:val="00C858FE"/>
    <w:rsid w:val="00C85B3A"/>
    <w:rsid w:val="00C867EF"/>
    <w:rsid w:val="00C87B2D"/>
    <w:rsid w:val="00C9058F"/>
    <w:rsid w:val="00C90B3D"/>
    <w:rsid w:val="00C928D8"/>
    <w:rsid w:val="00C92A56"/>
    <w:rsid w:val="00C93208"/>
    <w:rsid w:val="00C93F4E"/>
    <w:rsid w:val="00C94415"/>
    <w:rsid w:val="00C94966"/>
    <w:rsid w:val="00C94C44"/>
    <w:rsid w:val="00C95F12"/>
    <w:rsid w:val="00C95FA5"/>
    <w:rsid w:val="00C967CD"/>
    <w:rsid w:val="00C97001"/>
    <w:rsid w:val="00CA0396"/>
    <w:rsid w:val="00CA281C"/>
    <w:rsid w:val="00CA2C07"/>
    <w:rsid w:val="00CA335B"/>
    <w:rsid w:val="00CA4EE4"/>
    <w:rsid w:val="00CA58D3"/>
    <w:rsid w:val="00CA5A1A"/>
    <w:rsid w:val="00CA5E65"/>
    <w:rsid w:val="00CA632B"/>
    <w:rsid w:val="00CA714C"/>
    <w:rsid w:val="00CA7846"/>
    <w:rsid w:val="00CA7BD4"/>
    <w:rsid w:val="00CB036F"/>
    <w:rsid w:val="00CB086D"/>
    <w:rsid w:val="00CB0B54"/>
    <w:rsid w:val="00CB103B"/>
    <w:rsid w:val="00CB14E1"/>
    <w:rsid w:val="00CB1BD6"/>
    <w:rsid w:val="00CB22E6"/>
    <w:rsid w:val="00CB2787"/>
    <w:rsid w:val="00CB3309"/>
    <w:rsid w:val="00CB3D03"/>
    <w:rsid w:val="00CB42FC"/>
    <w:rsid w:val="00CB49AB"/>
    <w:rsid w:val="00CB5DF6"/>
    <w:rsid w:val="00CB632A"/>
    <w:rsid w:val="00CB64F6"/>
    <w:rsid w:val="00CB7BD8"/>
    <w:rsid w:val="00CC03BE"/>
    <w:rsid w:val="00CC1558"/>
    <w:rsid w:val="00CC195E"/>
    <w:rsid w:val="00CC1E40"/>
    <w:rsid w:val="00CC2D91"/>
    <w:rsid w:val="00CC3E77"/>
    <w:rsid w:val="00CC4396"/>
    <w:rsid w:val="00CC4594"/>
    <w:rsid w:val="00CC472B"/>
    <w:rsid w:val="00CC4A66"/>
    <w:rsid w:val="00CC4CE4"/>
    <w:rsid w:val="00CC4FAF"/>
    <w:rsid w:val="00CC5423"/>
    <w:rsid w:val="00CC5DC5"/>
    <w:rsid w:val="00CC6D19"/>
    <w:rsid w:val="00CC71BE"/>
    <w:rsid w:val="00CC77C5"/>
    <w:rsid w:val="00CC7A84"/>
    <w:rsid w:val="00CC7CFF"/>
    <w:rsid w:val="00CD0032"/>
    <w:rsid w:val="00CD05E0"/>
    <w:rsid w:val="00CD0B74"/>
    <w:rsid w:val="00CD0F03"/>
    <w:rsid w:val="00CD0F10"/>
    <w:rsid w:val="00CD252B"/>
    <w:rsid w:val="00CD2A30"/>
    <w:rsid w:val="00CD32E5"/>
    <w:rsid w:val="00CD3F2B"/>
    <w:rsid w:val="00CD41EC"/>
    <w:rsid w:val="00CD4AC0"/>
    <w:rsid w:val="00CD4D46"/>
    <w:rsid w:val="00CD4DD6"/>
    <w:rsid w:val="00CD5071"/>
    <w:rsid w:val="00CD6562"/>
    <w:rsid w:val="00CD65A9"/>
    <w:rsid w:val="00CD75F3"/>
    <w:rsid w:val="00CD7B86"/>
    <w:rsid w:val="00CE0AB4"/>
    <w:rsid w:val="00CE0B6E"/>
    <w:rsid w:val="00CE0FB3"/>
    <w:rsid w:val="00CE14EC"/>
    <w:rsid w:val="00CE204D"/>
    <w:rsid w:val="00CE2A11"/>
    <w:rsid w:val="00CE3288"/>
    <w:rsid w:val="00CE33D7"/>
    <w:rsid w:val="00CE3E7E"/>
    <w:rsid w:val="00CE46ED"/>
    <w:rsid w:val="00CE5255"/>
    <w:rsid w:val="00CE621E"/>
    <w:rsid w:val="00CE629B"/>
    <w:rsid w:val="00CE709A"/>
    <w:rsid w:val="00CE72AB"/>
    <w:rsid w:val="00CE7CC2"/>
    <w:rsid w:val="00CE7F57"/>
    <w:rsid w:val="00CF09C8"/>
    <w:rsid w:val="00CF0ACE"/>
    <w:rsid w:val="00CF1078"/>
    <w:rsid w:val="00CF16AE"/>
    <w:rsid w:val="00CF1B7D"/>
    <w:rsid w:val="00CF28D3"/>
    <w:rsid w:val="00CF3644"/>
    <w:rsid w:val="00CF39D7"/>
    <w:rsid w:val="00CF45CB"/>
    <w:rsid w:val="00CF50E0"/>
    <w:rsid w:val="00CF56F7"/>
    <w:rsid w:val="00CF5A44"/>
    <w:rsid w:val="00CF73BE"/>
    <w:rsid w:val="00CF7486"/>
    <w:rsid w:val="00D012D8"/>
    <w:rsid w:val="00D01C28"/>
    <w:rsid w:val="00D0292C"/>
    <w:rsid w:val="00D02CF7"/>
    <w:rsid w:val="00D02D10"/>
    <w:rsid w:val="00D0323F"/>
    <w:rsid w:val="00D03383"/>
    <w:rsid w:val="00D03E81"/>
    <w:rsid w:val="00D04581"/>
    <w:rsid w:val="00D0507C"/>
    <w:rsid w:val="00D05EDC"/>
    <w:rsid w:val="00D0670A"/>
    <w:rsid w:val="00D075DC"/>
    <w:rsid w:val="00D0760C"/>
    <w:rsid w:val="00D106A5"/>
    <w:rsid w:val="00D109DB"/>
    <w:rsid w:val="00D10CE5"/>
    <w:rsid w:val="00D1106C"/>
    <w:rsid w:val="00D12EF4"/>
    <w:rsid w:val="00D1456E"/>
    <w:rsid w:val="00D14A37"/>
    <w:rsid w:val="00D150CC"/>
    <w:rsid w:val="00D15378"/>
    <w:rsid w:val="00D1606D"/>
    <w:rsid w:val="00D163DA"/>
    <w:rsid w:val="00D17508"/>
    <w:rsid w:val="00D209FD"/>
    <w:rsid w:val="00D20C47"/>
    <w:rsid w:val="00D20C71"/>
    <w:rsid w:val="00D223DB"/>
    <w:rsid w:val="00D22472"/>
    <w:rsid w:val="00D22489"/>
    <w:rsid w:val="00D23009"/>
    <w:rsid w:val="00D23372"/>
    <w:rsid w:val="00D24E9C"/>
    <w:rsid w:val="00D2500E"/>
    <w:rsid w:val="00D2509F"/>
    <w:rsid w:val="00D25A8D"/>
    <w:rsid w:val="00D25E59"/>
    <w:rsid w:val="00D26151"/>
    <w:rsid w:val="00D26326"/>
    <w:rsid w:val="00D267AD"/>
    <w:rsid w:val="00D27093"/>
    <w:rsid w:val="00D27B8C"/>
    <w:rsid w:val="00D3009A"/>
    <w:rsid w:val="00D3024E"/>
    <w:rsid w:val="00D3053F"/>
    <w:rsid w:val="00D30A0D"/>
    <w:rsid w:val="00D3121C"/>
    <w:rsid w:val="00D3165C"/>
    <w:rsid w:val="00D3166B"/>
    <w:rsid w:val="00D3263E"/>
    <w:rsid w:val="00D32714"/>
    <w:rsid w:val="00D334D3"/>
    <w:rsid w:val="00D33730"/>
    <w:rsid w:val="00D33C38"/>
    <w:rsid w:val="00D3479A"/>
    <w:rsid w:val="00D3498F"/>
    <w:rsid w:val="00D34D17"/>
    <w:rsid w:val="00D34EBA"/>
    <w:rsid w:val="00D3567B"/>
    <w:rsid w:val="00D35C8F"/>
    <w:rsid w:val="00D35E7D"/>
    <w:rsid w:val="00D366F7"/>
    <w:rsid w:val="00D367B2"/>
    <w:rsid w:val="00D40CED"/>
    <w:rsid w:val="00D41893"/>
    <w:rsid w:val="00D41A15"/>
    <w:rsid w:val="00D422BE"/>
    <w:rsid w:val="00D42397"/>
    <w:rsid w:val="00D42F5C"/>
    <w:rsid w:val="00D43308"/>
    <w:rsid w:val="00D43848"/>
    <w:rsid w:val="00D43E69"/>
    <w:rsid w:val="00D45C98"/>
    <w:rsid w:val="00D46982"/>
    <w:rsid w:val="00D46ABB"/>
    <w:rsid w:val="00D4789E"/>
    <w:rsid w:val="00D47A8A"/>
    <w:rsid w:val="00D50105"/>
    <w:rsid w:val="00D507D6"/>
    <w:rsid w:val="00D50978"/>
    <w:rsid w:val="00D50F03"/>
    <w:rsid w:val="00D515B2"/>
    <w:rsid w:val="00D516BC"/>
    <w:rsid w:val="00D5201C"/>
    <w:rsid w:val="00D52318"/>
    <w:rsid w:val="00D52B29"/>
    <w:rsid w:val="00D53618"/>
    <w:rsid w:val="00D541C8"/>
    <w:rsid w:val="00D542F8"/>
    <w:rsid w:val="00D545C7"/>
    <w:rsid w:val="00D545FF"/>
    <w:rsid w:val="00D54DDC"/>
    <w:rsid w:val="00D552A0"/>
    <w:rsid w:val="00D56043"/>
    <w:rsid w:val="00D564CB"/>
    <w:rsid w:val="00D564D0"/>
    <w:rsid w:val="00D56BBC"/>
    <w:rsid w:val="00D5703D"/>
    <w:rsid w:val="00D5768F"/>
    <w:rsid w:val="00D577E3"/>
    <w:rsid w:val="00D57E99"/>
    <w:rsid w:val="00D57FA2"/>
    <w:rsid w:val="00D600F1"/>
    <w:rsid w:val="00D60388"/>
    <w:rsid w:val="00D603FC"/>
    <w:rsid w:val="00D61461"/>
    <w:rsid w:val="00D615F3"/>
    <w:rsid w:val="00D61B32"/>
    <w:rsid w:val="00D62B69"/>
    <w:rsid w:val="00D63650"/>
    <w:rsid w:val="00D63965"/>
    <w:rsid w:val="00D63D00"/>
    <w:rsid w:val="00D63E03"/>
    <w:rsid w:val="00D63F72"/>
    <w:rsid w:val="00D644FA"/>
    <w:rsid w:val="00D64773"/>
    <w:rsid w:val="00D64C2D"/>
    <w:rsid w:val="00D650BB"/>
    <w:rsid w:val="00D658D9"/>
    <w:rsid w:val="00D65EB3"/>
    <w:rsid w:val="00D67286"/>
    <w:rsid w:val="00D67A0B"/>
    <w:rsid w:val="00D71389"/>
    <w:rsid w:val="00D71965"/>
    <w:rsid w:val="00D73216"/>
    <w:rsid w:val="00D7330C"/>
    <w:rsid w:val="00D73550"/>
    <w:rsid w:val="00D73E6C"/>
    <w:rsid w:val="00D743C1"/>
    <w:rsid w:val="00D7502D"/>
    <w:rsid w:val="00D759EC"/>
    <w:rsid w:val="00D76850"/>
    <w:rsid w:val="00D77860"/>
    <w:rsid w:val="00D77BB2"/>
    <w:rsid w:val="00D77BC4"/>
    <w:rsid w:val="00D77D2E"/>
    <w:rsid w:val="00D77EA5"/>
    <w:rsid w:val="00D80091"/>
    <w:rsid w:val="00D80A49"/>
    <w:rsid w:val="00D82611"/>
    <w:rsid w:val="00D846E2"/>
    <w:rsid w:val="00D847E7"/>
    <w:rsid w:val="00D84862"/>
    <w:rsid w:val="00D84F34"/>
    <w:rsid w:val="00D851EF"/>
    <w:rsid w:val="00D8582C"/>
    <w:rsid w:val="00D85E1F"/>
    <w:rsid w:val="00D86FC0"/>
    <w:rsid w:val="00D876EC"/>
    <w:rsid w:val="00D87EFE"/>
    <w:rsid w:val="00D9312F"/>
    <w:rsid w:val="00D93520"/>
    <w:rsid w:val="00D93DAF"/>
    <w:rsid w:val="00D9458A"/>
    <w:rsid w:val="00D945E9"/>
    <w:rsid w:val="00D94F20"/>
    <w:rsid w:val="00D9510D"/>
    <w:rsid w:val="00D95D5C"/>
    <w:rsid w:val="00D95E60"/>
    <w:rsid w:val="00D963D7"/>
    <w:rsid w:val="00D96854"/>
    <w:rsid w:val="00D97324"/>
    <w:rsid w:val="00D974A0"/>
    <w:rsid w:val="00DA108D"/>
    <w:rsid w:val="00DA1269"/>
    <w:rsid w:val="00DA1699"/>
    <w:rsid w:val="00DA16DD"/>
    <w:rsid w:val="00DA22D2"/>
    <w:rsid w:val="00DA27A4"/>
    <w:rsid w:val="00DA29BC"/>
    <w:rsid w:val="00DA2E0E"/>
    <w:rsid w:val="00DA32A7"/>
    <w:rsid w:val="00DA4AC1"/>
    <w:rsid w:val="00DA4DED"/>
    <w:rsid w:val="00DA52E1"/>
    <w:rsid w:val="00DA5F69"/>
    <w:rsid w:val="00DA6FA9"/>
    <w:rsid w:val="00DA74EB"/>
    <w:rsid w:val="00DA7538"/>
    <w:rsid w:val="00DB112E"/>
    <w:rsid w:val="00DB15A6"/>
    <w:rsid w:val="00DB25D4"/>
    <w:rsid w:val="00DB2DCF"/>
    <w:rsid w:val="00DB2FDC"/>
    <w:rsid w:val="00DB3102"/>
    <w:rsid w:val="00DB3153"/>
    <w:rsid w:val="00DB3558"/>
    <w:rsid w:val="00DB366D"/>
    <w:rsid w:val="00DB36E8"/>
    <w:rsid w:val="00DB4595"/>
    <w:rsid w:val="00DB49EB"/>
    <w:rsid w:val="00DB4AF5"/>
    <w:rsid w:val="00DB5220"/>
    <w:rsid w:val="00DB57BC"/>
    <w:rsid w:val="00DB5951"/>
    <w:rsid w:val="00DB5DC8"/>
    <w:rsid w:val="00DB62A4"/>
    <w:rsid w:val="00DB6665"/>
    <w:rsid w:val="00DB6A65"/>
    <w:rsid w:val="00DB7908"/>
    <w:rsid w:val="00DB7CAD"/>
    <w:rsid w:val="00DC0559"/>
    <w:rsid w:val="00DC066C"/>
    <w:rsid w:val="00DC1640"/>
    <w:rsid w:val="00DC170F"/>
    <w:rsid w:val="00DC1842"/>
    <w:rsid w:val="00DC26E6"/>
    <w:rsid w:val="00DC54FE"/>
    <w:rsid w:val="00DC5649"/>
    <w:rsid w:val="00DC668A"/>
    <w:rsid w:val="00DC668D"/>
    <w:rsid w:val="00DC6923"/>
    <w:rsid w:val="00DC698B"/>
    <w:rsid w:val="00DC6DD7"/>
    <w:rsid w:val="00DC7097"/>
    <w:rsid w:val="00DD0145"/>
    <w:rsid w:val="00DD0622"/>
    <w:rsid w:val="00DD085A"/>
    <w:rsid w:val="00DD1531"/>
    <w:rsid w:val="00DD1566"/>
    <w:rsid w:val="00DD18D9"/>
    <w:rsid w:val="00DD1C3B"/>
    <w:rsid w:val="00DD2A99"/>
    <w:rsid w:val="00DD385D"/>
    <w:rsid w:val="00DD3902"/>
    <w:rsid w:val="00DD4318"/>
    <w:rsid w:val="00DD4E53"/>
    <w:rsid w:val="00DD4EDF"/>
    <w:rsid w:val="00DD4FE7"/>
    <w:rsid w:val="00DD5BCB"/>
    <w:rsid w:val="00DD5E35"/>
    <w:rsid w:val="00DD6237"/>
    <w:rsid w:val="00DD655B"/>
    <w:rsid w:val="00DD727E"/>
    <w:rsid w:val="00DD74D3"/>
    <w:rsid w:val="00DD7A1B"/>
    <w:rsid w:val="00DD7D91"/>
    <w:rsid w:val="00DE2052"/>
    <w:rsid w:val="00DE26B5"/>
    <w:rsid w:val="00DE28E8"/>
    <w:rsid w:val="00DE299E"/>
    <w:rsid w:val="00DE2BCD"/>
    <w:rsid w:val="00DE380F"/>
    <w:rsid w:val="00DE3989"/>
    <w:rsid w:val="00DE4711"/>
    <w:rsid w:val="00DE491A"/>
    <w:rsid w:val="00DE4EEF"/>
    <w:rsid w:val="00DE5A25"/>
    <w:rsid w:val="00DE5F9F"/>
    <w:rsid w:val="00DE6382"/>
    <w:rsid w:val="00DE63C7"/>
    <w:rsid w:val="00DE6494"/>
    <w:rsid w:val="00DE7197"/>
    <w:rsid w:val="00DE76E3"/>
    <w:rsid w:val="00DE7CDD"/>
    <w:rsid w:val="00DF28A0"/>
    <w:rsid w:val="00DF2947"/>
    <w:rsid w:val="00DF395F"/>
    <w:rsid w:val="00DF45C5"/>
    <w:rsid w:val="00DF514A"/>
    <w:rsid w:val="00DF5E4E"/>
    <w:rsid w:val="00DF6B2D"/>
    <w:rsid w:val="00DF6E9F"/>
    <w:rsid w:val="00DF72EE"/>
    <w:rsid w:val="00DF796D"/>
    <w:rsid w:val="00E019A8"/>
    <w:rsid w:val="00E01A11"/>
    <w:rsid w:val="00E02AFB"/>
    <w:rsid w:val="00E03873"/>
    <w:rsid w:val="00E03D14"/>
    <w:rsid w:val="00E04480"/>
    <w:rsid w:val="00E05320"/>
    <w:rsid w:val="00E06EE5"/>
    <w:rsid w:val="00E079F1"/>
    <w:rsid w:val="00E107F5"/>
    <w:rsid w:val="00E10E75"/>
    <w:rsid w:val="00E10EF7"/>
    <w:rsid w:val="00E10FC8"/>
    <w:rsid w:val="00E1279F"/>
    <w:rsid w:val="00E12E2C"/>
    <w:rsid w:val="00E12FE8"/>
    <w:rsid w:val="00E13078"/>
    <w:rsid w:val="00E136AC"/>
    <w:rsid w:val="00E13DDC"/>
    <w:rsid w:val="00E14F71"/>
    <w:rsid w:val="00E1528F"/>
    <w:rsid w:val="00E15B4C"/>
    <w:rsid w:val="00E16629"/>
    <w:rsid w:val="00E16673"/>
    <w:rsid w:val="00E16A2E"/>
    <w:rsid w:val="00E16A63"/>
    <w:rsid w:val="00E16C95"/>
    <w:rsid w:val="00E170BF"/>
    <w:rsid w:val="00E17235"/>
    <w:rsid w:val="00E175B0"/>
    <w:rsid w:val="00E17C9B"/>
    <w:rsid w:val="00E17DE5"/>
    <w:rsid w:val="00E201FE"/>
    <w:rsid w:val="00E20224"/>
    <w:rsid w:val="00E20334"/>
    <w:rsid w:val="00E209C7"/>
    <w:rsid w:val="00E20F5B"/>
    <w:rsid w:val="00E213CA"/>
    <w:rsid w:val="00E214DA"/>
    <w:rsid w:val="00E215D5"/>
    <w:rsid w:val="00E216F2"/>
    <w:rsid w:val="00E222AF"/>
    <w:rsid w:val="00E2282F"/>
    <w:rsid w:val="00E229DC"/>
    <w:rsid w:val="00E230D9"/>
    <w:rsid w:val="00E23180"/>
    <w:rsid w:val="00E23446"/>
    <w:rsid w:val="00E23999"/>
    <w:rsid w:val="00E23B6C"/>
    <w:rsid w:val="00E24C75"/>
    <w:rsid w:val="00E25218"/>
    <w:rsid w:val="00E257D5"/>
    <w:rsid w:val="00E25AAF"/>
    <w:rsid w:val="00E25BB0"/>
    <w:rsid w:val="00E2614D"/>
    <w:rsid w:val="00E265A1"/>
    <w:rsid w:val="00E275F1"/>
    <w:rsid w:val="00E27D53"/>
    <w:rsid w:val="00E30754"/>
    <w:rsid w:val="00E30AF8"/>
    <w:rsid w:val="00E30C84"/>
    <w:rsid w:val="00E314AB"/>
    <w:rsid w:val="00E3156F"/>
    <w:rsid w:val="00E31872"/>
    <w:rsid w:val="00E31E23"/>
    <w:rsid w:val="00E3228A"/>
    <w:rsid w:val="00E324A1"/>
    <w:rsid w:val="00E32700"/>
    <w:rsid w:val="00E32859"/>
    <w:rsid w:val="00E32889"/>
    <w:rsid w:val="00E32A46"/>
    <w:rsid w:val="00E3318E"/>
    <w:rsid w:val="00E3321F"/>
    <w:rsid w:val="00E33D9D"/>
    <w:rsid w:val="00E341EB"/>
    <w:rsid w:val="00E34253"/>
    <w:rsid w:val="00E34668"/>
    <w:rsid w:val="00E35DE0"/>
    <w:rsid w:val="00E375C6"/>
    <w:rsid w:val="00E376A1"/>
    <w:rsid w:val="00E37F0C"/>
    <w:rsid w:val="00E40FF6"/>
    <w:rsid w:val="00E41158"/>
    <w:rsid w:val="00E41E0A"/>
    <w:rsid w:val="00E43C79"/>
    <w:rsid w:val="00E440F2"/>
    <w:rsid w:val="00E44FF4"/>
    <w:rsid w:val="00E45614"/>
    <w:rsid w:val="00E45C89"/>
    <w:rsid w:val="00E463B3"/>
    <w:rsid w:val="00E4676C"/>
    <w:rsid w:val="00E46A18"/>
    <w:rsid w:val="00E46F64"/>
    <w:rsid w:val="00E4755B"/>
    <w:rsid w:val="00E4755E"/>
    <w:rsid w:val="00E47A73"/>
    <w:rsid w:val="00E506D7"/>
    <w:rsid w:val="00E50B03"/>
    <w:rsid w:val="00E5152C"/>
    <w:rsid w:val="00E51652"/>
    <w:rsid w:val="00E52516"/>
    <w:rsid w:val="00E53356"/>
    <w:rsid w:val="00E535A3"/>
    <w:rsid w:val="00E535F4"/>
    <w:rsid w:val="00E53D2C"/>
    <w:rsid w:val="00E54278"/>
    <w:rsid w:val="00E5430D"/>
    <w:rsid w:val="00E55106"/>
    <w:rsid w:val="00E55203"/>
    <w:rsid w:val="00E554BB"/>
    <w:rsid w:val="00E56014"/>
    <w:rsid w:val="00E56990"/>
    <w:rsid w:val="00E57661"/>
    <w:rsid w:val="00E57723"/>
    <w:rsid w:val="00E60F0B"/>
    <w:rsid w:val="00E6227E"/>
    <w:rsid w:val="00E629CE"/>
    <w:rsid w:val="00E63644"/>
    <w:rsid w:val="00E639B7"/>
    <w:rsid w:val="00E63AEC"/>
    <w:rsid w:val="00E63E39"/>
    <w:rsid w:val="00E64779"/>
    <w:rsid w:val="00E65311"/>
    <w:rsid w:val="00E6587A"/>
    <w:rsid w:val="00E66486"/>
    <w:rsid w:val="00E676A0"/>
    <w:rsid w:val="00E678B6"/>
    <w:rsid w:val="00E67D74"/>
    <w:rsid w:val="00E67D80"/>
    <w:rsid w:val="00E70300"/>
    <w:rsid w:val="00E70B8F"/>
    <w:rsid w:val="00E7232D"/>
    <w:rsid w:val="00E72BA7"/>
    <w:rsid w:val="00E72F50"/>
    <w:rsid w:val="00E732FC"/>
    <w:rsid w:val="00E741A9"/>
    <w:rsid w:val="00E74542"/>
    <w:rsid w:val="00E75018"/>
    <w:rsid w:val="00E76496"/>
    <w:rsid w:val="00E77B70"/>
    <w:rsid w:val="00E77C4A"/>
    <w:rsid w:val="00E77CDC"/>
    <w:rsid w:val="00E77EDE"/>
    <w:rsid w:val="00E80118"/>
    <w:rsid w:val="00E80404"/>
    <w:rsid w:val="00E80975"/>
    <w:rsid w:val="00E8107C"/>
    <w:rsid w:val="00E82459"/>
    <w:rsid w:val="00E82672"/>
    <w:rsid w:val="00E82976"/>
    <w:rsid w:val="00E83789"/>
    <w:rsid w:val="00E8380D"/>
    <w:rsid w:val="00E840B8"/>
    <w:rsid w:val="00E84241"/>
    <w:rsid w:val="00E844FA"/>
    <w:rsid w:val="00E84577"/>
    <w:rsid w:val="00E85523"/>
    <w:rsid w:val="00E85673"/>
    <w:rsid w:val="00E85A85"/>
    <w:rsid w:val="00E85D89"/>
    <w:rsid w:val="00E8610B"/>
    <w:rsid w:val="00E86509"/>
    <w:rsid w:val="00E86A3F"/>
    <w:rsid w:val="00E8734A"/>
    <w:rsid w:val="00E8749E"/>
    <w:rsid w:val="00E874D3"/>
    <w:rsid w:val="00E87694"/>
    <w:rsid w:val="00E87EEA"/>
    <w:rsid w:val="00E87FFB"/>
    <w:rsid w:val="00E90687"/>
    <w:rsid w:val="00E91130"/>
    <w:rsid w:val="00E911AD"/>
    <w:rsid w:val="00E912AD"/>
    <w:rsid w:val="00E91596"/>
    <w:rsid w:val="00E91D6E"/>
    <w:rsid w:val="00E930BC"/>
    <w:rsid w:val="00E9313C"/>
    <w:rsid w:val="00E93D6F"/>
    <w:rsid w:val="00E94162"/>
    <w:rsid w:val="00E9474C"/>
    <w:rsid w:val="00E94807"/>
    <w:rsid w:val="00E9539B"/>
    <w:rsid w:val="00E95650"/>
    <w:rsid w:val="00E959EE"/>
    <w:rsid w:val="00E95A3D"/>
    <w:rsid w:val="00E965AB"/>
    <w:rsid w:val="00E97C2D"/>
    <w:rsid w:val="00E97D62"/>
    <w:rsid w:val="00E97DC3"/>
    <w:rsid w:val="00E97EFC"/>
    <w:rsid w:val="00EA009E"/>
    <w:rsid w:val="00EA0149"/>
    <w:rsid w:val="00EA08B2"/>
    <w:rsid w:val="00EA0D22"/>
    <w:rsid w:val="00EA1811"/>
    <w:rsid w:val="00EA1DFB"/>
    <w:rsid w:val="00EA2027"/>
    <w:rsid w:val="00EA4577"/>
    <w:rsid w:val="00EA4D2B"/>
    <w:rsid w:val="00EA502A"/>
    <w:rsid w:val="00EA5D54"/>
    <w:rsid w:val="00EA63B1"/>
    <w:rsid w:val="00EA6877"/>
    <w:rsid w:val="00EA6C1E"/>
    <w:rsid w:val="00EA6E30"/>
    <w:rsid w:val="00EA71D7"/>
    <w:rsid w:val="00EA77F0"/>
    <w:rsid w:val="00EB0495"/>
    <w:rsid w:val="00EB07F3"/>
    <w:rsid w:val="00EB09FB"/>
    <w:rsid w:val="00EB214E"/>
    <w:rsid w:val="00EB29BB"/>
    <w:rsid w:val="00EB35C4"/>
    <w:rsid w:val="00EB54E6"/>
    <w:rsid w:val="00EB56BE"/>
    <w:rsid w:val="00EB56D2"/>
    <w:rsid w:val="00EB61C3"/>
    <w:rsid w:val="00EB68B9"/>
    <w:rsid w:val="00EB76E5"/>
    <w:rsid w:val="00EB78A7"/>
    <w:rsid w:val="00EB7D00"/>
    <w:rsid w:val="00EC00EE"/>
    <w:rsid w:val="00EC0FBC"/>
    <w:rsid w:val="00EC1098"/>
    <w:rsid w:val="00EC1428"/>
    <w:rsid w:val="00EC15E2"/>
    <w:rsid w:val="00EC1982"/>
    <w:rsid w:val="00EC1A9B"/>
    <w:rsid w:val="00EC3915"/>
    <w:rsid w:val="00EC4525"/>
    <w:rsid w:val="00EC5D8B"/>
    <w:rsid w:val="00EC5F6F"/>
    <w:rsid w:val="00EC6B75"/>
    <w:rsid w:val="00EC6DF7"/>
    <w:rsid w:val="00EC727C"/>
    <w:rsid w:val="00EC72CE"/>
    <w:rsid w:val="00ED0313"/>
    <w:rsid w:val="00ED0805"/>
    <w:rsid w:val="00ED16FB"/>
    <w:rsid w:val="00ED23ED"/>
    <w:rsid w:val="00ED2A98"/>
    <w:rsid w:val="00ED2B1B"/>
    <w:rsid w:val="00ED2C01"/>
    <w:rsid w:val="00ED3435"/>
    <w:rsid w:val="00ED36B8"/>
    <w:rsid w:val="00ED384B"/>
    <w:rsid w:val="00ED4CAD"/>
    <w:rsid w:val="00ED5C03"/>
    <w:rsid w:val="00ED5CAE"/>
    <w:rsid w:val="00ED6A6D"/>
    <w:rsid w:val="00ED7E7D"/>
    <w:rsid w:val="00EE0E2D"/>
    <w:rsid w:val="00EE11EC"/>
    <w:rsid w:val="00EE126E"/>
    <w:rsid w:val="00EE1776"/>
    <w:rsid w:val="00EE1E3F"/>
    <w:rsid w:val="00EE2E9F"/>
    <w:rsid w:val="00EE38E8"/>
    <w:rsid w:val="00EE42C0"/>
    <w:rsid w:val="00EE532F"/>
    <w:rsid w:val="00EE596E"/>
    <w:rsid w:val="00EE6517"/>
    <w:rsid w:val="00EE6ADF"/>
    <w:rsid w:val="00EE71A3"/>
    <w:rsid w:val="00EE77E6"/>
    <w:rsid w:val="00EE7DD5"/>
    <w:rsid w:val="00EE7F23"/>
    <w:rsid w:val="00EF067F"/>
    <w:rsid w:val="00EF09C7"/>
    <w:rsid w:val="00EF0A9C"/>
    <w:rsid w:val="00EF0C2C"/>
    <w:rsid w:val="00EF1845"/>
    <w:rsid w:val="00EF2AF5"/>
    <w:rsid w:val="00EF31D2"/>
    <w:rsid w:val="00EF3ED8"/>
    <w:rsid w:val="00EF3F0F"/>
    <w:rsid w:val="00EF43E6"/>
    <w:rsid w:val="00EF57AE"/>
    <w:rsid w:val="00EF5991"/>
    <w:rsid w:val="00EF6448"/>
    <w:rsid w:val="00EF64FC"/>
    <w:rsid w:val="00EF66F8"/>
    <w:rsid w:val="00EF680D"/>
    <w:rsid w:val="00EF6BA5"/>
    <w:rsid w:val="00EF7674"/>
    <w:rsid w:val="00EF7971"/>
    <w:rsid w:val="00EF7C77"/>
    <w:rsid w:val="00EF7D84"/>
    <w:rsid w:val="00EF7F8F"/>
    <w:rsid w:val="00F006A7"/>
    <w:rsid w:val="00F015E5"/>
    <w:rsid w:val="00F0197E"/>
    <w:rsid w:val="00F0455E"/>
    <w:rsid w:val="00F04DB8"/>
    <w:rsid w:val="00F052D8"/>
    <w:rsid w:val="00F0539A"/>
    <w:rsid w:val="00F06C51"/>
    <w:rsid w:val="00F07220"/>
    <w:rsid w:val="00F074E2"/>
    <w:rsid w:val="00F10658"/>
    <w:rsid w:val="00F1072A"/>
    <w:rsid w:val="00F10B06"/>
    <w:rsid w:val="00F10C7E"/>
    <w:rsid w:val="00F10DCB"/>
    <w:rsid w:val="00F116A4"/>
    <w:rsid w:val="00F128E4"/>
    <w:rsid w:val="00F128FB"/>
    <w:rsid w:val="00F130F6"/>
    <w:rsid w:val="00F13D27"/>
    <w:rsid w:val="00F143E6"/>
    <w:rsid w:val="00F145C1"/>
    <w:rsid w:val="00F1466D"/>
    <w:rsid w:val="00F14682"/>
    <w:rsid w:val="00F1502B"/>
    <w:rsid w:val="00F150AB"/>
    <w:rsid w:val="00F15A5D"/>
    <w:rsid w:val="00F16049"/>
    <w:rsid w:val="00F163F6"/>
    <w:rsid w:val="00F16DC9"/>
    <w:rsid w:val="00F17A7E"/>
    <w:rsid w:val="00F17D89"/>
    <w:rsid w:val="00F2085A"/>
    <w:rsid w:val="00F20B32"/>
    <w:rsid w:val="00F20E60"/>
    <w:rsid w:val="00F20E66"/>
    <w:rsid w:val="00F20ECC"/>
    <w:rsid w:val="00F20EF4"/>
    <w:rsid w:val="00F20F83"/>
    <w:rsid w:val="00F212FC"/>
    <w:rsid w:val="00F2165A"/>
    <w:rsid w:val="00F23295"/>
    <w:rsid w:val="00F23764"/>
    <w:rsid w:val="00F23922"/>
    <w:rsid w:val="00F23F80"/>
    <w:rsid w:val="00F258AA"/>
    <w:rsid w:val="00F2641D"/>
    <w:rsid w:val="00F2687A"/>
    <w:rsid w:val="00F27218"/>
    <w:rsid w:val="00F27A3A"/>
    <w:rsid w:val="00F27AD7"/>
    <w:rsid w:val="00F27D08"/>
    <w:rsid w:val="00F3138D"/>
    <w:rsid w:val="00F3139D"/>
    <w:rsid w:val="00F31C79"/>
    <w:rsid w:val="00F31F06"/>
    <w:rsid w:val="00F32059"/>
    <w:rsid w:val="00F3464E"/>
    <w:rsid w:val="00F34D42"/>
    <w:rsid w:val="00F352E9"/>
    <w:rsid w:val="00F35F86"/>
    <w:rsid w:val="00F35FFF"/>
    <w:rsid w:val="00F3630B"/>
    <w:rsid w:val="00F36886"/>
    <w:rsid w:val="00F36893"/>
    <w:rsid w:val="00F40A20"/>
    <w:rsid w:val="00F41061"/>
    <w:rsid w:val="00F413E7"/>
    <w:rsid w:val="00F4216B"/>
    <w:rsid w:val="00F42E6D"/>
    <w:rsid w:val="00F432A8"/>
    <w:rsid w:val="00F43E48"/>
    <w:rsid w:val="00F440BE"/>
    <w:rsid w:val="00F441C6"/>
    <w:rsid w:val="00F44A8C"/>
    <w:rsid w:val="00F45A90"/>
    <w:rsid w:val="00F45E5E"/>
    <w:rsid w:val="00F45FCB"/>
    <w:rsid w:val="00F4606A"/>
    <w:rsid w:val="00F46BA4"/>
    <w:rsid w:val="00F47202"/>
    <w:rsid w:val="00F472DF"/>
    <w:rsid w:val="00F507AA"/>
    <w:rsid w:val="00F50AF7"/>
    <w:rsid w:val="00F50C66"/>
    <w:rsid w:val="00F51B29"/>
    <w:rsid w:val="00F51BA2"/>
    <w:rsid w:val="00F521D1"/>
    <w:rsid w:val="00F524AE"/>
    <w:rsid w:val="00F526E5"/>
    <w:rsid w:val="00F52EE2"/>
    <w:rsid w:val="00F53F3A"/>
    <w:rsid w:val="00F54390"/>
    <w:rsid w:val="00F544A0"/>
    <w:rsid w:val="00F553DB"/>
    <w:rsid w:val="00F560AF"/>
    <w:rsid w:val="00F56D1A"/>
    <w:rsid w:val="00F57515"/>
    <w:rsid w:val="00F57F49"/>
    <w:rsid w:val="00F60457"/>
    <w:rsid w:val="00F6100E"/>
    <w:rsid w:val="00F62FAE"/>
    <w:rsid w:val="00F6307B"/>
    <w:rsid w:val="00F63772"/>
    <w:rsid w:val="00F638A7"/>
    <w:rsid w:val="00F63AEA"/>
    <w:rsid w:val="00F63CE4"/>
    <w:rsid w:val="00F64CB4"/>
    <w:rsid w:val="00F64D04"/>
    <w:rsid w:val="00F65520"/>
    <w:rsid w:val="00F65B26"/>
    <w:rsid w:val="00F65D89"/>
    <w:rsid w:val="00F664AF"/>
    <w:rsid w:val="00F66C53"/>
    <w:rsid w:val="00F66D5F"/>
    <w:rsid w:val="00F66F50"/>
    <w:rsid w:val="00F673C4"/>
    <w:rsid w:val="00F67645"/>
    <w:rsid w:val="00F67F58"/>
    <w:rsid w:val="00F70936"/>
    <w:rsid w:val="00F71427"/>
    <w:rsid w:val="00F71DEB"/>
    <w:rsid w:val="00F746E5"/>
    <w:rsid w:val="00F758C9"/>
    <w:rsid w:val="00F75B35"/>
    <w:rsid w:val="00F76892"/>
    <w:rsid w:val="00F76D13"/>
    <w:rsid w:val="00F76E93"/>
    <w:rsid w:val="00F77301"/>
    <w:rsid w:val="00F802C4"/>
    <w:rsid w:val="00F803FE"/>
    <w:rsid w:val="00F808B0"/>
    <w:rsid w:val="00F80E2D"/>
    <w:rsid w:val="00F819C8"/>
    <w:rsid w:val="00F81E1B"/>
    <w:rsid w:val="00F82BA7"/>
    <w:rsid w:val="00F831F8"/>
    <w:rsid w:val="00F83840"/>
    <w:rsid w:val="00F83EA6"/>
    <w:rsid w:val="00F83ED7"/>
    <w:rsid w:val="00F842D4"/>
    <w:rsid w:val="00F8586E"/>
    <w:rsid w:val="00F85DC7"/>
    <w:rsid w:val="00F85F5A"/>
    <w:rsid w:val="00F861E2"/>
    <w:rsid w:val="00F862E9"/>
    <w:rsid w:val="00F86399"/>
    <w:rsid w:val="00F87034"/>
    <w:rsid w:val="00F912AC"/>
    <w:rsid w:val="00F912D9"/>
    <w:rsid w:val="00F925E8"/>
    <w:rsid w:val="00F94714"/>
    <w:rsid w:val="00F95C96"/>
    <w:rsid w:val="00F96746"/>
    <w:rsid w:val="00F96BF7"/>
    <w:rsid w:val="00F97206"/>
    <w:rsid w:val="00F975F0"/>
    <w:rsid w:val="00FA0FA5"/>
    <w:rsid w:val="00FA1A3C"/>
    <w:rsid w:val="00FA1F9A"/>
    <w:rsid w:val="00FA2249"/>
    <w:rsid w:val="00FA24B8"/>
    <w:rsid w:val="00FA3343"/>
    <w:rsid w:val="00FA3438"/>
    <w:rsid w:val="00FA3447"/>
    <w:rsid w:val="00FA3FD2"/>
    <w:rsid w:val="00FA458E"/>
    <w:rsid w:val="00FA4D01"/>
    <w:rsid w:val="00FA579C"/>
    <w:rsid w:val="00FA6D76"/>
    <w:rsid w:val="00FA7053"/>
    <w:rsid w:val="00FA718B"/>
    <w:rsid w:val="00FA732C"/>
    <w:rsid w:val="00FA7711"/>
    <w:rsid w:val="00FA7D7F"/>
    <w:rsid w:val="00FA7F1F"/>
    <w:rsid w:val="00FB0EBA"/>
    <w:rsid w:val="00FB1E80"/>
    <w:rsid w:val="00FB3095"/>
    <w:rsid w:val="00FB3239"/>
    <w:rsid w:val="00FB3450"/>
    <w:rsid w:val="00FB372D"/>
    <w:rsid w:val="00FB441A"/>
    <w:rsid w:val="00FB4577"/>
    <w:rsid w:val="00FB5A50"/>
    <w:rsid w:val="00FB63EE"/>
    <w:rsid w:val="00FB7653"/>
    <w:rsid w:val="00FC0268"/>
    <w:rsid w:val="00FC05EC"/>
    <w:rsid w:val="00FC0A61"/>
    <w:rsid w:val="00FC3355"/>
    <w:rsid w:val="00FC3430"/>
    <w:rsid w:val="00FC34D1"/>
    <w:rsid w:val="00FC4325"/>
    <w:rsid w:val="00FC54C2"/>
    <w:rsid w:val="00FC5970"/>
    <w:rsid w:val="00FC7539"/>
    <w:rsid w:val="00FC7F73"/>
    <w:rsid w:val="00FD01E0"/>
    <w:rsid w:val="00FD0DF0"/>
    <w:rsid w:val="00FD1EED"/>
    <w:rsid w:val="00FD26BA"/>
    <w:rsid w:val="00FD28D5"/>
    <w:rsid w:val="00FD2E0B"/>
    <w:rsid w:val="00FD30EF"/>
    <w:rsid w:val="00FD38A4"/>
    <w:rsid w:val="00FD3DA3"/>
    <w:rsid w:val="00FD4678"/>
    <w:rsid w:val="00FD4EB3"/>
    <w:rsid w:val="00FD524A"/>
    <w:rsid w:val="00FD58C8"/>
    <w:rsid w:val="00FD5CAF"/>
    <w:rsid w:val="00FD6428"/>
    <w:rsid w:val="00FE0107"/>
    <w:rsid w:val="00FE0DE5"/>
    <w:rsid w:val="00FE1410"/>
    <w:rsid w:val="00FE1713"/>
    <w:rsid w:val="00FE1CF0"/>
    <w:rsid w:val="00FE2C3B"/>
    <w:rsid w:val="00FE2EB2"/>
    <w:rsid w:val="00FE3229"/>
    <w:rsid w:val="00FE39F0"/>
    <w:rsid w:val="00FE39F8"/>
    <w:rsid w:val="00FE3FDC"/>
    <w:rsid w:val="00FE4303"/>
    <w:rsid w:val="00FE4356"/>
    <w:rsid w:val="00FE4B8F"/>
    <w:rsid w:val="00FE58A4"/>
    <w:rsid w:val="00FE5A9C"/>
    <w:rsid w:val="00FE60B8"/>
    <w:rsid w:val="00FE6718"/>
    <w:rsid w:val="00FE715F"/>
    <w:rsid w:val="00FE7181"/>
    <w:rsid w:val="00FE78B2"/>
    <w:rsid w:val="00FF0550"/>
    <w:rsid w:val="00FF09BA"/>
    <w:rsid w:val="00FF1609"/>
    <w:rsid w:val="00FF21FA"/>
    <w:rsid w:val="00FF2BD2"/>
    <w:rsid w:val="00FF3E9C"/>
    <w:rsid w:val="00FF4324"/>
    <w:rsid w:val="00FF4427"/>
    <w:rsid w:val="00FF508E"/>
    <w:rsid w:val="00FF5418"/>
    <w:rsid w:val="00FF6491"/>
    <w:rsid w:val="00FF6492"/>
    <w:rsid w:val="00FF6B77"/>
    <w:rsid w:val="00FF7425"/>
    <w:rsid w:val="00FF7613"/>
    <w:rsid w:val="00FF798C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,"/>
  <w:listSeparator w:val=";"/>
  <w14:docId w14:val="39DA4B3A"/>
  <w15:docId w15:val="{020277B7-D9B1-4E8E-A4BE-02DF5B47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E0CEC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00052"/>
    <w:pPr>
      <w:keepNext/>
      <w:numPr>
        <w:numId w:val="10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00052"/>
    <w:pPr>
      <w:keepNext/>
      <w:numPr>
        <w:ilvl w:val="1"/>
        <w:numId w:val="10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00052"/>
    <w:pPr>
      <w:keepNext/>
      <w:numPr>
        <w:ilvl w:val="2"/>
        <w:numId w:val="10"/>
      </w:numPr>
      <w:spacing w:before="120" w:after="0" w:line="240" w:lineRule="auto"/>
      <w:ind w:right="72"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00052"/>
    <w:pPr>
      <w:keepNext/>
      <w:numPr>
        <w:ilvl w:val="3"/>
        <w:numId w:val="10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500052"/>
    <w:pPr>
      <w:keepNext/>
      <w:numPr>
        <w:ilvl w:val="4"/>
        <w:numId w:val="10"/>
      </w:numPr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00052"/>
    <w:pPr>
      <w:keepNext/>
      <w:numPr>
        <w:ilvl w:val="5"/>
        <w:numId w:val="10"/>
      </w:numPr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500052"/>
    <w:pPr>
      <w:keepNext/>
      <w:numPr>
        <w:ilvl w:val="6"/>
        <w:numId w:val="10"/>
      </w:numPr>
      <w:spacing w:after="0" w:line="240" w:lineRule="auto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500052"/>
    <w:pPr>
      <w:keepNext/>
      <w:numPr>
        <w:ilvl w:val="7"/>
        <w:numId w:val="10"/>
      </w:numPr>
      <w:spacing w:after="0" w:line="240" w:lineRule="auto"/>
      <w:outlineLvl w:val="7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500052"/>
    <w:pPr>
      <w:numPr>
        <w:ilvl w:val="8"/>
        <w:numId w:val="10"/>
      </w:numPr>
      <w:spacing w:before="240" w:after="60" w:line="240" w:lineRule="auto"/>
      <w:outlineLvl w:val="8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03B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03BA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03B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3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BAC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84688E"/>
    <w:pPr>
      <w:ind w:left="708"/>
    </w:pPr>
  </w:style>
  <w:style w:type="character" w:styleId="slostrnky">
    <w:name w:val="page number"/>
    <w:basedOn w:val="Standardnpsmoodstavce"/>
    <w:rsid w:val="00B34F2E"/>
  </w:style>
  <w:style w:type="paragraph" w:styleId="Textpoznpodarou">
    <w:name w:val="footnote text"/>
    <w:basedOn w:val="Normln"/>
    <w:link w:val="TextpoznpodarouChar"/>
    <w:semiHidden/>
    <w:rsid w:val="00B34F2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34F2E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semiHidden/>
    <w:rsid w:val="00B34F2E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500052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50005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rsid w:val="00500052"/>
    <w:rPr>
      <w:rFonts w:ascii="Times New Roman" w:eastAsia="Times New Roman" w:hAnsi="Times New Roman"/>
      <w:b/>
      <w:bCs/>
      <w:sz w:val="24"/>
    </w:rPr>
  </w:style>
  <w:style w:type="character" w:customStyle="1" w:styleId="Nadpis7Char">
    <w:name w:val="Nadpis 7 Char"/>
    <w:basedOn w:val="Standardnpsmoodstavce"/>
    <w:link w:val="Nadpis7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rsid w:val="0050005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500052"/>
    <w:rPr>
      <w:rFonts w:ascii="Arial" w:eastAsia="Times New Roman" w:hAnsi="Arial" w:cs="Arial"/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094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rsid w:val="00F440B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440BE"/>
    <w:rPr>
      <w:rFonts w:ascii="Consolas" w:hAnsi="Consolas"/>
      <w:sz w:val="21"/>
      <w:szCs w:val="21"/>
      <w:lang w:eastAsia="en-US"/>
    </w:rPr>
  </w:style>
  <w:style w:type="paragraph" w:styleId="Zkladntext">
    <w:name w:val="Body Text"/>
    <w:basedOn w:val="Normln"/>
    <w:link w:val="ZkladntextChar"/>
    <w:rsid w:val="00827D53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7D53"/>
    <w:rPr>
      <w:rFonts w:ascii="Times New Roman" w:eastAsia="Times New Roman" w:hAnsi="Times New Roman"/>
      <w:sz w:val="32"/>
    </w:rPr>
  </w:style>
  <w:style w:type="character" w:styleId="Hypertextovodkaz">
    <w:name w:val="Hyperlink"/>
    <w:basedOn w:val="Standardnpsmoodstavce"/>
    <w:uiPriority w:val="99"/>
    <w:unhideWhenUsed/>
    <w:rsid w:val="00984FA5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E6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3B8B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28A4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616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16A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16A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16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16A2"/>
    <w:rPr>
      <w:b/>
      <w:bCs/>
      <w:lang w:eastAsia="en-US"/>
    </w:rPr>
  </w:style>
  <w:style w:type="paragraph" w:styleId="Revize">
    <w:name w:val="Revision"/>
    <w:hidden/>
    <w:uiPriority w:val="99"/>
    <w:semiHidden/>
    <w:rsid w:val="002B074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598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0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9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mt.cz/vzdelavani/skolstvi-v-cr/ekonomika-skolstvi/principy-rozpisu-rozpoctu-primych-vydaju-regionalniho-1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www.msmt.cz/vzdelavani/skolstvi-v-cr/ekonomika-skolstvi/financni-prostredky-stanovene-ministerstvem-pro-skoly-a-1" TargetMode="Externa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3396A-8171-4870-978C-3B2D67EA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7732</Words>
  <Characters>45623</Characters>
  <Application>Microsoft Office Word</Application>
  <DocSecurity>0</DocSecurity>
  <Lines>380</Lines>
  <Paragraphs>106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53249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Pustaj Marek</cp:lastModifiedBy>
  <cp:revision>3</cp:revision>
  <cp:lastPrinted>2021-09-15T08:32:00Z</cp:lastPrinted>
  <dcterms:created xsi:type="dcterms:W3CDTF">2021-12-07T12:47:00Z</dcterms:created>
  <dcterms:modified xsi:type="dcterms:W3CDTF">2021-12-07T12:47:00Z</dcterms:modified>
</cp:coreProperties>
</file>