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CC3" w:rsidRDefault="009E2CC3" w:rsidP="006D1A8F">
      <w:pPr>
        <w:keepNext/>
        <w:jc w:val="center"/>
        <w:outlineLvl w:val="0"/>
        <w:rPr>
          <w:rFonts w:ascii="Calibri" w:hAnsi="Calibri"/>
          <w:b/>
          <w:bCs/>
          <w:color w:val="006666"/>
          <w:kern w:val="32"/>
          <w:sz w:val="32"/>
          <w:szCs w:val="32"/>
          <w:lang w:val="x-none" w:eastAsia="x-none"/>
        </w:rPr>
      </w:pPr>
      <w:bookmarkStart w:id="0" w:name="_GoBack"/>
      <w:bookmarkEnd w:id="0"/>
      <w:r>
        <w:rPr>
          <w:rFonts w:ascii="Calibri" w:hAnsi="Calibri"/>
          <w:b/>
          <w:bCs/>
          <w:color w:val="006666"/>
          <w:kern w:val="32"/>
          <w:sz w:val="32"/>
          <w:szCs w:val="32"/>
          <w:lang w:val="x-none" w:eastAsia="x-none"/>
        </w:rPr>
        <w:t>Metodická informace</w:t>
      </w:r>
    </w:p>
    <w:p w:rsidR="002E4021" w:rsidRDefault="009E2CC3" w:rsidP="006D1A8F">
      <w:pPr>
        <w:keepNext/>
        <w:spacing w:after="60"/>
        <w:jc w:val="center"/>
        <w:outlineLvl w:val="0"/>
        <w:rPr>
          <w:rFonts w:ascii="Calibri" w:hAnsi="Calibri"/>
          <w:b/>
          <w:bCs/>
          <w:kern w:val="32"/>
          <w:lang w:val="x-none" w:eastAsia="x-none"/>
        </w:rPr>
      </w:pPr>
      <w:r w:rsidRPr="009E2CC3">
        <w:rPr>
          <w:rFonts w:ascii="Calibri" w:hAnsi="Calibri"/>
          <w:b/>
          <w:bCs/>
          <w:color w:val="006666"/>
          <w:kern w:val="32"/>
          <w:sz w:val="32"/>
          <w:szCs w:val="32"/>
          <w:lang w:val="x-none" w:eastAsia="x-none"/>
        </w:rPr>
        <w:t xml:space="preserve">k finančnímu vypořádání vztahů </w:t>
      </w:r>
      <w:r>
        <w:rPr>
          <w:rFonts w:ascii="Calibri" w:hAnsi="Calibri"/>
          <w:b/>
          <w:bCs/>
          <w:color w:val="006666"/>
          <w:kern w:val="32"/>
          <w:sz w:val="32"/>
          <w:szCs w:val="32"/>
          <w:lang w:val="x-none" w:eastAsia="x-none"/>
        </w:rPr>
        <w:t xml:space="preserve">se státním rozpočtem za rok </w:t>
      </w:r>
      <w:r w:rsidR="002408A4">
        <w:rPr>
          <w:rFonts w:ascii="Calibri" w:hAnsi="Calibri"/>
          <w:b/>
          <w:bCs/>
          <w:color w:val="006666"/>
          <w:kern w:val="32"/>
          <w:sz w:val="32"/>
          <w:szCs w:val="32"/>
          <w:lang w:val="x-none" w:eastAsia="x-none"/>
        </w:rPr>
        <w:t>202</w:t>
      </w:r>
      <w:r w:rsidR="0024286C">
        <w:rPr>
          <w:rFonts w:ascii="Calibri" w:hAnsi="Calibri"/>
          <w:b/>
          <w:bCs/>
          <w:color w:val="006666"/>
          <w:kern w:val="32"/>
          <w:sz w:val="32"/>
          <w:szCs w:val="32"/>
          <w:lang w:eastAsia="x-none"/>
        </w:rPr>
        <w:t>1</w:t>
      </w:r>
    </w:p>
    <w:p w:rsidR="0068206F" w:rsidRDefault="0068206F" w:rsidP="0068206F">
      <w:pPr>
        <w:pStyle w:val="Zkladntextodsazen"/>
        <w:rPr>
          <w:lang w:val="cs-CZ"/>
        </w:rPr>
      </w:pPr>
    </w:p>
    <w:p w:rsidR="0068206F" w:rsidRDefault="0068206F" w:rsidP="0068206F">
      <w:pPr>
        <w:spacing w:after="120"/>
        <w:ind w:firstLine="708"/>
        <w:jc w:val="both"/>
        <w:rPr>
          <w:b/>
        </w:rPr>
      </w:pPr>
      <w:r>
        <w:t xml:space="preserve">Finanční vypořádání dotací poskytnutých Ministerstvem školství, mládeže a tělovýchovy (dále jen „ministerstvo“) právnickým osobám vykonávajícím činnost škol </w:t>
      </w:r>
      <w:r>
        <w:br/>
        <w:t xml:space="preserve">a školských zařízení zřizovaným registrovanými církvemi nebo náboženskými společnostmi, kterým bylo přiznáno oprávnění k výkonu zvláštního práva zřizovat církevní školy (dále jen „církevní školy“), za kalendářní rok 2021 </w:t>
      </w:r>
      <w:r>
        <w:rPr>
          <w:b/>
        </w:rPr>
        <w:t>se provádí podle vyhlášky č. 367/2015 Sb., o</w:t>
      </w:r>
      <w:r>
        <w:t> </w:t>
      </w:r>
      <w:r>
        <w:rPr>
          <w:b/>
        </w:rPr>
        <w:t>zásadách a lhůtách finančního vypořádání vztahů se státním rozpočtem, státními finančními aktivy nebo Národním fondem (vyhláška o finančním vypořádání), ve znění pozdějších předpisů a podle této metodické informace.</w:t>
      </w:r>
    </w:p>
    <w:p w:rsidR="0068206F" w:rsidRDefault="0068206F" w:rsidP="0068206F">
      <w:pPr>
        <w:spacing w:after="120"/>
        <w:jc w:val="both"/>
      </w:pPr>
      <w:r>
        <w:tab/>
        <w:t xml:space="preserve">V roce 2021 byly církevním školám poskytovány dotace na základě § 162 odst. 1 a § 163 odst. 1, písm. b) zákona č. 561/2004 Sb., o předškolním, základním, středním, vyšším odborném a jiném vzdělávání (školský zákon), ve znění pozdějších předpisů a v souladu s § 14 zákona č. 218/2000 Sb., o rozpočtových pravidlech </w:t>
      </w:r>
      <w:r>
        <w:br/>
        <w:t>a o změně některých souvisejících zákonů (rozpočtová pravidla), ve znění pozdějších předpisů.</w:t>
      </w:r>
    </w:p>
    <w:p w:rsidR="0068206F" w:rsidRDefault="0068206F" w:rsidP="0068206F">
      <w:pPr>
        <w:spacing w:after="120"/>
        <w:ind w:firstLine="709"/>
        <w:jc w:val="both"/>
        <w:rPr>
          <w:strike/>
        </w:rPr>
      </w:pPr>
      <w:r>
        <w:t>Organizace zajistí veškeré činnosti ve struktuře a termínech stanovených touto metodickou informací, zejména jde o zajištění dosažitelnosti osoby kompetentní k provedení opravy tabulek finančního vypořádání tak, aby bylo možno ze strany organizace zajistit nápravu zjištěných nedostatků ve lhůtě 1 pracovní den od oznámení chyby.</w:t>
      </w:r>
      <w:r>
        <w:rPr>
          <w:strike/>
        </w:rPr>
        <w:t xml:space="preserve"> </w:t>
      </w:r>
    </w:p>
    <w:p w:rsidR="0068206F" w:rsidRDefault="0068206F" w:rsidP="0068206F">
      <w:pPr>
        <w:spacing w:after="120"/>
        <w:jc w:val="both"/>
      </w:pPr>
      <w:r>
        <w:t xml:space="preserve">  </w:t>
      </w:r>
      <w:r>
        <w:tab/>
        <w:t>Církevní školy předloží finanční vypořádání těchto dotací spolu s podrobným komentářem na tiskopise uvedeném v příloze:</w:t>
      </w:r>
    </w:p>
    <w:p w:rsidR="0068206F" w:rsidRDefault="0068206F" w:rsidP="0068206F">
      <w:pPr>
        <w:spacing w:after="120"/>
        <w:jc w:val="both"/>
      </w:pPr>
      <w:r>
        <w:rPr>
          <w:b/>
          <w:color w:val="000000"/>
        </w:rPr>
        <w:t>Příloha č. 1</w:t>
      </w:r>
      <w:r>
        <w:rPr>
          <w:color w:val="000000"/>
        </w:rPr>
        <w:t xml:space="preserve"> </w:t>
      </w:r>
      <w:r>
        <w:t xml:space="preserve">– Finanční vypořádání dotací a návratných finančních s výjimkou dotací na programové financování, na projekty výzkumu, vývoje a inovací a na projekty spolufinancované z rozpočtu Evropské unie a z prostředků finančních mechanismů.  </w:t>
      </w:r>
    </w:p>
    <w:p w:rsidR="0068206F" w:rsidRDefault="0068206F" w:rsidP="0068206F">
      <w:pPr>
        <w:spacing w:after="120"/>
        <w:jc w:val="both"/>
        <w:rPr>
          <w:b/>
          <w:color w:val="000000"/>
        </w:rPr>
      </w:pPr>
      <w:r>
        <w:rPr>
          <w:b/>
        </w:rPr>
        <w:t>Příloha č. 2</w:t>
      </w:r>
      <w:r>
        <w:t xml:space="preserve"> – Finanční vypořádání dotací na akce v rámci programového financování, na projekty výzkumu, vývoje a inovací a na projekty spolufinancované z rozpočtu Evropské unie a z prostředků finančních mechanismů. </w:t>
      </w:r>
      <w:r>
        <w:rPr>
          <w:u w:val="single"/>
        </w:rPr>
        <w:t>Budou uvedeny pouze projekty a akce, které byly k 31.</w:t>
      </w:r>
      <w:r>
        <w:t> </w:t>
      </w:r>
      <w:r>
        <w:rPr>
          <w:u w:val="single"/>
        </w:rPr>
        <w:t>12. 2021 finančně ukončeny a dosud nebyly vypořádány.</w:t>
      </w:r>
      <w:r>
        <w:t xml:space="preserve"> </w:t>
      </w:r>
      <w:r>
        <w:rPr>
          <w:color w:val="000000"/>
        </w:rPr>
        <w:t xml:space="preserve">Termín ukončení projektu sdělí poskytovatel prostředků. Seznam ukončených projektů OP VVV a akcí EDS/SMVS bude zveřejněn na webových stránkách MŠMT. </w:t>
      </w:r>
      <w:r>
        <w:rPr>
          <w:b/>
          <w:color w:val="000000"/>
        </w:rPr>
        <w:t>Projekty a akce neuvedené v seznamu nejsou předmětem finančního vypořádání za rok 2021 i přesto, že došlo k ukončení fyzické realizace projektu.</w:t>
      </w:r>
    </w:p>
    <w:p w:rsidR="0068206F" w:rsidRDefault="0068206F" w:rsidP="0068206F">
      <w:pPr>
        <w:spacing w:after="120"/>
        <w:ind w:firstLine="708"/>
        <w:jc w:val="both"/>
      </w:pPr>
      <w:r>
        <w:t>Projekt OP VVV musí být identifikován registračním číslem ve tvaru CZ.xx.x.xx/0.0/0.0/xx_xxx/xxxxxxx.</w:t>
      </w:r>
    </w:p>
    <w:p w:rsidR="0068206F" w:rsidRDefault="0068206F" w:rsidP="0068206F">
      <w:pPr>
        <w:spacing w:after="120"/>
        <w:ind w:firstLine="708"/>
        <w:jc w:val="both"/>
      </w:pPr>
      <w:r>
        <w:t xml:space="preserve">Obdržela-li škola finanční prostředky na </w:t>
      </w:r>
      <w:r>
        <w:rPr>
          <w:b/>
        </w:rPr>
        <w:t>PCR testování</w:t>
      </w:r>
      <w:r>
        <w:t xml:space="preserve"> </w:t>
      </w:r>
      <w:r>
        <w:rPr>
          <w:b/>
        </w:rPr>
        <w:t>z Fondu Solidarity</w:t>
      </w:r>
      <w:r>
        <w:t xml:space="preserve">, provádí jejich finanční vypořádání v </w:t>
      </w:r>
      <w:r>
        <w:rPr>
          <w:b/>
        </w:rPr>
        <w:t>příloze 2</w:t>
      </w:r>
      <w:r>
        <w:t xml:space="preserve">. Vykázané částky se musí shodovat s údaji vykázány v rámci mimořádného sběru dat. </w:t>
      </w:r>
      <w:r>
        <w:rPr>
          <w:b/>
        </w:rPr>
        <w:t>PCR testování hrazené ze státního rozpočtu</w:t>
      </w:r>
      <w:r>
        <w:t xml:space="preserve"> se finančně vypořádává v </w:t>
      </w:r>
      <w:r>
        <w:rPr>
          <w:b/>
        </w:rPr>
        <w:t>příloze 1</w:t>
      </w:r>
      <w:r>
        <w:t>.</w:t>
      </w:r>
    </w:p>
    <w:p w:rsidR="0068206F" w:rsidRDefault="0068206F" w:rsidP="0068206F">
      <w:pPr>
        <w:spacing w:after="120"/>
        <w:jc w:val="both"/>
        <w:rPr>
          <w:b/>
          <w:color w:val="000000"/>
        </w:rPr>
      </w:pPr>
      <w:r>
        <w:rPr>
          <w:b/>
          <w:color w:val="000000"/>
        </w:rPr>
        <w:t>Komentář k finančnímu vypořádání</w:t>
      </w:r>
    </w:p>
    <w:p w:rsidR="0068206F" w:rsidRDefault="0068206F" w:rsidP="0068206F">
      <w:pPr>
        <w:spacing w:after="120"/>
        <w:ind w:firstLine="708"/>
        <w:jc w:val="both"/>
        <w:rPr>
          <w:b/>
          <w:color w:val="000000"/>
        </w:rPr>
      </w:pPr>
      <w:r>
        <w:rPr>
          <w:color w:val="000000"/>
        </w:rPr>
        <w:t xml:space="preserve">Nedílnou součástí finančního vypořádání je komentář, který předkládá ta církevní škola, která v rámci finančního vypořádání realizuje alespoň jednu vratku prostředků na depozitní účet MŠMT. V komentáři církevní škola u každé z těchto jednotlivých vratek zdůvodní, z jakého důvodu nebyly obdržené prostředky v celkové výši vyčerpány a dále z jakého důvodu nebyly </w:t>
      </w:r>
      <w:r>
        <w:rPr>
          <w:color w:val="000000"/>
        </w:rPr>
        <w:lastRenderedPageBreak/>
        <w:t xml:space="preserve">prostředky zaslány již v průběhu roku 2021 na výdajový účet MŠMT, ale jsou součástí finančního vypořádání. </w:t>
      </w:r>
    </w:p>
    <w:p w:rsidR="0068206F" w:rsidRPr="0068206F" w:rsidRDefault="0068206F" w:rsidP="0068206F">
      <w:pPr>
        <w:spacing w:after="120"/>
        <w:ind w:firstLine="709"/>
        <w:jc w:val="both"/>
        <w:rPr>
          <w:color w:val="000000"/>
        </w:rPr>
      </w:pPr>
      <w:r>
        <w:rPr>
          <w:color w:val="000000"/>
        </w:rPr>
        <w:t xml:space="preserve">Vyplněné tabulky a případný komentář zašle církevní škola ke kontrole a odsouhlasení elektronicky na e-mail: </w:t>
      </w:r>
      <w:hyperlink r:id="rId8" w:history="1">
        <w:r>
          <w:rPr>
            <w:rStyle w:val="Hypertextovodkaz"/>
          </w:rPr>
          <w:t>financni_vyporadani@msmt.cz</w:t>
        </w:r>
      </w:hyperlink>
      <w:r>
        <w:rPr>
          <w:color w:val="000000"/>
        </w:rPr>
        <w:t xml:space="preserve"> v doporučeném termínu do </w:t>
      </w:r>
      <w:r>
        <w:rPr>
          <w:b/>
          <w:color w:val="000000"/>
        </w:rPr>
        <w:t xml:space="preserve">5. února 2022.  </w:t>
      </w:r>
    </w:p>
    <w:p w:rsidR="0068206F" w:rsidRDefault="0068206F" w:rsidP="0068206F">
      <w:pPr>
        <w:spacing w:after="120"/>
        <w:jc w:val="both"/>
      </w:pPr>
      <w:r>
        <w:rPr>
          <w:color w:val="000000"/>
        </w:rPr>
        <w:tab/>
        <w:t xml:space="preserve">Po odsouhlasení správnosti budou tabulky i s případným komentářem opatřeny podpisem a zaslány buď prostřednictvím datové schránky </w:t>
      </w:r>
      <w:r>
        <w:rPr>
          <w:b/>
          <w:color w:val="000000"/>
        </w:rPr>
        <w:t xml:space="preserve">vidaawt </w:t>
      </w:r>
      <w:r>
        <w:rPr>
          <w:color w:val="000000"/>
        </w:rPr>
        <w:t>nebo poštou na adresu MŠMT s označením „Odbor 11 – finanční vypořádání“, též v doporučeném termínu do </w:t>
      </w:r>
      <w:r>
        <w:rPr>
          <w:b/>
          <w:color w:val="000000"/>
        </w:rPr>
        <w:t>5.</w:t>
      </w:r>
      <w:r>
        <w:rPr>
          <w:color w:val="000000"/>
        </w:rPr>
        <w:t> </w:t>
      </w:r>
      <w:r>
        <w:rPr>
          <w:b/>
          <w:color w:val="000000"/>
        </w:rPr>
        <w:t>února 2022</w:t>
      </w:r>
      <w:r>
        <w:rPr>
          <w:color w:val="000000"/>
        </w:rPr>
        <w:t>.</w:t>
      </w:r>
    </w:p>
    <w:p w:rsidR="0068206F" w:rsidRDefault="0068206F" w:rsidP="0068206F">
      <w:pPr>
        <w:spacing w:after="120"/>
        <w:ind w:firstLine="708"/>
        <w:jc w:val="both"/>
        <w:rPr>
          <w:b/>
          <w:color w:val="000000"/>
        </w:rPr>
      </w:pPr>
      <w:r>
        <w:rPr>
          <w:color w:val="000000"/>
        </w:rPr>
        <w:t xml:space="preserve">Nevyčerpané prostředky z poskytnutých dotací převede církevní škola na depozitní účet ministerstva </w:t>
      </w:r>
      <w:r>
        <w:rPr>
          <w:b/>
          <w:color w:val="000000"/>
        </w:rPr>
        <w:t xml:space="preserve">č. 6015-821001/0710 </w:t>
      </w:r>
      <w:r>
        <w:rPr>
          <w:color w:val="000000"/>
        </w:rPr>
        <w:t xml:space="preserve">rovněž v doporučeném termínu do </w:t>
      </w:r>
      <w:r>
        <w:rPr>
          <w:b/>
          <w:color w:val="000000"/>
        </w:rPr>
        <w:t xml:space="preserve">5. února 2022. </w:t>
      </w:r>
    </w:p>
    <w:p w:rsidR="0068206F" w:rsidRDefault="0068206F" w:rsidP="0068206F">
      <w:pPr>
        <w:spacing w:after="120"/>
        <w:contextualSpacing/>
        <w:jc w:val="both"/>
        <w:rPr>
          <w:color w:val="000000"/>
        </w:rPr>
      </w:pPr>
      <w:r>
        <w:rPr>
          <w:color w:val="000000"/>
        </w:rPr>
        <w:tab/>
        <w:t xml:space="preserve">Současně s převodem vratek zašle církevní škola na adresu </w:t>
      </w:r>
      <w:hyperlink r:id="rId9" w:history="1">
        <w:r>
          <w:rPr>
            <w:rStyle w:val="Hypertextovodkaz"/>
          </w:rPr>
          <w:t>avizo@msmt.cz</w:t>
        </w:r>
      </w:hyperlink>
      <w:r>
        <w:rPr>
          <w:color w:val="000000"/>
        </w:rPr>
        <w:t xml:space="preserve"> </w:t>
      </w:r>
      <w:r>
        <w:rPr>
          <w:b/>
          <w:color w:val="000000"/>
        </w:rPr>
        <w:t>avízo o vrácení</w:t>
      </w:r>
      <w:r>
        <w:rPr>
          <w:color w:val="000000"/>
        </w:rPr>
        <w:t xml:space="preserve"> nevyčerpaných prostředků, ve kterém budou uvedeny potřebné identifikační údaje včetně variabilního symbolu stanoveného poskytovatelem prostředků. Avízo zašle církevní škola rovněž věcně příslušnému útvaru (poskytovateli prostředků), pokud jej  v rozhodnutí o poskytnutí prostředků požadoval. </w:t>
      </w:r>
    </w:p>
    <w:p w:rsidR="0068206F" w:rsidRDefault="0068206F" w:rsidP="0068206F">
      <w:pPr>
        <w:spacing w:after="120"/>
        <w:contextualSpacing/>
        <w:jc w:val="both"/>
        <w:rPr>
          <w:color w:val="000000"/>
        </w:rPr>
      </w:pPr>
    </w:p>
    <w:p w:rsidR="0068206F" w:rsidRDefault="0068206F" w:rsidP="0068206F">
      <w:pPr>
        <w:spacing w:after="120"/>
        <w:ind w:firstLine="708"/>
        <w:jc w:val="both"/>
        <w:rPr>
          <w:b/>
          <w:color w:val="000000"/>
        </w:rPr>
      </w:pPr>
      <w:r>
        <w:rPr>
          <w:color w:val="000000"/>
        </w:rPr>
        <w:t>Výše uvedené termíny jsou termíny doporučenými s ohledem na větší časový prostor pro řešení případných nejasností či chyb zjištěných odborem 11 při kontrolách předložených finančních vypořádání. Vyhláška č. 367/2015 Sb., stanoví nejzazší termín pro zaslání nedočerpaných prostředků i tabulek finančního vypořádání poštou či prostřednictvím datové schránky 15. únor 2022.</w:t>
      </w:r>
    </w:p>
    <w:p w:rsidR="0068206F" w:rsidRDefault="0068206F" w:rsidP="0068206F">
      <w:pPr>
        <w:ind w:firstLine="708"/>
        <w:jc w:val="both"/>
      </w:pPr>
    </w:p>
    <w:p w:rsidR="0068206F" w:rsidRDefault="0068206F" w:rsidP="0068206F">
      <w:pPr>
        <w:pStyle w:val="Nadpis2"/>
        <w:numPr>
          <w:ilvl w:val="0"/>
          <w:numId w:val="0"/>
        </w:numPr>
        <w:tabs>
          <w:tab w:val="left" w:pos="708"/>
        </w:tabs>
        <w:spacing w:after="240"/>
        <w:rPr>
          <w:sz w:val="24"/>
          <w:szCs w:val="24"/>
          <w:lang w:val="cs-CZ"/>
        </w:rPr>
      </w:pPr>
      <w:r>
        <w:rPr>
          <w:sz w:val="24"/>
          <w:szCs w:val="24"/>
        </w:rPr>
        <w:t>Zajištění oprav vykázaných údajů na základě výzvy odboru hlavního účetního</w:t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  <w:lang w:val="cs-CZ"/>
        </w:rPr>
        <w:t> </w:t>
      </w:r>
      <w:r>
        <w:rPr>
          <w:sz w:val="24"/>
          <w:szCs w:val="24"/>
        </w:rPr>
        <w:t>svodného výkaznictví</w:t>
      </w:r>
    </w:p>
    <w:p w:rsidR="0068206F" w:rsidRDefault="0068206F" w:rsidP="0068206F">
      <w:pPr>
        <w:ind w:firstLine="578"/>
        <w:jc w:val="both"/>
      </w:pPr>
      <w:r>
        <w:t>V případě zjištěných nesrovnalostí je osoba odpovědná za sestavení podkladů povinna na vyzvání odboru hlavního účetního a svodného výkaznictví provést opravu podkladů, přičemž opravu provede jak v elektronické, tak v tištěné podobě tak, aby údaje uvedené v obou verzích byly shodné.</w:t>
      </w:r>
    </w:p>
    <w:p w:rsidR="0068206F" w:rsidRDefault="0068206F" w:rsidP="0068206F">
      <w:pPr>
        <w:ind w:firstLine="709"/>
        <w:jc w:val="both"/>
      </w:pPr>
    </w:p>
    <w:p w:rsidR="0068206F" w:rsidRDefault="0068206F" w:rsidP="0068206F">
      <w:pPr>
        <w:pStyle w:val="Zkladntextodsazen"/>
        <w:ind w:firstLine="578"/>
        <w:rPr>
          <w:szCs w:val="24"/>
        </w:rPr>
      </w:pPr>
      <w:r>
        <w:rPr>
          <w:szCs w:val="24"/>
        </w:rPr>
        <w:t xml:space="preserve">Termín pro provedení opravy je v souladu s § </w:t>
      </w:r>
      <w:r>
        <w:rPr>
          <w:szCs w:val="24"/>
          <w:lang w:val="cs-CZ"/>
        </w:rPr>
        <w:t>3</w:t>
      </w:r>
      <w:r>
        <w:rPr>
          <w:szCs w:val="24"/>
        </w:rPr>
        <w:t xml:space="preserve"> odst. </w:t>
      </w:r>
      <w:r>
        <w:rPr>
          <w:szCs w:val="24"/>
          <w:lang w:val="cs-CZ"/>
        </w:rPr>
        <w:t>3</w:t>
      </w:r>
      <w:r>
        <w:rPr>
          <w:szCs w:val="24"/>
        </w:rPr>
        <w:t xml:space="preserve"> vyhlášky č. </w:t>
      </w:r>
      <w:r>
        <w:rPr>
          <w:szCs w:val="24"/>
          <w:lang w:val="cs-CZ"/>
        </w:rPr>
        <w:t>367</w:t>
      </w:r>
      <w:r>
        <w:rPr>
          <w:szCs w:val="24"/>
        </w:rPr>
        <w:t xml:space="preserve">/2015 Sb. stanoven na jeden pracovní den od okamžiku vyzvání odpovědné osoby k provedení opravy zaměstnancem odboru hlavního účetního a svodného výkaznictví. Výzva k provedení opravy bude </w:t>
      </w:r>
      <w:r>
        <w:rPr>
          <w:szCs w:val="24"/>
          <w:lang w:val="cs-CZ"/>
        </w:rPr>
        <w:t xml:space="preserve">směřována </w:t>
      </w:r>
      <w:r>
        <w:rPr>
          <w:szCs w:val="24"/>
        </w:rPr>
        <w:t>na e-mailovou adresu, ze které byly MŠMT zaslány podklady k finančnímu vypořádání a/nebo na e-mailovou adresu odpovědné osoby, která byla uvedena v podkladech k finančnímu vypořádání v případě, že tyto kontaktní údaje budou vzájemně odlišné.</w:t>
      </w:r>
    </w:p>
    <w:p w:rsidR="0068206F" w:rsidRDefault="0068206F" w:rsidP="0068206F">
      <w:pPr>
        <w:pStyle w:val="Zkladntextodsazen"/>
        <w:ind w:firstLine="0"/>
      </w:pPr>
    </w:p>
    <w:p w:rsidR="0068206F" w:rsidRDefault="0068206F" w:rsidP="0068206F">
      <w:pPr>
        <w:pStyle w:val="Nadpis2"/>
        <w:numPr>
          <w:ilvl w:val="0"/>
          <w:numId w:val="0"/>
        </w:numPr>
        <w:tabs>
          <w:tab w:val="left" w:pos="708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Změna kontaktní osoby</w:t>
      </w:r>
    </w:p>
    <w:p w:rsidR="0068206F" w:rsidRDefault="0068206F" w:rsidP="0068206F">
      <w:pPr>
        <w:pStyle w:val="Nadpis2"/>
        <w:numPr>
          <w:ilvl w:val="0"/>
          <w:numId w:val="0"/>
        </w:numPr>
        <w:tabs>
          <w:tab w:val="left" w:pos="708"/>
        </w:tabs>
        <w:spacing w:after="240"/>
        <w:rPr>
          <w:b w:val="0"/>
          <w:sz w:val="24"/>
          <w:szCs w:val="24"/>
          <w:lang w:val="cs-CZ"/>
        </w:rPr>
      </w:pPr>
      <w:r>
        <w:rPr>
          <w:b w:val="0"/>
          <w:sz w:val="24"/>
          <w:szCs w:val="24"/>
        </w:rPr>
        <w:tab/>
        <w:t xml:space="preserve">V případě </w:t>
      </w:r>
      <w:r>
        <w:rPr>
          <w:b w:val="0"/>
          <w:sz w:val="24"/>
          <w:szCs w:val="24"/>
          <w:lang w:val="cs-CZ"/>
        </w:rPr>
        <w:t xml:space="preserve">jakýchkoli dotazů k finančnímu vypořádání za rok 2021, kontaktujte </w:t>
      </w:r>
      <w:r>
        <w:rPr>
          <w:sz w:val="24"/>
          <w:szCs w:val="24"/>
          <w:lang w:val="cs-CZ"/>
        </w:rPr>
        <w:t>Ing.</w:t>
      </w:r>
      <w:r>
        <w:rPr>
          <w:sz w:val="24"/>
          <w:szCs w:val="24"/>
        </w:rPr>
        <w:t> </w:t>
      </w:r>
      <w:r>
        <w:rPr>
          <w:sz w:val="24"/>
          <w:szCs w:val="24"/>
          <w:lang w:val="cs-CZ"/>
        </w:rPr>
        <w:t>Martinu Cmíralovou</w:t>
      </w:r>
      <w:r>
        <w:rPr>
          <w:b w:val="0"/>
          <w:sz w:val="24"/>
          <w:szCs w:val="24"/>
          <w:lang w:val="cs-CZ"/>
        </w:rPr>
        <w:t xml:space="preserve">, tel. 234 812 226, </w:t>
      </w:r>
      <w:r w:rsidRPr="0068206F">
        <w:rPr>
          <w:b w:val="0"/>
          <w:color w:val="000000"/>
          <w:sz w:val="24"/>
          <w:szCs w:val="24"/>
          <w:lang w:val="cs-CZ"/>
        </w:rPr>
        <w:t xml:space="preserve">email: </w:t>
      </w:r>
      <w:hyperlink r:id="rId10" w:history="1">
        <w:r w:rsidRPr="0068206F">
          <w:rPr>
            <w:rStyle w:val="Hypertextovodkaz"/>
            <w:b w:val="0"/>
            <w:color w:val="000000"/>
            <w:sz w:val="24"/>
            <w:szCs w:val="24"/>
          </w:rPr>
          <w:t>financni_vyporadani@msmt.cz</w:t>
        </w:r>
      </w:hyperlink>
      <w:r w:rsidRPr="0068206F">
        <w:rPr>
          <w:rStyle w:val="Hypertextovodkaz"/>
          <w:b w:val="0"/>
          <w:color w:val="000000"/>
          <w:sz w:val="24"/>
          <w:szCs w:val="24"/>
          <w:lang w:val="cs-CZ"/>
        </w:rPr>
        <w:t>.</w:t>
      </w:r>
    </w:p>
    <w:p w:rsidR="00880F9E" w:rsidRPr="006C3231" w:rsidRDefault="00880F9E" w:rsidP="0068206F">
      <w:pPr>
        <w:pStyle w:val="Nadpis1"/>
        <w:numPr>
          <w:ilvl w:val="0"/>
          <w:numId w:val="0"/>
        </w:numPr>
        <w:ind w:left="432"/>
        <w:rPr>
          <w:rFonts w:ascii="Calibri" w:hAnsi="Calibri"/>
        </w:rPr>
      </w:pPr>
    </w:p>
    <w:sectPr w:rsidR="00880F9E" w:rsidRPr="006C3231" w:rsidSect="003E4AD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B96" w:rsidRDefault="00D11B96" w:rsidP="00FF39A4">
      <w:r>
        <w:separator/>
      </w:r>
    </w:p>
  </w:endnote>
  <w:endnote w:type="continuationSeparator" w:id="0">
    <w:p w:rsidR="00D11B96" w:rsidRDefault="00D11B96" w:rsidP="00FF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B3" w:rsidRPr="004502C4" w:rsidRDefault="00E43FB3" w:rsidP="00703E66">
    <w:pPr>
      <w:pStyle w:val="Zpat"/>
      <w:jc w:val="center"/>
      <w:rPr>
        <w:rFonts w:ascii="Calibri" w:hAnsi="Calibri"/>
      </w:rPr>
    </w:pPr>
    <w:r w:rsidRPr="004502C4">
      <w:rPr>
        <w:rFonts w:ascii="Calibri" w:hAnsi="Calibri"/>
      </w:rPr>
      <w:fldChar w:fldCharType="begin"/>
    </w:r>
    <w:r w:rsidRPr="004502C4">
      <w:rPr>
        <w:rFonts w:ascii="Calibri" w:hAnsi="Calibri"/>
      </w:rPr>
      <w:instrText xml:space="preserve"> PAGE   \* MERGEFORMAT </w:instrText>
    </w:r>
    <w:r w:rsidRPr="004502C4">
      <w:rPr>
        <w:rFonts w:ascii="Calibri" w:hAnsi="Calibri"/>
      </w:rPr>
      <w:fldChar w:fldCharType="separate"/>
    </w:r>
    <w:r w:rsidR="00896953">
      <w:rPr>
        <w:rFonts w:ascii="Calibri" w:hAnsi="Calibri"/>
        <w:noProof/>
      </w:rPr>
      <w:t>2</w:t>
    </w:r>
    <w:r w:rsidRPr="004502C4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B96" w:rsidRDefault="00D11B96" w:rsidP="00FF39A4">
      <w:r>
        <w:separator/>
      </w:r>
    </w:p>
  </w:footnote>
  <w:footnote w:type="continuationSeparator" w:id="0">
    <w:p w:rsidR="00D11B96" w:rsidRDefault="00D11B96" w:rsidP="00FF3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E66" w:rsidRPr="00C42F9B" w:rsidRDefault="0068206F" w:rsidP="00703E66">
    <w:pPr>
      <w:pStyle w:val="Zhlav"/>
      <w:pBdr>
        <w:bottom w:val="single" w:sz="4" w:space="1" w:color="auto"/>
      </w:pBdr>
    </w:pPr>
    <w:r w:rsidRPr="00E172E2">
      <w:rPr>
        <w:rFonts w:cs="Calibri"/>
        <w:noProof/>
      </w:rPr>
      <w:drawing>
        <wp:inline distT="0" distB="0" distL="0" distR="0">
          <wp:extent cx="619125" cy="390525"/>
          <wp:effectExtent l="0" t="0" r="0" b="0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3E66" w:rsidRPr="00E172E2">
      <w:rPr>
        <w:rFonts w:ascii="Calibri Light" w:hAnsi="Calibri Light" w:cs="Calibri Light"/>
      </w:rPr>
      <w:tab/>
    </w:r>
    <w:r w:rsidR="00703E66" w:rsidRPr="00E172E2">
      <w:rPr>
        <w:rFonts w:ascii="Calibri Light" w:hAnsi="Calibri Light" w:cs="Calibri Light"/>
      </w:rPr>
      <w:tab/>
    </w:r>
  </w:p>
  <w:p w:rsidR="00E43FB3" w:rsidRPr="00844077" w:rsidRDefault="00E43FB3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1A2"/>
    <w:multiLevelType w:val="hybridMultilevel"/>
    <w:tmpl w:val="E0886BFA"/>
    <w:lvl w:ilvl="0" w:tplc="D312F55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01174"/>
    <w:multiLevelType w:val="hybridMultilevel"/>
    <w:tmpl w:val="8A72AEE2"/>
    <w:lvl w:ilvl="0" w:tplc="D312F55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05325"/>
    <w:multiLevelType w:val="hybridMultilevel"/>
    <w:tmpl w:val="0AEEA9F8"/>
    <w:lvl w:ilvl="0" w:tplc="D312F55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96923"/>
    <w:multiLevelType w:val="multilevel"/>
    <w:tmpl w:val="4CD61BC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7237756"/>
    <w:multiLevelType w:val="hybridMultilevel"/>
    <w:tmpl w:val="4A364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05F86"/>
    <w:multiLevelType w:val="hybridMultilevel"/>
    <w:tmpl w:val="03808EE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A760785"/>
    <w:multiLevelType w:val="hybridMultilevel"/>
    <w:tmpl w:val="8AEE52B0"/>
    <w:lvl w:ilvl="0" w:tplc="D312F55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5324F"/>
    <w:multiLevelType w:val="hybridMultilevel"/>
    <w:tmpl w:val="7406A02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B27D46"/>
    <w:multiLevelType w:val="hybridMultilevel"/>
    <w:tmpl w:val="BFE2DD84"/>
    <w:lvl w:ilvl="0" w:tplc="D312F55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A1ABB"/>
    <w:multiLevelType w:val="hybridMultilevel"/>
    <w:tmpl w:val="53380E1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0425A0C"/>
    <w:multiLevelType w:val="hybridMultilevel"/>
    <w:tmpl w:val="7BB2008C"/>
    <w:lvl w:ilvl="0" w:tplc="31C24DAE">
      <w:start w:val="8"/>
      <w:numFmt w:val="bullet"/>
      <w:lvlText w:val="-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728DF"/>
    <w:multiLevelType w:val="hybridMultilevel"/>
    <w:tmpl w:val="370E628E"/>
    <w:lvl w:ilvl="0" w:tplc="D312F55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F6C52"/>
    <w:multiLevelType w:val="hybridMultilevel"/>
    <w:tmpl w:val="95125DB4"/>
    <w:lvl w:ilvl="0" w:tplc="9500CD1A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B5656"/>
    <w:multiLevelType w:val="hybridMultilevel"/>
    <w:tmpl w:val="D21C2DDA"/>
    <w:lvl w:ilvl="0" w:tplc="D312F55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07FB7"/>
    <w:multiLevelType w:val="hybridMultilevel"/>
    <w:tmpl w:val="E08CF3C8"/>
    <w:lvl w:ilvl="0" w:tplc="D312F55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85662"/>
    <w:multiLevelType w:val="hybridMultilevel"/>
    <w:tmpl w:val="22C8C0BC"/>
    <w:lvl w:ilvl="0" w:tplc="69B476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0562D22"/>
    <w:multiLevelType w:val="hybridMultilevel"/>
    <w:tmpl w:val="6AD4E3A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19C174F"/>
    <w:multiLevelType w:val="hybridMultilevel"/>
    <w:tmpl w:val="E6863A3C"/>
    <w:lvl w:ilvl="0" w:tplc="D312F55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65F97"/>
    <w:multiLevelType w:val="hybridMultilevel"/>
    <w:tmpl w:val="C9CAF430"/>
    <w:lvl w:ilvl="0" w:tplc="37F2BD44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92B6504"/>
    <w:multiLevelType w:val="hybridMultilevel"/>
    <w:tmpl w:val="14E8497E"/>
    <w:lvl w:ilvl="0" w:tplc="3CDC4560">
      <w:start w:val="8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A7AE9"/>
    <w:multiLevelType w:val="hybridMultilevel"/>
    <w:tmpl w:val="06A2B6E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CB7CB3"/>
    <w:multiLevelType w:val="hybridMultilevel"/>
    <w:tmpl w:val="7D92B92C"/>
    <w:lvl w:ilvl="0" w:tplc="490A594C">
      <w:start w:val="8"/>
      <w:numFmt w:val="bullet"/>
      <w:lvlText w:val="-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B10FC"/>
    <w:multiLevelType w:val="hybridMultilevel"/>
    <w:tmpl w:val="B02CFD6A"/>
    <w:lvl w:ilvl="0" w:tplc="3CDC4560">
      <w:start w:val="8"/>
      <w:numFmt w:val="bullet"/>
      <w:lvlText w:val="-"/>
      <w:lvlJc w:val="left"/>
      <w:pPr>
        <w:ind w:left="1428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0152685"/>
    <w:multiLevelType w:val="hybridMultilevel"/>
    <w:tmpl w:val="CA48C42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B4672CE"/>
    <w:multiLevelType w:val="hybridMultilevel"/>
    <w:tmpl w:val="6CA09AD4"/>
    <w:lvl w:ilvl="0" w:tplc="04050011">
      <w:start w:val="1"/>
      <w:numFmt w:val="decimal"/>
      <w:lvlText w:val="%1)"/>
      <w:lvlJc w:val="left"/>
      <w:pPr>
        <w:ind w:left="1854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F4C55E8"/>
    <w:multiLevelType w:val="hybridMultilevel"/>
    <w:tmpl w:val="CF2A1A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FB760A5"/>
    <w:multiLevelType w:val="hybridMultilevel"/>
    <w:tmpl w:val="0762B0FA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5C6650B"/>
    <w:multiLevelType w:val="singleLevel"/>
    <w:tmpl w:val="3CDC4560"/>
    <w:lvl w:ilvl="0">
      <w:start w:val="8"/>
      <w:numFmt w:val="bullet"/>
      <w:lvlText w:val="-"/>
      <w:lvlJc w:val="left"/>
      <w:pPr>
        <w:ind w:left="720" w:hanging="360"/>
      </w:pPr>
      <w:rPr>
        <w:rFonts w:hint="default"/>
        <w:b/>
      </w:rPr>
    </w:lvl>
  </w:abstractNum>
  <w:abstractNum w:abstractNumId="28" w15:restartNumberingAfterBreak="0">
    <w:nsid w:val="56ED18CB"/>
    <w:multiLevelType w:val="hybridMultilevel"/>
    <w:tmpl w:val="9F062D04"/>
    <w:lvl w:ilvl="0" w:tplc="D312F55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F77DB"/>
    <w:multiLevelType w:val="hybridMultilevel"/>
    <w:tmpl w:val="B8122AE0"/>
    <w:lvl w:ilvl="0" w:tplc="D312F55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87DC2"/>
    <w:multiLevelType w:val="hybridMultilevel"/>
    <w:tmpl w:val="04E8AF3A"/>
    <w:lvl w:ilvl="0" w:tplc="29F614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25C36"/>
    <w:multiLevelType w:val="hybridMultilevel"/>
    <w:tmpl w:val="1E44686C"/>
    <w:lvl w:ilvl="0" w:tplc="D2B29E5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 w15:restartNumberingAfterBreak="0">
    <w:nsid w:val="7A10103A"/>
    <w:multiLevelType w:val="hybridMultilevel"/>
    <w:tmpl w:val="A80EBDA6"/>
    <w:lvl w:ilvl="0" w:tplc="04050011">
      <w:start w:val="1"/>
      <w:numFmt w:val="decimal"/>
      <w:lvlText w:val="%1)"/>
      <w:lvlJc w:val="left"/>
      <w:pPr>
        <w:ind w:left="1854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7A17040D"/>
    <w:multiLevelType w:val="hybridMultilevel"/>
    <w:tmpl w:val="0D605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33B35"/>
    <w:multiLevelType w:val="hybridMultilevel"/>
    <w:tmpl w:val="0E8ED888"/>
    <w:lvl w:ilvl="0" w:tplc="98EC2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87198"/>
    <w:multiLevelType w:val="hybridMultilevel"/>
    <w:tmpl w:val="F998F136"/>
    <w:lvl w:ilvl="0" w:tplc="04050017">
      <w:start w:val="1"/>
      <w:numFmt w:val="lowerLetter"/>
      <w:lvlText w:val="%1)"/>
      <w:lvlJc w:val="left"/>
      <w:pPr>
        <w:ind w:left="144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6" w15:restartNumberingAfterBreak="0">
    <w:nsid w:val="7D7B38CD"/>
    <w:multiLevelType w:val="hybridMultilevel"/>
    <w:tmpl w:val="67C44060"/>
    <w:lvl w:ilvl="0" w:tplc="D312F55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B6929"/>
    <w:multiLevelType w:val="hybridMultilevel"/>
    <w:tmpl w:val="19D44322"/>
    <w:lvl w:ilvl="0" w:tplc="D312F55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7"/>
  </w:num>
  <w:num w:numId="4">
    <w:abstractNumId w:val="24"/>
  </w:num>
  <w:num w:numId="5">
    <w:abstractNumId w:val="32"/>
  </w:num>
  <w:num w:numId="6">
    <w:abstractNumId w:val="26"/>
  </w:num>
  <w:num w:numId="7">
    <w:abstractNumId w:val="8"/>
  </w:num>
  <w:num w:numId="8">
    <w:abstractNumId w:val="29"/>
  </w:num>
  <w:num w:numId="9">
    <w:abstractNumId w:val="35"/>
  </w:num>
  <w:num w:numId="10">
    <w:abstractNumId w:val="0"/>
  </w:num>
  <w:num w:numId="11">
    <w:abstractNumId w:val="28"/>
  </w:num>
  <w:num w:numId="12">
    <w:abstractNumId w:val="13"/>
  </w:num>
  <w:num w:numId="13">
    <w:abstractNumId w:val="11"/>
  </w:num>
  <w:num w:numId="14">
    <w:abstractNumId w:val="37"/>
  </w:num>
  <w:num w:numId="15">
    <w:abstractNumId w:val="6"/>
  </w:num>
  <w:num w:numId="16">
    <w:abstractNumId w:val="5"/>
  </w:num>
  <w:num w:numId="17">
    <w:abstractNumId w:val="16"/>
  </w:num>
  <w:num w:numId="18">
    <w:abstractNumId w:val="17"/>
  </w:num>
  <w:num w:numId="19">
    <w:abstractNumId w:val="9"/>
  </w:num>
  <w:num w:numId="20">
    <w:abstractNumId w:val="25"/>
  </w:num>
  <w:num w:numId="21">
    <w:abstractNumId w:val="36"/>
  </w:num>
  <w:num w:numId="22">
    <w:abstractNumId w:val="23"/>
  </w:num>
  <w:num w:numId="23">
    <w:abstractNumId w:val="2"/>
  </w:num>
  <w:num w:numId="24">
    <w:abstractNumId w:val="14"/>
  </w:num>
  <w:num w:numId="25">
    <w:abstractNumId w:val="1"/>
  </w:num>
  <w:num w:numId="26">
    <w:abstractNumId w:val="33"/>
  </w:num>
  <w:num w:numId="27">
    <w:abstractNumId w:val="18"/>
  </w:num>
  <w:num w:numId="28">
    <w:abstractNumId w:val="12"/>
  </w:num>
  <w:num w:numId="29">
    <w:abstractNumId w:val="34"/>
  </w:num>
  <w:num w:numId="30">
    <w:abstractNumId w:val="27"/>
  </w:num>
  <w:num w:numId="31">
    <w:abstractNumId w:val="20"/>
  </w:num>
  <w:num w:numId="32">
    <w:abstractNumId w:val="3"/>
  </w:num>
  <w:num w:numId="33">
    <w:abstractNumId w:val="4"/>
  </w:num>
  <w:num w:numId="34">
    <w:abstractNumId w:val="15"/>
  </w:num>
  <w:num w:numId="35">
    <w:abstractNumId w:val="22"/>
  </w:num>
  <w:num w:numId="36">
    <w:abstractNumId w:val="19"/>
  </w:num>
  <w:num w:numId="37">
    <w:abstractNumId w:val="21"/>
  </w:num>
  <w:num w:numId="38">
    <w:abstractNumId w:val="10"/>
  </w:num>
  <w:num w:numId="39">
    <w:abstractNumId w:val="3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66"/>
    <w:rsid w:val="000017B5"/>
    <w:rsid w:val="000018F2"/>
    <w:rsid w:val="000026B6"/>
    <w:rsid w:val="00003491"/>
    <w:rsid w:val="000034FD"/>
    <w:rsid w:val="00004874"/>
    <w:rsid w:val="00006696"/>
    <w:rsid w:val="00007CB5"/>
    <w:rsid w:val="000150DD"/>
    <w:rsid w:val="00016EDA"/>
    <w:rsid w:val="00020BA8"/>
    <w:rsid w:val="00023487"/>
    <w:rsid w:val="00025E8F"/>
    <w:rsid w:val="00031EFE"/>
    <w:rsid w:val="00037BAA"/>
    <w:rsid w:val="0004424B"/>
    <w:rsid w:val="000446CF"/>
    <w:rsid w:val="00044A92"/>
    <w:rsid w:val="000459F9"/>
    <w:rsid w:val="00056225"/>
    <w:rsid w:val="00057527"/>
    <w:rsid w:val="00057DCB"/>
    <w:rsid w:val="00063936"/>
    <w:rsid w:val="00077092"/>
    <w:rsid w:val="00092F65"/>
    <w:rsid w:val="0009647F"/>
    <w:rsid w:val="000A0A80"/>
    <w:rsid w:val="000B48B7"/>
    <w:rsid w:val="000C7AC1"/>
    <w:rsid w:val="000D0436"/>
    <w:rsid w:val="000D1252"/>
    <w:rsid w:val="000D5E49"/>
    <w:rsid w:val="000E51C3"/>
    <w:rsid w:val="000E68D5"/>
    <w:rsid w:val="000F34EF"/>
    <w:rsid w:val="000F60E2"/>
    <w:rsid w:val="000F713C"/>
    <w:rsid w:val="00101884"/>
    <w:rsid w:val="00101FAF"/>
    <w:rsid w:val="00103FA3"/>
    <w:rsid w:val="001044AE"/>
    <w:rsid w:val="00106902"/>
    <w:rsid w:val="00113698"/>
    <w:rsid w:val="00122CC8"/>
    <w:rsid w:val="001234D9"/>
    <w:rsid w:val="0012433E"/>
    <w:rsid w:val="001314AB"/>
    <w:rsid w:val="0014272E"/>
    <w:rsid w:val="001550B9"/>
    <w:rsid w:val="001551D3"/>
    <w:rsid w:val="001611DC"/>
    <w:rsid w:val="00162475"/>
    <w:rsid w:val="001817FB"/>
    <w:rsid w:val="001979C8"/>
    <w:rsid w:val="001A4B03"/>
    <w:rsid w:val="001B1425"/>
    <w:rsid w:val="001C3475"/>
    <w:rsid w:val="001C59EF"/>
    <w:rsid w:val="001D1E3C"/>
    <w:rsid w:val="001E52EA"/>
    <w:rsid w:val="001E5D4A"/>
    <w:rsid w:val="001E719A"/>
    <w:rsid w:val="001F1275"/>
    <w:rsid w:val="001F2DCD"/>
    <w:rsid w:val="002017B2"/>
    <w:rsid w:val="00203A9E"/>
    <w:rsid w:val="002157E1"/>
    <w:rsid w:val="00220D7B"/>
    <w:rsid w:val="00225E42"/>
    <w:rsid w:val="0023091A"/>
    <w:rsid w:val="00237A92"/>
    <w:rsid w:val="002408A4"/>
    <w:rsid w:val="00241170"/>
    <w:rsid w:val="0024286C"/>
    <w:rsid w:val="0024794A"/>
    <w:rsid w:val="002623B8"/>
    <w:rsid w:val="00263922"/>
    <w:rsid w:val="002822A5"/>
    <w:rsid w:val="00282526"/>
    <w:rsid w:val="00282954"/>
    <w:rsid w:val="00293F84"/>
    <w:rsid w:val="002A0AD4"/>
    <w:rsid w:val="002A4384"/>
    <w:rsid w:val="002B59C1"/>
    <w:rsid w:val="002B605E"/>
    <w:rsid w:val="002B7F61"/>
    <w:rsid w:val="002C0419"/>
    <w:rsid w:val="002C167C"/>
    <w:rsid w:val="002C7BD5"/>
    <w:rsid w:val="002D1132"/>
    <w:rsid w:val="002D1187"/>
    <w:rsid w:val="002E344C"/>
    <w:rsid w:val="002E4021"/>
    <w:rsid w:val="002F5E59"/>
    <w:rsid w:val="003005CB"/>
    <w:rsid w:val="0030419F"/>
    <w:rsid w:val="00322792"/>
    <w:rsid w:val="003368C9"/>
    <w:rsid w:val="003406DB"/>
    <w:rsid w:val="00340AE6"/>
    <w:rsid w:val="0034234C"/>
    <w:rsid w:val="003452EA"/>
    <w:rsid w:val="00363DEE"/>
    <w:rsid w:val="003645EA"/>
    <w:rsid w:val="00364662"/>
    <w:rsid w:val="0037177F"/>
    <w:rsid w:val="00376ECB"/>
    <w:rsid w:val="0039077F"/>
    <w:rsid w:val="0039181C"/>
    <w:rsid w:val="00396C89"/>
    <w:rsid w:val="003A51D5"/>
    <w:rsid w:val="003B5804"/>
    <w:rsid w:val="003B6132"/>
    <w:rsid w:val="003C11F3"/>
    <w:rsid w:val="003C4901"/>
    <w:rsid w:val="003C789D"/>
    <w:rsid w:val="003D28A2"/>
    <w:rsid w:val="003D346D"/>
    <w:rsid w:val="003D6988"/>
    <w:rsid w:val="003D7D65"/>
    <w:rsid w:val="003E173D"/>
    <w:rsid w:val="003E4AD0"/>
    <w:rsid w:val="003E66AC"/>
    <w:rsid w:val="00414E1C"/>
    <w:rsid w:val="00423A95"/>
    <w:rsid w:val="004325BE"/>
    <w:rsid w:val="0043315D"/>
    <w:rsid w:val="00442F9D"/>
    <w:rsid w:val="00444CB9"/>
    <w:rsid w:val="00444CE9"/>
    <w:rsid w:val="004502C4"/>
    <w:rsid w:val="0045288F"/>
    <w:rsid w:val="00462A87"/>
    <w:rsid w:val="004633D7"/>
    <w:rsid w:val="00470576"/>
    <w:rsid w:val="00471781"/>
    <w:rsid w:val="00471BF0"/>
    <w:rsid w:val="00475270"/>
    <w:rsid w:val="004755FE"/>
    <w:rsid w:val="00480905"/>
    <w:rsid w:val="00493CD1"/>
    <w:rsid w:val="00497CE1"/>
    <w:rsid w:val="004A3C5C"/>
    <w:rsid w:val="004B5909"/>
    <w:rsid w:val="004D0729"/>
    <w:rsid w:val="004D562D"/>
    <w:rsid w:val="004D61B3"/>
    <w:rsid w:val="004E084E"/>
    <w:rsid w:val="004E55F5"/>
    <w:rsid w:val="004F1775"/>
    <w:rsid w:val="004F555A"/>
    <w:rsid w:val="0050485E"/>
    <w:rsid w:val="005077B6"/>
    <w:rsid w:val="00512DC2"/>
    <w:rsid w:val="0051533E"/>
    <w:rsid w:val="00517067"/>
    <w:rsid w:val="005215CE"/>
    <w:rsid w:val="00535433"/>
    <w:rsid w:val="005354ED"/>
    <w:rsid w:val="00537299"/>
    <w:rsid w:val="005543AB"/>
    <w:rsid w:val="00561512"/>
    <w:rsid w:val="00564123"/>
    <w:rsid w:val="00572F16"/>
    <w:rsid w:val="00574F7E"/>
    <w:rsid w:val="00577566"/>
    <w:rsid w:val="0058667E"/>
    <w:rsid w:val="0059272E"/>
    <w:rsid w:val="005A0069"/>
    <w:rsid w:val="005B3AE6"/>
    <w:rsid w:val="005D6362"/>
    <w:rsid w:val="005D7216"/>
    <w:rsid w:val="005E561A"/>
    <w:rsid w:val="005F5FD1"/>
    <w:rsid w:val="005F68D0"/>
    <w:rsid w:val="005F6918"/>
    <w:rsid w:val="005F6DAF"/>
    <w:rsid w:val="0060435F"/>
    <w:rsid w:val="0060493D"/>
    <w:rsid w:val="00612370"/>
    <w:rsid w:val="00614008"/>
    <w:rsid w:val="00625BF6"/>
    <w:rsid w:val="00632903"/>
    <w:rsid w:val="00633CD8"/>
    <w:rsid w:val="00642C18"/>
    <w:rsid w:val="00651622"/>
    <w:rsid w:val="006522B9"/>
    <w:rsid w:val="00652818"/>
    <w:rsid w:val="0066640E"/>
    <w:rsid w:val="00671288"/>
    <w:rsid w:val="0068206F"/>
    <w:rsid w:val="00684894"/>
    <w:rsid w:val="006A001A"/>
    <w:rsid w:val="006B7BD5"/>
    <w:rsid w:val="006C3231"/>
    <w:rsid w:val="006C53DE"/>
    <w:rsid w:val="006C5B1E"/>
    <w:rsid w:val="006D1A8F"/>
    <w:rsid w:val="006D3A45"/>
    <w:rsid w:val="006D5602"/>
    <w:rsid w:val="006D610B"/>
    <w:rsid w:val="006D6E1F"/>
    <w:rsid w:val="006F419D"/>
    <w:rsid w:val="006F7989"/>
    <w:rsid w:val="00700EB9"/>
    <w:rsid w:val="00703E66"/>
    <w:rsid w:val="0071289E"/>
    <w:rsid w:val="00724106"/>
    <w:rsid w:val="007416AC"/>
    <w:rsid w:val="00741771"/>
    <w:rsid w:val="00743173"/>
    <w:rsid w:val="007541A8"/>
    <w:rsid w:val="00761785"/>
    <w:rsid w:val="00764540"/>
    <w:rsid w:val="00766603"/>
    <w:rsid w:val="00767296"/>
    <w:rsid w:val="00772441"/>
    <w:rsid w:val="0077540D"/>
    <w:rsid w:val="00797B84"/>
    <w:rsid w:val="007A6FA7"/>
    <w:rsid w:val="007B388A"/>
    <w:rsid w:val="007B613F"/>
    <w:rsid w:val="007C48F0"/>
    <w:rsid w:val="007D0C8C"/>
    <w:rsid w:val="007D79BC"/>
    <w:rsid w:val="007E0BCD"/>
    <w:rsid w:val="007E7F29"/>
    <w:rsid w:val="007F2492"/>
    <w:rsid w:val="007F5611"/>
    <w:rsid w:val="007F76FF"/>
    <w:rsid w:val="008215A5"/>
    <w:rsid w:val="008339A5"/>
    <w:rsid w:val="00836E68"/>
    <w:rsid w:val="00841C61"/>
    <w:rsid w:val="00843ABA"/>
    <w:rsid w:val="00844077"/>
    <w:rsid w:val="00844AD1"/>
    <w:rsid w:val="008556A3"/>
    <w:rsid w:val="00860115"/>
    <w:rsid w:val="00865CD3"/>
    <w:rsid w:val="0087214D"/>
    <w:rsid w:val="00873CF4"/>
    <w:rsid w:val="00875EE5"/>
    <w:rsid w:val="00880F9E"/>
    <w:rsid w:val="00883C48"/>
    <w:rsid w:val="00896953"/>
    <w:rsid w:val="008A2CBE"/>
    <w:rsid w:val="008A2FBB"/>
    <w:rsid w:val="008A4E92"/>
    <w:rsid w:val="008B0288"/>
    <w:rsid w:val="008B3234"/>
    <w:rsid w:val="008C78F6"/>
    <w:rsid w:val="008D4A31"/>
    <w:rsid w:val="008E1B1A"/>
    <w:rsid w:val="008F3EB4"/>
    <w:rsid w:val="008F55AE"/>
    <w:rsid w:val="00907530"/>
    <w:rsid w:val="00912664"/>
    <w:rsid w:val="00913855"/>
    <w:rsid w:val="00915DCE"/>
    <w:rsid w:val="00916099"/>
    <w:rsid w:val="009160A3"/>
    <w:rsid w:val="00916D20"/>
    <w:rsid w:val="009300A7"/>
    <w:rsid w:val="00935132"/>
    <w:rsid w:val="00936334"/>
    <w:rsid w:val="00937DF5"/>
    <w:rsid w:val="009424B5"/>
    <w:rsid w:val="00954BC4"/>
    <w:rsid w:val="0095620E"/>
    <w:rsid w:val="0095648A"/>
    <w:rsid w:val="00956F4A"/>
    <w:rsid w:val="00963899"/>
    <w:rsid w:val="009652A2"/>
    <w:rsid w:val="0097406E"/>
    <w:rsid w:val="0097763B"/>
    <w:rsid w:val="00992E6E"/>
    <w:rsid w:val="00995F79"/>
    <w:rsid w:val="009B209A"/>
    <w:rsid w:val="009B6070"/>
    <w:rsid w:val="009B7FF0"/>
    <w:rsid w:val="009E2CC3"/>
    <w:rsid w:val="009F3890"/>
    <w:rsid w:val="009F559A"/>
    <w:rsid w:val="00A0485F"/>
    <w:rsid w:val="00A1191B"/>
    <w:rsid w:val="00A14350"/>
    <w:rsid w:val="00A218ED"/>
    <w:rsid w:val="00A26962"/>
    <w:rsid w:val="00A322E0"/>
    <w:rsid w:val="00A33133"/>
    <w:rsid w:val="00A40CEC"/>
    <w:rsid w:val="00A43C7C"/>
    <w:rsid w:val="00A45352"/>
    <w:rsid w:val="00A54A6F"/>
    <w:rsid w:val="00A55D1C"/>
    <w:rsid w:val="00A56D48"/>
    <w:rsid w:val="00A60E85"/>
    <w:rsid w:val="00A62BD7"/>
    <w:rsid w:val="00A677F9"/>
    <w:rsid w:val="00A81A45"/>
    <w:rsid w:val="00A8301C"/>
    <w:rsid w:val="00A87A22"/>
    <w:rsid w:val="00A92EDD"/>
    <w:rsid w:val="00AA3409"/>
    <w:rsid w:val="00AA7A16"/>
    <w:rsid w:val="00AB4C68"/>
    <w:rsid w:val="00AC108A"/>
    <w:rsid w:val="00AC6BBF"/>
    <w:rsid w:val="00AD10BE"/>
    <w:rsid w:val="00AD4546"/>
    <w:rsid w:val="00AE1CFD"/>
    <w:rsid w:val="00AF073F"/>
    <w:rsid w:val="00AF25D2"/>
    <w:rsid w:val="00AF5788"/>
    <w:rsid w:val="00AF7A92"/>
    <w:rsid w:val="00B027AA"/>
    <w:rsid w:val="00B05763"/>
    <w:rsid w:val="00B07326"/>
    <w:rsid w:val="00B125D2"/>
    <w:rsid w:val="00B17842"/>
    <w:rsid w:val="00B21D07"/>
    <w:rsid w:val="00B235EB"/>
    <w:rsid w:val="00B23D76"/>
    <w:rsid w:val="00B30513"/>
    <w:rsid w:val="00B3122C"/>
    <w:rsid w:val="00B35A0C"/>
    <w:rsid w:val="00B35F7A"/>
    <w:rsid w:val="00B360FE"/>
    <w:rsid w:val="00B366F7"/>
    <w:rsid w:val="00B374C8"/>
    <w:rsid w:val="00B409EB"/>
    <w:rsid w:val="00B423A1"/>
    <w:rsid w:val="00B639E8"/>
    <w:rsid w:val="00B64562"/>
    <w:rsid w:val="00B74429"/>
    <w:rsid w:val="00B75AFD"/>
    <w:rsid w:val="00B77D82"/>
    <w:rsid w:val="00B803B1"/>
    <w:rsid w:val="00B83EB8"/>
    <w:rsid w:val="00B84B0B"/>
    <w:rsid w:val="00B87A95"/>
    <w:rsid w:val="00B922F2"/>
    <w:rsid w:val="00B95C0A"/>
    <w:rsid w:val="00B97421"/>
    <w:rsid w:val="00BA088F"/>
    <w:rsid w:val="00BA1EAA"/>
    <w:rsid w:val="00BA6BF2"/>
    <w:rsid w:val="00BB2170"/>
    <w:rsid w:val="00BB395A"/>
    <w:rsid w:val="00BB6538"/>
    <w:rsid w:val="00BB67B9"/>
    <w:rsid w:val="00BC0D64"/>
    <w:rsid w:val="00BC36B7"/>
    <w:rsid w:val="00BC7ECC"/>
    <w:rsid w:val="00BD4166"/>
    <w:rsid w:val="00BE4923"/>
    <w:rsid w:val="00BF0A67"/>
    <w:rsid w:val="00BF0B9D"/>
    <w:rsid w:val="00BF0FBF"/>
    <w:rsid w:val="00BF4F8A"/>
    <w:rsid w:val="00BF7FB6"/>
    <w:rsid w:val="00C018F6"/>
    <w:rsid w:val="00C10C56"/>
    <w:rsid w:val="00C20C32"/>
    <w:rsid w:val="00C249C1"/>
    <w:rsid w:val="00C31E77"/>
    <w:rsid w:val="00C324D4"/>
    <w:rsid w:val="00C33E36"/>
    <w:rsid w:val="00C43D46"/>
    <w:rsid w:val="00C5167B"/>
    <w:rsid w:val="00C52AC6"/>
    <w:rsid w:val="00C56D0B"/>
    <w:rsid w:val="00C61592"/>
    <w:rsid w:val="00C62C33"/>
    <w:rsid w:val="00C63020"/>
    <w:rsid w:val="00C64311"/>
    <w:rsid w:val="00C6580C"/>
    <w:rsid w:val="00C67A63"/>
    <w:rsid w:val="00C67C28"/>
    <w:rsid w:val="00C71130"/>
    <w:rsid w:val="00C733A0"/>
    <w:rsid w:val="00C7345B"/>
    <w:rsid w:val="00C77AA4"/>
    <w:rsid w:val="00C80A8F"/>
    <w:rsid w:val="00C810E1"/>
    <w:rsid w:val="00C905DF"/>
    <w:rsid w:val="00C90707"/>
    <w:rsid w:val="00CA4D1A"/>
    <w:rsid w:val="00CA4E0E"/>
    <w:rsid w:val="00CB7192"/>
    <w:rsid w:val="00CC3871"/>
    <w:rsid w:val="00CD0C0E"/>
    <w:rsid w:val="00CD2381"/>
    <w:rsid w:val="00CD6F15"/>
    <w:rsid w:val="00CD7326"/>
    <w:rsid w:val="00CF1D01"/>
    <w:rsid w:val="00D05E24"/>
    <w:rsid w:val="00D07FDE"/>
    <w:rsid w:val="00D11B96"/>
    <w:rsid w:val="00D12368"/>
    <w:rsid w:val="00D20D6C"/>
    <w:rsid w:val="00D23AA9"/>
    <w:rsid w:val="00D310AE"/>
    <w:rsid w:val="00D31E96"/>
    <w:rsid w:val="00D41A4B"/>
    <w:rsid w:val="00D60148"/>
    <w:rsid w:val="00D60891"/>
    <w:rsid w:val="00D75C35"/>
    <w:rsid w:val="00D8144F"/>
    <w:rsid w:val="00D8759C"/>
    <w:rsid w:val="00D905E9"/>
    <w:rsid w:val="00D95BEF"/>
    <w:rsid w:val="00D970D0"/>
    <w:rsid w:val="00DA285F"/>
    <w:rsid w:val="00DA2B4B"/>
    <w:rsid w:val="00DB2090"/>
    <w:rsid w:val="00DC3835"/>
    <w:rsid w:val="00DC4FDD"/>
    <w:rsid w:val="00DC5009"/>
    <w:rsid w:val="00DC5068"/>
    <w:rsid w:val="00DD103A"/>
    <w:rsid w:val="00DD1362"/>
    <w:rsid w:val="00DD28C5"/>
    <w:rsid w:val="00DD4F06"/>
    <w:rsid w:val="00DE15FA"/>
    <w:rsid w:val="00DE3CFB"/>
    <w:rsid w:val="00DE521F"/>
    <w:rsid w:val="00DF123C"/>
    <w:rsid w:val="00DF6912"/>
    <w:rsid w:val="00DF7D96"/>
    <w:rsid w:val="00E06ED5"/>
    <w:rsid w:val="00E1177C"/>
    <w:rsid w:val="00E15B05"/>
    <w:rsid w:val="00E1726A"/>
    <w:rsid w:val="00E20AEE"/>
    <w:rsid w:val="00E21FDE"/>
    <w:rsid w:val="00E2399E"/>
    <w:rsid w:val="00E25D2B"/>
    <w:rsid w:val="00E33EF3"/>
    <w:rsid w:val="00E33F8F"/>
    <w:rsid w:val="00E35A2A"/>
    <w:rsid w:val="00E36B8F"/>
    <w:rsid w:val="00E402A8"/>
    <w:rsid w:val="00E4251D"/>
    <w:rsid w:val="00E431E1"/>
    <w:rsid w:val="00E43FB3"/>
    <w:rsid w:val="00E442ED"/>
    <w:rsid w:val="00E452B8"/>
    <w:rsid w:val="00E541E3"/>
    <w:rsid w:val="00E56F8A"/>
    <w:rsid w:val="00E63768"/>
    <w:rsid w:val="00E70440"/>
    <w:rsid w:val="00E7164D"/>
    <w:rsid w:val="00E73883"/>
    <w:rsid w:val="00E73AE7"/>
    <w:rsid w:val="00E7402C"/>
    <w:rsid w:val="00E742E6"/>
    <w:rsid w:val="00E75570"/>
    <w:rsid w:val="00E833B5"/>
    <w:rsid w:val="00EA2876"/>
    <w:rsid w:val="00EA7BC6"/>
    <w:rsid w:val="00EB0910"/>
    <w:rsid w:val="00EB7C84"/>
    <w:rsid w:val="00EC1086"/>
    <w:rsid w:val="00EC12F6"/>
    <w:rsid w:val="00ED0D28"/>
    <w:rsid w:val="00EF2549"/>
    <w:rsid w:val="00F00DF2"/>
    <w:rsid w:val="00F07CF2"/>
    <w:rsid w:val="00F11D6F"/>
    <w:rsid w:val="00F11F72"/>
    <w:rsid w:val="00F12D59"/>
    <w:rsid w:val="00F12F9F"/>
    <w:rsid w:val="00F162B3"/>
    <w:rsid w:val="00F3230C"/>
    <w:rsid w:val="00F33B5A"/>
    <w:rsid w:val="00F354E1"/>
    <w:rsid w:val="00F46F8B"/>
    <w:rsid w:val="00F50511"/>
    <w:rsid w:val="00F507B6"/>
    <w:rsid w:val="00F55ABA"/>
    <w:rsid w:val="00F63CA0"/>
    <w:rsid w:val="00F6576A"/>
    <w:rsid w:val="00F80F4B"/>
    <w:rsid w:val="00F91B76"/>
    <w:rsid w:val="00F972FB"/>
    <w:rsid w:val="00FA57C1"/>
    <w:rsid w:val="00FB7829"/>
    <w:rsid w:val="00FC2917"/>
    <w:rsid w:val="00FE19B6"/>
    <w:rsid w:val="00FE1E39"/>
    <w:rsid w:val="00FE3A95"/>
    <w:rsid w:val="00FF2946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0338A-447C-4B02-B76A-BCFC7C97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41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E2CC3"/>
    <w:pPr>
      <w:keepNext/>
      <w:numPr>
        <w:numId w:val="32"/>
      </w:numPr>
      <w:spacing w:before="240" w:after="240"/>
      <w:jc w:val="both"/>
      <w:outlineLvl w:val="0"/>
    </w:pPr>
    <w:rPr>
      <w:b/>
      <w:sz w:val="32"/>
      <w:szCs w:val="20"/>
      <w:lang w:val="x-none"/>
    </w:rPr>
  </w:style>
  <w:style w:type="paragraph" w:styleId="Nadpis2">
    <w:name w:val="heading 2"/>
    <w:basedOn w:val="Normln"/>
    <w:next w:val="Normln"/>
    <w:link w:val="Nadpis2Char"/>
    <w:qFormat/>
    <w:rsid w:val="009E2CC3"/>
    <w:pPr>
      <w:keepNext/>
      <w:numPr>
        <w:ilvl w:val="1"/>
        <w:numId w:val="32"/>
      </w:numPr>
      <w:spacing w:after="120"/>
      <w:jc w:val="both"/>
      <w:outlineLvl w:val="1"/>
    </w:pPr>
    <w:rPr>
      <w:b/>
      <w:sz w:val="28"/>
      <w:szCs w:val="20"/>
      <w:lang w:val="x-none"/>
    </w:rPr>
  </w:style>
  <w:style w:type="paragraph" w:styleId="Nadpis3">
    <w:name w:val="heading 3"/>
    <w:basedOn w:val="Normln"/>
    <w:next w:val="Normln"/>
    <w:link w:val="Nadpis3Char"/>
    <w:qFormat/>
    <w:rsid w:val="009E2CC3"/>
    <w:pPr>
      <w:keepNext/>
      <w:numPr>
        <w:ilvl w:val="2"/>
        <w:numId w:val="32"/>
      </w:numPr>
      <w:spacing w:after="60"/>
      <w:jc w:val="both"/>
      <w:outlineLvl w:val="2"/>
    </w:pPr>
    <w:rPr>
      <w:b/>
      <w:szCs w:val="20"/>
      <w:lang w:val="x-none"/>
    </w:rPr>
  </w:style>
  <w:style w:type="paragraph" w:styleId="Nadpis4">
    <w:name w:val="heading 4"/>
    <w:basedOn w:val="Normln"/>
    <w:next w:val="Normln"/>
    <w:link w:val="Nadpis4Char"/>
    <w:qFormat/>
    <w:rsid w:val="009E2CC3"/>
    <w:pPr>
      <w:keepNext/>
      <w:numPr>
        <w:ilvl w:val="3"/>
        <w:numId w:val="32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9E2CC3"/>
    <w:pPr>
      <w:numPr>
        <w:ilvl w:val="4"/>
        <w:numId w:val="32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9E2CC3"/>
    <w:pPr>
      <w:numPr>
        <w:ilvl w:val="5"/>
        <w:numId w:val="32"/>
      </w:num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9E2CC3"/>
    <w:pPr>
      <w:numPr>
        <w:ilvl w:val="6"/>
        <w:numId w:val="32"/>
      </w:numPr>
      <w:spacing w:before="240" w:after="60"/>
      <w:outlineLvl w:val="6"/>
    </w:pPr>
    <w:rPr>
      <w:lang w:val="x-none"/>
    </w:rPr>
  </w:style>
  <w:style w:type="paragraph" w:styleId="Nadpis8">
    <w:name w:val="heading 8"/>
    <w:basedOn w:val="Normln"/>
    <w:next w:val="Normln"/>
    <w:link w:val="Nadpis8Char"/>
    <w:qFormat/>
    <w:rsid w:val="009E2CC3"/>
    <w:pPr>
      <w:numPr>
        <w:ilvl w:val="7"/>
        <w:numId w:val="32"/>
      </w:numPr>
      <w:spacing w:before="240" w:after="60"/>
      <w:outlineLvl w:val="7"/>
    </w:pPr>
    <w:rPr>
      <w:i/>
      <w:iCs/>
      <w:lang w:val="x-none"/>
    </w:rPr>
  </w:style>
  <w:style w:type="paragraph" w:styleId="Nadpis9">
    <w:name w:val="heading 9"/>
    <w:basedOn w:val="Normln"/>
    <w:next w:val="Normln"/>
    <w:link w:val="Nadpis9Char"/>
    <w:qFormat/>
    <w:rsid w:val="009E2CC3"/>
    <w:pPr>
      <w:numPr>
        <w:ilvl w:val="8"/>
        <w:numId w:val="32"/>
      </w:numPr>
      <w:spacing w:before="240"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FF39A4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FF39A4"/>
    <w:rPr>
      <w:rFonts w:ascii="Times New Roman" w:eastAsia="Times New Roman" w:hAnsi="Times New Roman"/>
    </w:rPr>
  </w:style>
  <w:style w:type="character" w:styleId="Znakapoznpodarou">
    <w:name w:val="footnote reference"/>
    <w:semiHidden/>
    <w:unhideWhenUsed/>
    <w:rsid w:val="00FF39A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87A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87A2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87A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87A22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30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8301C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C43D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D4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43D4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D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43D46"/>
    <w:rPr>
      <w:rFonts w:ascii="Times New Roman" w:eastAsia="Times New Roman" w:hAnsi="Times New Roman"/>
      <w:b/>
      <w:bCs/>
    </w:rPr>
  </w:style>
  <w:style w:type="character" w:customStyle="1" w:styleId="Nadpis1Char">
    <w:name w:val="Nadpis 1 Char"/>
    <w:link w:val="Nadpis1"/>
    <w:rsid w:val="009E2CC3"/>
    <w:rPr>
      <w:rFonts w:ascii="Times New Roman" w:eastAsia="Times New Roman" w:hAnsi="Times New Roman"/>
      <w:b/>
      <w:sz w:val="32"/>
      <w:lang w:val="x-none"/>
    </w:rPr>
  </w:style>
  <w:style w:type="character" w:customStyle="1" w:styleId="Nadpis2Char">
    <w:name w:val="Nadpis 2 Char"/>
    <w:link w:val="Nadpis2"/>
    <w:rsid w:val="009E2CC3"/>
    <w:rPr>
      <w:rFonts w:ascii="Times New Roman" w:eastAsia="Times New Roman" w:hAnsi="Times New Roman"/>
      <w:b/>
      <w:sz w:val="28"/>
      <w:lang w:val="x-none"/>
    </w:rPr>
  </w:style>
  <w:style w:type="character" w:customStyle="1" w:styleId="Nadpis3Char">
    <w:name w:val="Nadpis 3 Char"/>
    <w:link w:val="Nadpis3"/>
    <w:rsid w:val="009E2CC3"/>
    <w:rPr>
      <w:rFonts w:ascii="Times New Roman" w:eastAsia="Times New Roman" w:hAnsi="Times New Roman"/>
      <w:b/>
      <w:sz w:val="24"/>
      <w:lang w:val="x-none"/>
    </w:rPr>
  </w:style>
  <w:style w:type="character" w:customStyle="1" w:styleId="Nadpis4Char">
    <w:name w:val="Nadpis 4 Char"/>
    <w:link w:val="Nadpis4"/>
    <w:rsid w:val="009E2CC3"/>
    <w:rPr>
      <w:rFonts w:ascii="Times New Roman" w:eastAsia="Times New Roman" w:hAnsi="Times New Roman"/>
      <w:b/>
      <w:bCs/>
      <w:sz w:val="28"/>
      <w:szCs w:val="28"/>
      <w:lang w:val="x-none"/>
    </w:rPr>
  </w:style>
  <w:style w:type="character" w:customStyle="1" w:styleId="Nadpis5Char">
    <w:name w:val="Nadpis 5 Char"/>
    <w:link w:val="Nadpis5"/>
    <w:rsid w:val="009E2CC3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link w:val="Nadpis6"/>
    <w:rsid w:val="009E2CC3"/>
    <w:rPr>
      <w:rFonts w:ascii="Times New Roman" w:eastAsia="Times New Roman" w:hAnsi="Times New Roman"/>
      <w:b/>
      <w:bCs/>
      <w:lang w:val="x-none"/>
    </w:rPr>
  </w:style>
  <w:style w:type="character" w:customStyle="1" w:styleId="Nadpis7Char">
    <w:name w:val="Nadpis 7 Char"/>
    <w:link w:val="Nadpis7"/>
    <w:rsid w:val="009E2CC3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Nadpis8Char">
    <w:name w:val="Nadpis 8 Char"/>
    <w:link w:val="Nadpis8"/>
    <w:rsid w:val="009E2CC3"/>
    <w:rPr>
      <w:rFonts w:ascii="Times New Roman" w:eastAsia="Times New Roman" w:hAnsi="Times New Roman"/>
      <w:i/>
      <w:iCs/>
      <w:sz w:val="24"/>
      <w:szCs w:val="24"/>
      <w:lang w:val="x-none"/>
    </w:rPr>
  </w:style>
  <w:style w:type="character" w:customStyle="1" w:styleId="Nadpis9Char">
    <w:name w:val="Nadpis 9 Char"/>
    <w:link w:val="Nadpis9"/>
    <w:rsid w:val="009E2CC3"/>
    <w:rPr>
      <w:rFonts w:ascii="Arial" w:eastAsia="Times New Roman" w:hAnsi="Arial"/>
      <w:lang w:val="x-none"/>
    </w:rPr>
  </w:style>
  <w:style w:type="paragraph" w:styleId="Zkladntextodsazen">
    <w:name w:val="Body Text Indent"/>
    <w:basedOn w:val="Normln"/>
    <w:link w:val="ZkladntextodsazenChar"/>
    <w:rsid w:val="009E2CC3"/>
    <w:pPr>
      <w:ind w:firstLine="708"/>
      <w:jc w:val="both"/>
    </w:pPr>
    <w:rPr>
      <w:szCs w:val="20"/>
      <w:lang w:val="x-none"/>
    </w:rPr>
  </w:style>
  <w:style w:type="character" w:customStyle="1" w:styleId="ZkladntextodsazenChar">
    <w:name w:val="Základní text odsazený Char"/>
    <w:link w:val="Zkladntextodsazen"/>
    <w:rsid w:val="009E2CC3"/>
    <w:rPr>
      <w:rFonts w:ascii="Times New Roman" w:eastAsia="Times New Roman" w:hAnsi="Times New Roman"/>
      <w:sz w:val="24"/>
      <w:lang w:val="x-none"/>
    </w:rPr>
  </w:style>
  <w:style w:type="character" w:styleId="Hypertextovodkaz">
    <w:name w:val="Hyperlink"/>
    <w:unhideWhenUsed/>
    <w:rsid w:val="009E2CC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E2CC3"/>
    <w:pPr>
      <w:ind w:left="708"/>
    </w:pPr>
    <w:rPr>
      <w:sz w:val="20"/>
      <w:szCs w:val="20"/>
    </w:rPr>
  </w:style>
  <w:style w:type="paragraph" w:styleId="Revize">
    <w:name w:val="Revision"/>
    <w:hidden/>
    <w:uiPriority w:val="99"/>
    <w:semiHidden/>
    <w:rsid w:val="000034FD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031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ni_vyporadani@msm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inancni_vyporadani@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vizo@msm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8D502-E9C7-4C58-A8C9-4CF86CBE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5898</CharactersWithSpaces>
  <SharedDoc>false</SharedDoc>
  <HLinks>
    <vt:vector size="24" baseType="variant">
      <vt:variant>
        <vt:i4>1966098</vt:i4>
      </vt:variant>
      <vt:variant>
        <vt:i4>9</vt:i4>
      </vt:variant>
      <vt:variant>
        <vt:i4>0</vt:i4>
      </vt:variant>
      <vt:variant>
        <vt:i4>5</vt:i4>
      </vt:variant>
      <vt:variant>
        <vt:lpwstr>mailto:financni_vyporadani@msmt.cz</vt:lpwstr>
      </vt:variant>
      <vt:variant>
        <vt:lpwstr/>
      </vt:variant>
      <vt:variant>
        <vt:i4>8126574</vt:i4>
      </vt:variant>
      <vt:variant>
        <vt:i4>6</vt:i4>
      </vt:variant>
      <vt:variant>
        <vt:i4>0</vt:i4>
      </vt:variant>
      <vt:variant>
        <vt:i4>5</vt:i4>
      </vt:variant>
      <vt:variant>
        <vt:lpwstr>../../../AppData/Local/Microsoft/Windows/INetCache/Content.Outlook/AppData/Local/Microsoft/Windows/INetCache/Content.Outlook/AppData/Local/Microsoft/Windows/INetCache/Content.Outlook/AppData/Local/Microsoft/Windows/INetCache/AppData/Local/Microsoft/Windows/INetCache/Content.Outlook/AppData/Local/Microsoft/Windows/INetCache/AppData/Local/Microsoft/Windows/INetCache/Content.Outlook/AppData/Local/Microsoft/Windows/INetCache/svobodoval/AppData/Local/Microsoft/Windows/INetCache/svobodoval/AppData/Local/Microsoft/Windows/Temporary Internet Files/Content.Outlook/LDNTFMIW/avizo@msmt.cz</vt:lpwstr>
      </vt:variant>
      <vt:variant>
        <vt:lpwstr/>
      </vt:variant>
      <vt:variant>
        <vt:i4>3014701</vt:i4>
      </vt:variant>
      <vt:variant>
        <vt:i4>3</vt:i4>
      </vt:variant>
      <vt:variant>
        <vt:i4>0</vt:i4>
      </vt:variant>
      <vt:variant>
        <vt:i4>5</vt:i4>
      </vt:variant>
      <vt:variant>
        <vt:lpwstr>https://www.msmt.cz/vzdelavani/skolstvi-v-cr/ekonomika-skolstvi/ostatni-primo-rizene-organizace-a-statni-sprava</vt:lpwstr>
      </vt:variant>
      <vt:variant>
        <vt:lpwstr/>
      </vt:variant>
      <vt:variant>
        <vt:i4>1966098</vt:i4>
      </vt:variant>
      <vt:variant>
        <vt:i4>0</vt:i4>
      </vt:variant>
      <vt:variant>
        <vt:i4>0</vt:i4>
      </vt:variant>
      <vt:variant>
        <vt:i4>5</vt:i4>
      </vt:variant>
      <vt:variant>
        <vt:lpwstr>mailto:financni_vyporadani@msmt.cz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svobodoval</dc:creator>
  <cp:keywords/>
  <dc:description/>
  <cp:lastModifiedBy>Frnková Soňa</cp:lastModifiedBy>
  <cp:revision>2</cp:revision>
  <cp:lastPrinted>2021-12-21T06:29:00Z</cp:lastPrinted>
  <dcterms:created xsi:type="dcterms:W3CDTF">2021-12-21T14:29:00Z</dcterms:created>
  <dcterms:modified xsi:type="dcterms:W3CDTF">2021-12-21T14:29:00Z</dcterms:modified>
</cp:coreProperties>
</file>